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8" w:lineRule="exact"/>
        <w:rPr>
          <w:sz w:val="24"/>
          <w:szCs w:val="24"/>
          <w:color w:val="auto"/>
        </w:rPr>
      </w:pPr>
    </w:p>
    <w:p>
      <w:pPr>
        <w:ind w:left="3240" w:right="240" w:hanging="2980"/>
        <w:spacing w:after="0" w:line="391" w:lineRule="auto"/>
        <w:tabs>
          <w:tab w:leader="none" w:pos="6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4,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3620" w:right="220" w:hanging="3360"/>
        <w:spacing w:after="0" w:line="391" w:lineRule="auto"/>
        <w:tabs>
          <w:tab w:leader="none" w:pos="68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657"/>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104 Coleman Boulevard</w:t>
            </w:r>
          </w:p>
        </w:tc>
        <w:tc>
          <w:tcPr>
            <w:tcW w:w="2840" w:type="dxa"/>
            <w:vAlign w:val="bottom"/>
          </w:tcPr>
          <w:p>
            <w:pPr>
              <w:spacing w:after="0"/>
              <w:rPr>
                <w:sz w:val="24"/>
                <w:szCs w:val="24"/>
                <w:color w:val="auto"/>
              </w:rPr>
            </w:pPr>
          </w:p>
        </w:tc>
      </w:t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Savannah, Georgia</w:t>
            </w: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135"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231" w:right="919" w:bottom="1440" w:gutter="0" w:footer="0" w:header="0"/>
        </w:sectPr>
      </w:pPr>
    </w:p>
    <w:p>
      <w:pPr>
        <w:spacing w:after="0" w:line="2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4">
            <w:col w:w="1920" w:space="520"/>
            <w:col w:w="1460" w:space="460"/>
            <w:col w:w="1820" w:space="60"/>
            <w:col w:w="3820"/>
          </w:cols>
          <w:pgMar w:left="920" w:top="231" w:right="91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3640" w:space="720"/>
            <w:col w:w="5700"/>
          </w:cols>
          <w:pgMar w:left="920" w:top="231" w:right="919" w:bottom="1440" w:gutter="0" w:footer="0" w:header="0"/>
          <w:type w:val="continuous"/>
        </w:sectPr>
      </w:pPr>
    </w:p>
    <w:p>
      <w:pPr>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76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registrant’s classes of common stock, as of the latest practicable date.</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August 20, 2018</w:t>
            </w:r>
          </w:p>
        </w:tc>
      </w:tr>
      <w:tr>
        <w:trPr>
          <w:trHeight w:val="224"/>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20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12,975,307 shares</w:t>
            </w:r>
          </w:p>
        </w:tc>
      </w:tr>
      <w:tr>
        <w:trPr>
          <w:trHeight w:val="634"/>
        </w:trPr>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30"/>
        </w:trPr>
        <w:tc>
          <w:tcPr>
            <w:tcW w:w="4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r>
    </w:tbl>
    <w:p>
      <w:pPr>
        <w:sectPr>
          <w:pgSz w:w="11900" w:h="16838" w:orient="portrait"/>
          <w:cols w:equalWidth="0" w:num="1">
            <w:col w:w="10060"/>
          </w:cols>
          <w:pgMar w:left="920" w:top="231"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u w:val="single" w:color="auto"/>
          <w:color w:val="auto"/>
        </w:rPr>
        <w:t>FORM 10-Q</w:t>
      </w:r>
    </w:p>
    <w:p>
      <w:pPr>
        <w:spacing w:after="0" w:line="9"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2"/>
          </w:tcPr>
          <w:p>
            <w:pPr>
              <w:spacing w:after="0"/>
              <w:rPr>
                <w:rFonts w:ascii="Arial" w:cs="Arial" w:eastAsia="Arial" w:hAnsi="Arial"/>
                <w:sz w:val="18"/>
                <w:szCs w:val="18"/>
                <w:color w:val="0000EE"/>
                <w:w w:val="75"/>
              </w:rPr>
            </w:pPr>
            <w:hyperlink w:anchor="page3">
              <w:r>
                <w:rPr>
                  <w:rFonts w:ascii="Arial" w:cs="Arial" w:eastAsia="Arial" w:hAnsi="Arial"/>
                  <w:sz w:val="18"/>
                  <w:szCs w:val="18"/>
                  <w:color w:val="0000EE"/>
                  <w:w w:val="75"/>
                </w:rPr>
                <w:t>PART I</w:t>
              </w:r>
            </w:hyperlink>
          </w:p>
        </w:tc>
        <w:tc>
          <w:tcPr>
            <w:tcW w:w="460" w:type="dxa"/>
            <w:vAlign w:val="bottom"/>
            <w:gridSpan w:val="2"/>
          </w:tcPr>
          <w:p>
            <w:pPr>
              <w:spacing w:after="0"/>
              <w:rPr>
                <w:sz w:val="17"/>
                <w:szCs w:val="17"/>
                <w:color w:val="auto"/>
              </w:rPr>
            </w:pPr>
          </w:p>
        </w:tc>
        <w:tc>
          <w:tcPr>
            <w:tcW w:w="8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August 4, 2018 and February 3, 2018</w:t>
              </w:r>
            </w:hyperlink>
          </w:p>
        </w:tc>
        <w:tc>
          <w:tcPr>
            <w:tcW w:w="1600" w:type="dxa"/>
            <w:vAlign w:val="bottom"/>
            <w:gridSpan w:val="3"/>
          </w:tcPr>
          <w:p>
            <w:pPr>
              <w:spacing w:after="0"/>
              <w:rPr>
                <w:sz w:val="24"/>
                <w:szCs w:val="24"/>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Twenty-six weeks ended August 4, 2018 and July</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tcBorders>
            <w:gridSpan w:val="3"/>
          </w:tcPr>
          <w:p>
            <w:pPr>
              <w:ind w:left="120"/>
              <w:spacing w:after="0" w:line="182"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29, 2017</w:t>
              </w:r>
            </w:hyperlink>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(unaudited) Thirteen weeks ended August 4, 2018 and July</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tcBorders>
            <w:gridSpan w:val="3"/>
          </w:tcPr>
          <w:p>
            <w:pPr>
              <w:ind w:left="120"/>
              <w:spacing w:after="0" w:line="182"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29, 2017</w:t>
              </w:r>
            </w:hyperlink>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(unaudited) Twenty-six weeks ended August 4, 2018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July 29, 2017</w:t>
              </w:r>
            </w:hyperlink>
          </w:p>
        </w:tc>
        <w:tc>
          <w:tcPr>
            <w:tcW w:w="6760" w:type="dxa"/>
            <w:vAlign w:val="bottom"/>
            <w:tcBorders>
              <w:top w:val="single" w:sz="8" w:color="0000EE"/>
            </w:tcBorders>
            <w:gridSpan w:val="11"/>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Item 2</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3</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0" w:type="dxa"/>
            <w:vAlign w:val="bottom"/>
            <w:tcBorders>
              <w:left w:val="single" w:sz="8" w:color="0000EE"/>
            </w:tcBorders>
            <w:gridSpan w:val="6"/>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385"/>
        </w:trPr>
        <w:tc>
          <w:tcPr>
            <w:tcW w:w="600" w:type="dxa"/>
            <w:vAlign w:val="bottom"/>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PART II</w:t>
              </w:r>
            </w:hyperlink>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399"/>
        </w:trPr>
        <w:tc>
          <w:tcPr>
            <w:tcW w:w="600" w:type="dxa"/>
            <w:vAlign w:val="bottom"/>
            <w:gridSpan w:val="3"/>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Item 1A</w:t>
              </w:r>
            </w:hyperlink>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3</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4</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5</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6</w:t>
              </w:r>
            </w:hyperlink>
          </w:p>
        </w:tc>
        <w:tc>
          <w:tcPr>
            <w:tcW w:w="460" w:type="dxa"/>
            <w:vAlign w:val="bottom"/>
            <w:gridSpan w:val="2"/>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r>
      <w:tr>
        <w:trPr>
          <w:trHeight w:val="8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top w:val="single" w:sz="8" w:color="0000EE"/>
            </w:tcBorders>
            <w:gridSpan w:val="5"/>
          </w:tcPr>
          <w:p>
            <w:pPr>
              <w:spacing w:after="0"/>
              <w:rPr>
                <w:sz w:val="24"/>
                <w:szCs w:val="24"/>
                <w:color w:val="auto"/>
              </w:rPr>
            </w:pPr>
          </w:p>
        </w:tc>
        <w:tc>
          <w:tcPr>
            <w:tcW w:w="3260" w:type="dxa"/>
            <w:vAlign w:val="bottom"/>
            <w:gridSpan w:val="8"/>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9100" w:space="100"/>
            <w:col w:w="86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2018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August 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200"/>
              <w:spacing w:after="0" w:line="201" w:lineRule="exact"/>
              <w:rPr>
                <w:sz w:val="20"/>
                <w:szCs w:val="20"/>
                <w:color w:val="auto"/>
              </w:rPr>
            </w:pPr>
            <w:r>
              <w:rPr>
                <w:rFonts w:ascii="Arial" w:cs="Arial" w:eastAsia="Arial" w:hAnsi="Arial"/>
                <w:sz w:val="18"/>
                <w:szCs w:val="18"/>
                <w:color w:val="auto"/>
                <w:w w:val="92"/>
              </w:rPr>
              <w:t>Property and equipment, net of accumulated depreciation of $237,914 and $229,699 as of August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4, 2018 and February 3, 2018, 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310,782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327,071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72,096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75,947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Layaway deposits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$0.01 par value. Authorized 32,000,000 shares; 15,829,380 shares issued as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August 4, 2018 and 15,777,946 shares issued as of February 3, 2018; 13,064,398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7"/>
              </w:rPr>
              <w:t>outstanding as of August 4, 2018 and 13,743,776 shares outstanding as of February 3, 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171,293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Treasury stock, at cost; 2,764,982 shares held as of August 4, 2018 and 2,034,170 shares held as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February 3, 2018</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(61,194)</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209,468</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327,071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Twenty-Six Weeks Ended August 4, 2018 and July 29,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August 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July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393,031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366,155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(239,811)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(125,290)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Asset impairment</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Income from operations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00"/>
              <w:spacing w:after="0" w:line="142" w:lineRule="exact"/>
              <w:rPr>
                <w:sz w:val="20"/>
                <w:szCs w:val="20"/>
                <w:color w:val="auto"/>
              </w:rPr>
            </w:pPr>
            <w:r>
              <w:rPr>
                <w:rFonts w:ascii="Arial" w:cs="Arial" w:eastAsia="Arial" w:hAnsi="Arial"/>
                <w:sz w:val="14"/>
                <w:szCs w:val="14"/>
                <w:color w:val="auto"/>
              </w:rPr>
              <w:t>Income before income taxes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17,921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12,632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14,532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8,680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Basic net income per common share</w:t>
            </w:r>
          </w:p>
        </w:tc>
        <w:tc>
          <w:tcPr>
            <w:tcW w:w="6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3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common share</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Basic</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13,446</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14,550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13,491</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6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Borders>
              <w:top w:val="single" w:sz="8" w:color="CCEEFF"/>
            </w:tcBorders>
          </w:tcPr>
          <w:p>
            <w:pPr>
              <w:jc w:val="center"/>
              <w:ind w:left="2527"/>
              <w:spacing w:after="0"/>
              <w:rPr>
                <w:sz w:val="20"/>
                <w:szCs w:val="20"/>
                <w:color w:val="auto"/>
              </w:rPr>
            </w:pPr>
            <w:r>
              <w:rPr>
                <w:rFonts w:ascii="Arial" w:cs="Arial" w:eastAsia="Arial" w:hAnsi="Arial"/>
                <w:sz w:val="16"/>
                <w:szCs w:val="16"/>
                <w:b w:val="1"/>
                <w:bCs w:val="1"/>
                <w:color w:val="auto"/>
                <w:w w:val="94"/>
              </w:rPr>
              <w:t>Citi Trends, Inc.</w:t>
            </w:r>
          </w:p>
        </w:tc>
        <w:tc>
          <w:tcPr>
            <w:tcW w:w="4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jc w:val="center"/>
              <w:ind w:left="2527"/>
              <w:spacing w:after="0"/>
              <w:rPr>
                <w:sz w:val="20"/>
                <w:szCs w:val="20"/>
                <w:color w:val="auto"/>
              </w:rPr>
            </w:pPr>
            <w:r>
              <w:rPr>
                <w:rFonts w:ascii="Arial" w:cs="Arial" w:eastAsia="Arial" w:hAnsi="Arial"/>
                <w:sz w:val="16"/>
                <w:szCs w:val="16"/>
                <w:b w:val="1"/>
                <w:bCs w:val="1"/>
                <w:color w:val="auto"/>
                <w:w w:val="89"/>
              </w:rPr>
              <w:t>Condensed Consolidated Statements of Operations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jc w:val="center"/>
              <w:ind w:left="2527"/>
              <w:spacing w:after="0"/>
              <w:rPr>
                <w:sz w:val="20"/>
                <w:szCs w:val="20"/>
                <w:color w:val="auto"/>
              </w:rPr>
            </w:pPr>
            <w:r>
              <w:rPr>
                <w:rFonts w:ascii="Arial" w:cs="Arial" w:eastAsia="Arial" w:hAnsi="Arial"/>
                <w:sz w:val="16"/>
                <w:szCs w:val="16"/>
                <w:b w:val="1"/>
                <w:bCs w:val="1"/>
                <w:color w:val="auto"/>
                <w:w w:val="91"/>
              </w:rPr>
              <w:t>Thirteen Weeks Ended August 4, 2018 and July 29, 2017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jc w:val="center"/>
              <w:ind w:left="2547"/>
              <w:spacing w:after="0"/>
              <w:rPr>
                <w:sz w:val="20"/>
                <w:szCs w:val="20"/>
                <w:color w:val="auto"/>
              </w:rPr>
            </w:pPr>
            <w:r>
              <w:rPr>
                <w:rFonts w:ascii="Arial" w:cs="Arial" w:eastAsia="Arial" w:hAnsi="Arial"/>
                <w:sz w:val="16"/>
                <w:szCs w:val="16"/>
                <w:b w:val="1"/>
                <w:bCs w:val="1"/>
                <w:color w:val="auto"/>
                <w:w w:val="94"/>
              </w:rPr>
              <w:t>(Unaudited)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jc w:val="center"/>
              <w:ind w:left="2527"/>
              <w:spacing w:after="0"/>
              <w:rPr>
                <w:sz w:val="20"/>
                <w:szCs w:val="20"/>
                <w:color w:val="auto"/>
              </w:rPr>
            </w:pPr>
            <w:r>
              <w:rPr>
                <w:rFonts w:ascii="Arial" w:cs="Arial" w:eastAsia="Arial" w:hAnsi="Arial"/>
                <w:sz w:val="16"/>
                <w:szCs w:val="16"/>
                <w:b w:val="1"/>
                <w:bCs w:val="1"/>
                <w:color w:val="auto"/>
                <w:w w:val="89"/>
              </w:rPr>
              <w:t>(in thousands, except per share data)</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August 4,</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181,999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166,200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(62,285)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Asset impairment</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Income (loss) from operations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00"/>
              <w:spacing w:after="0" w:line="142" w:lineRule="exact"/>
              <w:rPr>
                <w:sz w:val="20"/>
                <w:szCs w:val="20"/>
                <w:color w:val="auto"/>
              </w:rPr>
            </w:pPr>
            <w:r>
              <w:rPr>
                <w:rFonts w:ascii="Arial" w:cs="Arial" w:eastAsia="Arial" w:hAnsi="Arial"/>
                <w:sz w:val="14"/>
                <w:szCs w:val="14"/>
                <w:color w:val="auto"/>
              </w:rPr>
              <w:t>Income (loss) before income taxes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Net income (loss)</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Basic net income (loss) per common share</w:t>
            </w:r>
          </w:p>
        </w:tc>
        <w:tc>
          <w:tcPr>
            <w:tcW w:w="6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 net income (loss) per common share</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Basic</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13,314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14,382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13,351</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14,382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6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Twenty-Six Weeks Ended August 4, 2018 and July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ind w:left="240"/>
              <w:spacing w:after="0"/>
              <w:rPr>
                <w:sz w:val="20"/>
                <w:szCs w:val="20"/>
                <w:color w:val="auto"/>
              </w:rPr>
            </w:pPr>
            <w:r>
              <w:rPr>
                <w:rFonts w:ascii="Arial" w:cs="Arial" w:eastAsia="Arial" w:hAnsi="Arial"/>
                <w:sz w:val="14"/>
                <w:szCs w:val="14"/>
                <w:b w:val="1"/>
                <w:bCs w:val="1"/>
                <w:color w:val="auto"/>
              </w:rPr>
              <w:t>Twenty-Six Weeks Ended</w:t>
            </w:r>
          </w:p>
        </w:tc>
      </w:tr>
      <w:tr>
        <w:trPr>
          <w:trHeight w:val="119"/>
        </w:trPr>
        <w:tc>
          <w:tcPr>
            <w:tcW w:w="7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August 4,</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11"/>
              <w:spacing w:after="0" w:line="119" w:lineRule="exact"/>
              <w:rPr>
                <w:sz w:val="20"/>
                <w:szCs w:val="20"/>
                <w:color w:val="auto"/>
              </w:rPr>
            </w:pPr>
            <w:r>
              <w:rPr>
                <w:rFonts w:ascii="Arial" w:cs="Arial" w:eastAsia="Arial" w:hAnsi="Arial"/>
                <w:sz w:val="13"/>
                <w:szCs w:val="13"/>
                <w:b w:val="1"/>
                <w:bCs w:val="1"/>
                <w:color w:val="auto"/>
              </w:rPr>
              <w:t>July 29,</w:t>
            </w:r>
          </w:p>
        </w:tc>
        <w:tc>
          <w:tcPr>
            <w:tcW w:w="40" w:type="dxa"/>
            <w:vAlign w:val="bottom"/>
          </w:tcPr>
          <w:p>
            <w:pPr>
              <w:spacing w:after="0"/>
              <w:rPr>
                <w:sz w:val="10"/>
                <w:szCs w:val="10"/>
                <w:color w:val="auto"/>
              </w:rPr>
            </w:pPr>
          </w:p>
        </w:tc>
      </w:tr>
      <w:tr>
        <w:trPr>
          <w:trHeight w:val="171"/>
        </w:trPr>
        <w:tc>
          <w:tcPr>
            <w:tcW w:w="7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14,532</w:t>
            </w:r>
          </w:p>
        </w:tc>
        <w:tc>
          <w:tcPr>
            <w:tcW w:w="24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8,680</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(1,375)</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(8,255)</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payable/receivable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Layaway deposits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40" w:type="dxa"/>
            <w:vAlign w:val="bottom"/>
            <w:shd w:val="clear" w:color="auto" w:fill="CCEEFF"/>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Purchases of investment securities</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(20,311)</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(12,900)</w:t>
            </w:r>
          </w:p>
        </w:tc>
      </w:tr>
      <w:tr>
        <w:trPr>
          <w:trHeight w:val="216"/>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Insurance proceeds related to investing activities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40" w:type="dxa"/>
            <w:vAlign w:val="bottom"/>
            <w:shd w:val="clear" w:color="auto" w:fill="CCEEFF"/>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Dividends paid to stockholders</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(2,062)</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(24,955)</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(27,911)</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(19,058)</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40" w:type="dxa"/>
            <w:vAlign w:val="bottom"/>
            <w:shd w:val="clear" w:color="auto" w:fill="CCEEFF"/>
          </w:tcPr>
          <w:p>
            <w:pPr>
              <w:spacing w:after="0"/>
              <w:rPr>
                <w:sz w:val="18"/>
                <w:szCs w:val="18"/>
                <w:color w:val="auto"/>
              </w:rPr>
            </w:pPr>
          </w:p>
        </w:tc>
      </w:tr>
      <w:tr>
        <w:trPr>
          <w:trHeight w:val="217"/>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30,195</w:t>
            </w:r>
          </w:p>
        </w:tc>
        <w:tc>
          <w:tcPr>
            <w:tcW w:w="40" w:type="dxa"/>
            <w:vAlign w:val="bottom"/>
            <w:tcBorders>
              <w:bottom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20"/>
                <w:szCs w:val="20"/>
                <w:color w:val="auto"/>
              </w:rPr>
            </w:pPr>
          </w:p>
        </w:tc>
      </w:tr>
      <w:tr>
        <w:trPr>
          <w:trHeight w:val="210"/>
        </w:trPr>
        <w:tc>
          <w:tcPr>
            <w:tcW w:w="764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Cash payments of income taxes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5,614</w:t>
            </w:r>
          </w:p>
        </w:tc>
        <w:tc>
          <w:tcPr>
            <w:tcW w:w="2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2,526</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640" w:type="dxa"/>
            <w:vAlign w:val="bottom"/>
          </w:tcPr>
          <w:p>
            <w:pPr>
              <w:ind w:left="660"/>
              <w:spacing w:after="0"/>
              <w:rPr>
                <w:sz w:val="20"/>
                <w:szCs w:val="20"/>
                <w:color w:val="auto"/>
              </w:rPr>
            </w:pPr>
            <w:r>
              <w:rPr>
                <w:rFonts w:ascii="Arial" w:cs="Arial" w:eastAsia="Arial" w:hAnsi="Arial"/>
                <w:sz w:val="18"/>
                <w:szCs w:val="18"/>
                <w:color w:val="auto"/>
              </w:rPr>
              <w:t>Accrual for purchases of property and equipment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August 4, 2018</w:t>
      </w:r>
    </w:p>
    <w:p>
      <w:pPr>
        <w:spacing w:after="0" w:line="211" w:lineRule="exact"/>
        <w:rPr>
          <w:sz w:val="20"/>
          <w:szCs w:val="20"/>
          <w:color w:val="auto"/>
        </w:rPr>
      </w:pPr>
    </w:p>
    <w:p>
      <w:pPr>
        <w:ind w:left="181" w:hanging="181"/>
        <w:spacing w:after="0"/>
        <w:tabs>
          <w:tab w:leader="none" w:pos="18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1" w:right="400"/>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urban fashion apparel and accessories for the entire family. As of August 4, 2018, the Company operated 554 stores in 31 states.</w:t>
      </w:r>
    </w:p>
    <w:p>
      <w:pPr>
        <w:spacing w:after="0" w:line="170" w:lineRule="exact"/>
        <w:rPr>
          <w:sz w:val="20"/>
          <w:szCs w:val="20"/>
          <w:color w:val="auto"/>
        </w:rPr>
      </w:pPr>
    </w:p>
    <w:p>
      <w:pPr>
        <w:ind w:left="1" w:right="100"/>
        <w:spacing w:after="0" w:line="290" w:lineRule="auto"/>
        <w:rPr>
          <w:sz w:val="20"/>
          <w:szCs w:val="20"/>
          <w:color w:val="auto"/>
        </w:rPr>
      </w:pPr>
      <w:r>
        <w:rPr>
          <w:rFonts w:ascii="Arial" w:cs="Arial" w:eastAsia="Arial" w:hAnsi="Arial"/>
          <w:sz w:val="16"/>
          <w:szCs w:val="16"/>
          <w:color w:val="auto"/>
        </w:rPr>
        <w:t>The condensed consolidated balance sheet as of August 4, 2018, the condensed consolidated statements of operations for the twenty-six and thirteen week periods ended August 4, 2018 and July 29, 2017, and the condensed consolidated statements of cash flows for the twenty-six week periods ended August 4, 2018 and July 29, 2017 have been prepared by the Company without audit. The condensed consolidated balance sheet as of February 3, 2018 has been derived from the audited financial statements as of that date, but does not include all required year-end disclosures. In the opinion of management, such statements include all adjustments considered necessary to present fairly the Company’s financial position as of August 4, 2018 and February 3, 2018, and its results of operations and cash flows for all periods presented. These condensed consolidated financial statements should be read in conjunction with the consolidated financial statements and the notes thereto included in the Company’s latest Annual Report on Form 10-K for the year ended February 3, 2018.</w:t>
      </w:r>
    </w:p>
    <w:p>
      <w:pPr>
        <w:spacing w:after="0" w:line="166" w:lineRule="exact"/>
        <w:rPr>
          <w:sz w:val="20"/>
          <w:szCs w:val="20"/>
          <w:color w:val="auto"/>
        </w:rPr>
      </w:pPr>
    </w:p>
    <w:p>
      <w:pPr>
        <w:ind w:left="1" w:right="460"/>
        <w:spacing w:after="0" w:line="257" w:lineRule="auto"/>
        <w:rPr>
          <w:sz w:val="20"/>
          <w:szCs w:val="20"/>
          <w:color w:val="auto"/>
        </w:rPr>
      </w:pPr>
      <w:r>
        <w:rPr>
          <w:rFonts w:ascii="Arial" w:cs="Arial" w:eastAsia="Arial" w:hAnsi="Arial"/>
          <w:sz w:val="18"/>
          <w:szCs w:val="18"/>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twenty-six weeks ended August 4, 2018 are not necessarily indicative of the results that may be expected for the fiscal year ending February 2, 2019.</w:t>
      </w:r>
    </w:p>
    <w:p>
      <w:pPr>
        <w:spacing w:after="0" w:line="188" w:lineRule="exact"/>
        <w:rPr>
          <w:sz w:val="20"/>
          <w:szCs w:val="20"/>
          <w:color w:val="auto"/>
        </w:rPr>
      </w:pPr>
    </w:p>
    <w:p>
      <w:pPr>
        <w:ind w:left="1" w:right="320"/>
        <w:spacing w:after="0" w:line="342" w:lineRule="auto"/>
        <w:rPr>
          <w:sz w:val="20"/>
          <w:szCs w:val="20"/>
          <w:color w:val="auto"/>
        </w:rPr>
      </w:pPr>
      <w:r>
        <w:rPr>
          <w:rFonts w:ascii="Arial" w:cs="Arial" w:eastAsia="Arial" w:hAnsi="Arial"/>
          <w:sz w:val="16"/>
          <w:szCs w:val="16"/>
          <w:color w:val="auto"/>
        </w:rPr>
        <w:t>The following contains references to fiscal years 2018 and 2017, which represent fiscal years ending or ended on February 2, 2019 and February 3, 2018, respectively. Fiscal 2018 has a 52-week accounting period and fiscal 2017 had a 53-week accounting period.</w:t>
      </w:r>
    </w:p>
    <w:p>
      <w:pPr>
        <w:spacing w:after="0" w:line="124" w:lineRule="exact"/>
        <w:rPr>
          <w:sz w:val="20"/>
          <w:szCs w:val="20"/>
          <w:color w:val="auto"/>
        </w:rPr>
      </w:pPr>
    </w:p>
    <w:p>
      <w:pPr>
        <w:ind w:left="181" w:hanging="181"/>
        <w:spacing w:after="0"/>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1" w:right="10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1" w:right="14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81" w:hanging="181"/>
        <w:spacing w:after="0"/>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left="1" w:right="80"/>
        <w:spacing w:after="0" w:line="257" w:lineRule="auto"/>
        <w:rPr>
          <w:sz w:val="20"/>
          <w:szCs w:val="20"/>
          <w:color w:val="auto"/>
        </w:rPr>
      </w:pPr>
      <w:r>
        <w:rPr>
          <w:rFonts w:ascii="Arial" w:cs="Arial" w:eastAsia="Arial" w:hAnsi="Arial"/>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81" w:hanging="181"/>
        <w:spacing w:after="0"/>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1"/>
        <w:spacing w:after="0" w:line="312"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6" w:name="page7"/>
    <w:bookmarkEnd w:id="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per share amounts are based on the weighted average number of common shares outstanding, because the inclusion of common stock equivalents would be antidilutive.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dilutive effect of stock-based compensation arrangements is accounted for using the treasury stock method. The Company includes as assumed proceeds the amount of compensation cost attributed to future services and not yet recognized. For the twenty-six weeks ended August 4, 2018 and July 29, 2017, there were 118,000 and 144,000 shares of nonvested restricted stock, respectively, excluded from the calculation of diluted earnings per share because of antidilution. For the thirteen weeks ended August 4, 2018 and July 29, 2017, there were 127,000 and 178,000 shares of nonvested restricted stock, respectively, excluded from the calculation of diluted earnings per share because of antidilution.</w:t>
      </w:r>
    </w:p>
    <w:p>
      <w:pPr>
        <w:spacing w:after="0" w:line="19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table provides a reconciliation of the average number of common shares outstanding used to calculate basic earnings per share to the number of common shares and common stock equivalents outstanding used in calculating diluted earnings per share for the twenty-six and thirteen week periods ended August 4, 2018 and July 29,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Twenty-Six Weeks Ended</w:t>
            </w:r>
          </w:p>
        </w:tc>
      </w:tr>
      <w:tr>
        <w:trPr>
          <w:trHeight w:val="156"/>
        </w:trPr>
        <w:tc>
          <w:tcPr>
            <w:tcW w:w="7400" w:type="dxa"/>
            <w:vAlign w:val="bottom"/>
          </w:tcPr>
          <w:p>
            <w:pPr>
              <w:spacing w:after="0"/>
              <w:rPr>
                <w:sz w:val="13"/>
                <w:szCs w:val="13"/>
                <w:color w:val="auto"/>
              </w:rPr>
            </w:pPr>
          </w:p>
        </w:tc>
        <w:tc>
          <w:tcPr>
            <w:tcW w:w="14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August 4, 2018</w:t>
            </w:r>
          </w:p>
        </w:tc>
        <w:tc>
          <w:tcPr>
            <w:tcW w:w="122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July 29, 2017</w:t>
            </w:r>
          </w:p>
        </w:tc>
      </w:tr>
      <w:tr>
        <w:trPr>
          <w:trHeight w:val="203"/>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13,446,285</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14,550,435</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45,009</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47,990</w:t>
            </w:r>
          </w:p>
        </w:tc>
      </w:tr>
      <w:tr>
        <w:trPr>
          <w:trHeight w:val="203"/>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and common stock equivalents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13,491,294</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14,598,425</w:t>
            </w:r>
          </w:p>
        </w:tc>
      </w:tr>
      <w:tr>
        <w:trPr>
          <w:trHeight w:val="385"/>
        </w:trPr>
        <w:tc>
          <w:tcPr>
            <w:tcW w:w="740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56"/>
        </w:trPr>
        <w:tc>
          <w:tcPr>
            <w:tcW w:w="7400" w:type="dxa"/>
            <w:vAlign w:val="bottom"/>
          </w:tcPr>
          <w:p>
            <w:pPr>
              <w:spacing w:after="0"/>
              <w:rPr>
                <w:sz w:val="13"/>
                <w:szCs w:val="13"/>
                <w:color w:val="auto"/>
              </w:rPr>
            </w:pP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August 4, 2018</w:t>
            </w:r>
          </w:p>
        </w:tc>
        <w:tc>
          <w:tcPr>
            <w:tcW w:w="122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July 29, 2017</w:t>
            </w:r>
          </w:p>
        </w:tc>
      </w:tr>
      <w:tr>
        <w:trPr>
          <w:trHeight w:val="203"/>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13,314,470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14,381,738</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and common stock equivalents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13,351,321</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14,381,738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4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August 4, 2018,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0"/>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20,263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(107)</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August 4, 2018 by contractual maturity are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February 3, 2018, the Company’s investment securities were classified as held-to-maturity and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10,162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1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3, 2018 by contractual maturity were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twenty-six weeks ended August 4,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 w:right="320"/>
        <w:spacing w:after="0" w:line="312" w:lineRule="auto"/>
        <w:rPr>
          <w:sz w:val="20"/>
          <w:szCs w:val="20"/>
          <w:color w:val="auto"/>
        </w:rPr>
      </w:pPr>
      <w:r>
        <w:rPr>
          <w:rFonts w:ascii="Arial" w:cs="Arial" w:eastAsia="Arial" w:hAnsi="Arial"/>
          <w:sz w:val="16"/>
          <w:szCs w:val="16"/>
          <w:color w:val="auto"/>
        </w:rPr>
        <w:t>Fair market values of Level 2 investments are determined by management with the assistance of a third party pricing 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47" w:lineRule="exact"/>
        <w:rPr>
          <w:sz w:val="20"/>
          <w:szCs w:val="20"/>
          <w:color w:val="auto"/>
        </w:rPr>
      </w:pPr>
    </w:p>
    <w:p>
      <w:pPr>
        <w:ind w:left="181" w:hanging="181"/>
        <w:spacing w:after="0"/>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left="1" w:right="120"/>
        <w:spacing w:after="0" w:line="257" w:lineRule="auto"/>
        <w:rPr>
          <w:sz w:val="20"/>
          <w:szCs w:val="20"/>
          <w:color w:val="auto"/>
        </w:rPr>
      </w:pPr>
      <w:r>
        <w:rPr>
          <w:rFonts w:ascii="Arial" w:cs="Arial" w:eastAsia="Arial" w:hAnsi="Arial"/>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to leasehold improvements and fixtures and equipment at underperforming stores totaled $0.9 million and $0.1 million in the twenty-six week periods ended August 4, 2018 and July 29, 2017, respectively.</w:t>
      </w:r>
    </w:p>
    <w:p>
      <w:pPr>
        <w:spacing w:after="0" w:line="188" w:lineRule="exact"/>
        <w:rPr>
          <w:sz w:val="20"/>
          <w:szCs w:val="20"/>
          <w:color w:val="auto"/>
        </w:rPr>
      </w:pPr>
    </w:p>
    <w:p>
      <w:pPr>
        <w:ind w:left="181" w:hanging="181"/>
        <w:spacing w:after="0"/>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Revolving Line of Credit</w:t>
      </w:r>
    </w:p>
    <w:p>
      <w:pPr>
        <w:spacing w:after="0" w:line="225" w:lineRule="exact"/>
        <w:rPr>
          <w:sz w:val="20"/>
          <w:szCs w:val="20"/>
          <w:color w:val="auto"/>
        </w:rPr>
      </w:pPr>
    </w:p>
    <w:p>
      <w:pPr>
        <w:ind w:left="1" w:right="80"/>
        <w:spacing w:after="0" w:line="26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80" w:lineRule="exact"/>
        <w:rPr>
          <w:sz w:val="20"/>
          <w:szCs w:val="20"/>
          <w:color w:val="auto"/>
        </w:rPr>
      </w:pPr>
    </w:p>
    <w:p>
      <w:pPr>
        <w:ind w:left="221" w:hanging="221"/>
        <w:spacing w:after="0"/>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1"/>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ind w:left="1" w:right="240"/>
        <w:spacing w:after="0" w:line="286" w:lineRule="auto"/>
        <w:rPr>
          <w:sz w:val="20"/>
          <w:szCs w:val="20"/>
          <w:color w:val="auto"/>
        </w:rPr>
      </w:pPr>
      <w:r>
        <w:rPr>
          <w:rFonts w:ascii="Arial" w:cs="Arial" w:eastAsia="Arial" w:hAnsi="Arial"/>
          <w:sz w:val="17"/>
          <w:szCs w:val="17"/>
          <w:color w:val="auto"/>
        </w:rPr>
        <w:t xml:space="preserve">ASC 740-270, </w:t>
      </w:r>
      <w:r>
        <w:rPr>
          <w:rFonts w:ascii="Arial" w:cs="Arial" w:eastAsia="Arial" w:hAnsi="Arial"/>
          <w:sz w:val="17"/>
          <w:szCs w:val="17"/>
          <w:i w:val="1"/>
          <w:iCs w:val="1"/>
          <w:color w:val="auto"/>
        </w:rPr>
        <w:t>Income Taxes – Interim Reporting</w:t>
      </w:r>
      <w:r>
        <w:rPr>
          <w:rFonts w:ascii="Arial" w:cs="Arial" w:eastAsia="Arial" w:hAnsi="Arial"/>
          <w:sz w:val="17"/>
          <w:szCs w:val="17"/>
          <w:color w:val="auto"/>
        </w:rPr>
        <w:t>, requires companies to calculate income taxes by applying their estimated full-year tax rate in each interim period unless the estimated full-year tax rate is not reliably predictable. For the twenty-six weeks ended August 4, 2018 and July 29, 2017, the Company utilized this annual effective tax rate method to calculate income taxes.</w:t>
      </w:r>
    </w:p>
    <w:p>
      <w:pPr>
        <w:spacing w:after="0" w:line="166" w:lineRule="exact"/>
        <w:rPr>
          <w:sz w:val="20"/>
          <w:szCs w:val="20"/>
          <w:color w:val="auto"/>
        </w:rPr>
      </w:pPr>
    </w:p>
    <w:p>
      <w:pPr>
        <w:jc w:val="both"/>
        <w:ind w:left="1" w:right="440"/>
        <w:spacing w:after="0" w:line="312" w:lineRule="auto"/>
        <w:rPr>
          <w:sz w:val="20"/>
          <w:szCs w:val="20"/>
          <w:color w:val="auto"/>
        </w:rPr>
      </w:pPr>
      <w:r>
        <w:rPr>
          <w:rFonts w:ascii="Arial" w:cs="Arial" w:eastAsia="Arial" w:hAnsi="Arial"/>
          <w:sz w:val="16"/>
          <w:szCs w:val="16"/>
          <w:color w:val="auto"/>
        </w:rPr>
        <w:t>For the twenty-six weeks ended August 4, 2018, the effective income tax rate was 18.9%. This compares with a rate of 31.3% for the twenty-six weeks ended July 29, 2017. The decrease in the effective income tax rate was due primarily to the decrease in the federal income tax rate from 35% to 21% which was the result of the Tax Cuts and Jobs Act that was effective January 1, 2018.</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81" w:hanging="181"/>
        <w:spacing w:after="0"/>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Long-Term Liabilities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August 4, 2018 and February 3, 2018 are as follows (in thousands):</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3,</w:t>
            </w:r>
          </w:p>
        </w:tc>
      </w:tr>
      <w:tr>
        <w:trPr>
          <w:trHeight w:val="171"/>
        </w:trPr>
        <w:tc>
          <w:tcPr>
            <w:tcW w:w="48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4,325</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261" w:hanging="261"/>
        <w:spacing w:after="0"/>
        <w:tabs>
          <w:tab w:leader="none" w:pos="26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left="1" w:right="420"/>
        <w:spacing w:after="0" w:line="29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8" w:lineRule="exact"/>
        <w:rPr>
          <w:sz w:val="20"/>
          <w:szCs w:val="20"/>
          <w:color w:val="auto"/>
        </w:rPr>
      </w:pPr>
    </w:p>
    <w:p>
      <w:pPr>
        <w:ind w:left="261" w:hanging="261"/>
        <w:spacing w:after="0"/>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left="1" w:right="20"/>
        <w:spacing w:after="0" w:line="302" w:lineRule="auto"/>
        <w:rPr>
          <w:sz w:val="20"/>
          <w:szCs w:val="20"/>
          <w:color w:val="auto"/>
        </w:rPr>
      </w:pPr>
      <w:r>
        <w:rPr>
          <w:rFonts w:ascii="Arial" w:cs="Arial" w:eastAsia="Arial" w:hAnsi="Arial"/>
          <w:sz w:val="16"/>
          <w:szCs w:val="16"/>
          <w:color w:val="auto"/>
        </w:rPr>
        <w:t>On March 16, 2018, the Company’s Board of Directors approved a program that authorized the purchase of up to $25.0 million in shares of the Company’s common stock. During the twenty-six weeks ended August 4, 2018, the Company repurchased 730,812 shares of its common stock at an aggregate cost of $21.0 million. At August 4, 2018, $4.0 million remained available for purchase under this program.</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left="1" w:right="20"/>
        <w:spacing w:after="0" w:line="292" w:lineRule="auto"/>
        <w:rPr>
          <w:sz w:val="20"/>
          <w:szCs w:val="20"/>
          <w:color w:val="auto"/>
        </w:rPr>
      </w:pPr>
      <w:r>
        <w:rPr>
          <w:rFonts w:ascii="Arial" w:cs="Arial" w:eastAsia="Arial" w:hAnsi="Arial"/>
          <w:sz w:val="16"/>
          <w:szCs w:val="16"/>
          <w:color w:val="auto"/>
        </w:rPr>
        <w:t>On February 13, 2018, the Company’s Board of Directors declared a dividend of $0.08 per common share, which was paid on March 20, 2018 to stockholders of record as of March 6, 2018. On May 22, 2018, the Company’s Board of Directors declared a dividend of $0.08 per common share, which was paid on June 19, 2018 to stockholders of record as of June 5, 2018. On August 21, 2018, the Company’s Board of Directors declared a dividend of $0.08 per common share, payable on September 18, 2018 to stockholders of record as of September 4, 2018. Any determination to declare and pay cash dividends for future quarters will be made by the Company’s Board of Directors.</w:t>
      </w:r>
    </w:p>
    <w:p>
      <w:pPr>
        <w:spacing w:after="0" w:line="163" w:lineRule="exact"/>
        <w:rPr>
          <w:sz w:val="20"/>
          <w:szCs w:val="20"/>
          <w:color w:val="auto"/>
        </w:rPr>
      </w:pPr>
    </w:p>
    <w:p>
      <w:pPr>
        <w:ind w:left="261" w:hanging="261"/>
        <w:spacing w:after="0"/>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left="1"/>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 Update (“ASU”) No. 2014-09, Revenue from Contracts with Customers (Topic 606) (“ASU 2014-09”).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No. 2015-14 which deferred the effective date of ASU 2014-09 to annual reporting periods beginning after December 15, 2017 and interim periods in the year of adoption. The Company adopted ASU 2014-09 in fiscal 2018 beginning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did not have a material impact on the Company’s consolidated balance sheet, results of operations or cash flows. Additionally, adoption of the ASU did not result in significant changes to the Company’s business processes, controls or systems.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0" w:name="page11"/>
    <w:bookmarkEnd w:id="1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Not Yet Adopted</w:t>
      </w:r>
    </w:p>
    <w:p>
      <w:pPr>
        <w:spacing w:after="0" w:line="23" w:lineRule="exact"/>
        <w:rPr>
          <w:sz w:val="20"/>
          <w:szCs w:val="20"/>
          <w:color w:val="auto"/>
        </w:rPr>
      </w:pPr>
    </w:p>
    <w:p>
      <w:pPr>
        <w:ind w:left="1"/>
        <w:spacing w:after="0" w:line="267" w:lineRule="auto"/>
        <w:rPr>
          <w:sz w:val="20"/>
          <w:szCs w:val="20"/>
          <w:color w:val="auto"/>
        </w:rPr>
      </w:pPr>
      <w:r>
        <w:rPr>
          <w:rFonts w:ascii="Arial" w:cs="Arial" w:eastAsia="Arial" w:hAnsi="Arial"/>
          <w:sz w:val="17"/>
          <w:szCs w:val="17"/>
          <w:color w:val="auto"/>
        </w:rPr>
        <w:t>In February 2016, the FASB issued ASU No. 2016-02, Leases (“ASU 2016–02”) which replaces the existing guidance in ASC 840, Leases.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In July 2018, the FASB issued ASU No. 2018-11, Leases – Targeted Improvements, which provides for an additional transition method that allows companies to apply the new lease standard at the adoption date and recognize a cumulative-effect adjustment to retained earnings. This transition method option is in addition to the existing modified retrospective transition approach that requires companies to apply the standard to the earliest period presented in the financial statements. The Company will adopt ASU 2016-02 in fiscal 2019 and is evaluating which transition method it will use. The Company is currently in the process of evaluating the new lease guidance to determine the ultimate impact, but anticipates the new standard will result in significant right of use assets and related liabilities associated with its operating leases. All of the Company’s retail store locations are subject to operating lease arrangements. Being party to 554 leases for individual retail locations with an average remaining contractual rent period of 3.0 years, the Company has determined that the adoption of the new lease standard will have a significant impact on the Company’s consolidated balance sheet and disclosures.</w:t>
      </w:r>
    </w:p>
    <w:p>
      <w:pPr>
        <w:spacing w:after="0" w:line="182" w:lineRule="exact"/>
        <w:rPr>
          <w:sz w:val="20"/>
          <w:szCs w:val="20"/>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left="1"/>
        <w:spacing w:after="0" w:line="252" w:lineRule="auto"/>
        <w:rPr>
          <w:sz w:val="20"/>
          <w:szCs w:val="20"/>
          <w:color w:val="auto"/>
        </w:rPr>
      </w:pPr>
      <w:r>
        <w:rPr>
          <w:rFonts w:ascii="Arial" w:cs="Arial" w:eastAsia="Arial" w:hAnsi="Arial"/>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left="1" w:right="120"/>
        <w:spacing w:after="0" w:line="270"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Under ASU 2014-09, the Company recorded an estimated refund liability of $0.5 million, included in the line item “Accrued expenses,” and the carrying value of a return asset of $0.3 million, presented separately from inventory, included in the line item “Prepaid and other current assets” on the condensed consolidated balance sheets. The cumulative effect of the changes made to the August 4, 2018 condensed consolidated balance sheet from the modified retrospective adoption of ASU 2014-09 on retained earnings was immaterial.</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left="1" w:right="180"/>
        <w:spacing w:after="0" w:line="254" w:lineRule="auto"/>
        <w:rPr>
          <w:sz w:val="20"/>
          <w:szCs w:val="20"/>
          <w:color w:val="auto"/>
        </w:rPr>
      </w:pPr>
      <w:r>
        <w:rPr>
          <w:rFonts w:ascii="Arial" w:cs="Arial" w:eastAsia="Arial" w:hAnsi="Arial"/>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0" w:lineRule="exact"/>
        <w:rPr>
          <w:sz w:val="20"/>
          <w:szCs w:val="20"/>
          <w:color w:val="auto"/>
        </w:rPr>
      </w:pPr>
    </w:p>
    <w:p>
      <w:pPr>
        <w:ind w:left="1" w:right="500"/>
        <w:spacing w:after="0" w:line="338" w:lineRule="auto"/>
        <w:rPr>
          <w:sz w:val="20"/>
          <w:szCs w:val="20"/>
          <w:color w:val="auto"/>
        </w:rPr>
      </w:pPr>
      <w:r>
        <w:rPr>
          <w:rFonts w:ascii="Arial" w:cs="Arial" w:eastAsia="Arial" w:hAnsi="Arial"/>
          <w:sz w:val="16"/>
          <w:szCs w:val="16"/>
          <w:color w:val="auto"/>
        </w:rPr>
        <w:t>In the following table, the Company’s revenue is disaggregated by major product line. The percentage of net sales related to each classification of its merchandise assortment for the twenty-six and thirteen week periods of fiscal 2018 and 2017 was approximately:</w:t>
      </w:r>
    </w:p>
    <w:tbl>
      <w:tblPr>
        <w:tblLayout w:type="fixed"/>
        <w:tblInd w:w="1"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Twenty-Six Weeks Ended</w:t>
            </w: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w w:val="98"/>
              </w:rPr>
              <w:t>Thirteen Weeks Ended</w:t>
            </w:r>
          </w:p>
        </w:tc>
        <w:tc>
          <w:tcPr>
            <w:tcW w:w="1260" w:type="dxa"/>
            <w:vAlign w:val="bottom"/>
          </w:tcPr>
          <w:p>
            <w:pPr>
              <w:spacing w:after="0"/>
              <w:rPr>
                <w:sz w:val="14"/>
                <w:szCs w:val="14"/>
                <w:color w:val="auto"/>
              </w:rPr>
            </w:pPr>
          </w:p>
        </w:tc>
      </w:tr>
      <w:tr>
        <w:trPr>
          <w:trHeight w:val="225"/>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29,</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4,</w:t>
            </w: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July 29,</w:t>
            </w:r>
          </w:p>
        </w:tc>
        <w:tc>
          <w:tcPr>
            <w:tcW w:w="1260" w:type="dxa"/>
            <w:vAlign w:val="bottom"/>
          </w:tcPr>
          <w:p>
            <w:pPr>
              <w:spacing w:after="0"/>
              <w:rPr>
                <w:sz w:val="19"/>
                <w:szCs w:val="19"/>
                <w:color w:val="auto"/>
              </w:rPr>
            </w:pPr>
          </w:p>
        </w:tc>
      </w:tr>
      <w:tr>
        <w:trPr>
          <w:trHeight w:val="215"/>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8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8"/>
                <w:szCs w:val="18"/>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8"/>
                <w:szCs w:val="18"/>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26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Accessories</w:t>
            </w:r>
          </w:p>
        </w:tc>
        <w:tc>
          <w:tcPr>
            <w:tcW w:w="1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33 %</w:t>
            </w: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Ladies'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24 %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Men's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17 %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5 %</w:t>
            </w:r>
          </w:p>
        </w:tc>
        <w:tc>
          <w:tcPr>
            <w:tcW w:w="1260" w:type="dxa"/>
            <w:vAlign w:val="bottom"/>
          </w:tcPr>
          <w:p>
            <w:pPr>
              <w:spacing w:after="0"/>
              <w:rPr>
                <w:sz w:val="19"/>
                <w:szCs w:val="19"/>
                <w:color w:val="auto"/>
              </w:rPr>
            </w:pPr>
          </w:p>
        </w:tc>
      </w:tr>
      <w:tr>
        <w:trPr>
          <w:trHeight w:val="878"/>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12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61"/>
          </w:cols>
          <w:pgMar w:left="919" w:top="125" w:right="919" w:bottom="1440" w:gutter="0" w:footer="0" w:header="0"/>
        </w:sectPr>
      </w:pPr>
    </w:p>
    <w:bookmarkStart w:id="11" w:name="page12"/>
    <w:bookmarkEnd w:id="1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caused by acts of war or terrorism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3, 2018 and in Part II, “Item 1A. Risk Factors” and elsewhere in the Company’s Quarterly Reports on Form 10-Q and any amendments thereto and in the other documents the Company files with the SEC, including reports on Form 8-K.</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554 stores in both urban and rural markets in 31 states as of August 4,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following discussion contains references to fiscal years 2018 and 2017, which represent fiscal years ending or ended on February 2, 2019 and February 3, 2018, respectively. Fiscal 2018 has a 52-week accounting period and fiscal 2017 had a 53-week accounting period. This discussion and analysis should be read with the unaudited condensed consolidated financial statements and the notes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w:t>
      </w:r>
    </w:p>
    <w:p>
      <w:pPr>
        <w:ind w:right="40"/>
        <w:spacing w:after="0" w:line="261" w:lineRule="auto"/>
        <w:rPr>
          <w:sz w:val="20"/>
          <w:szCs w:val="20"/>
          <w:color w:val="auto"/>
        </w:rPr>
      </w:pPr>
      <w:r>
        <w:rPr>
          <w:rFonts w:ascii="Arial" w:cs="Arial" w:eastAsia="Arial" w:hAnsi="Arial"/>
          <w:sz w:val="18"/>
          <w:szCs w:val="18"/>
          <w:color w:val="auto"/>
        </w:rPr>
        <w:t>Results of a period shorter than a full year may not be indicative of results expected for the entire year. Furthermore, the seasonal nature of the Company’s business may affect comparisons between periods.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2017 and fiscal 2018 are not considered comparable stores in fiscal 2018.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in fiscal 2017), which are considered our most important operating statistics. We believe that excluding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7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w:t>
      </w:r>
    </w:p>
    <w:p>
      <w:pPr>
        <w:ind w:right="260"/>
        <w:spacing w:after="0" w:line="277" w:lineRule="auto"/>
        <w:rPr>
          <w:sz w:val="20"/>
          <w:szCs w:val="20"/>
          <w:color w:val="auto"/>
        </w:rPr>
      </w:pPr>
      <w:r>
        <w:rPr>
          <w:rFonts w:ascii="Arial" w:cs="Arial" w:eastAsia="Arial" w:hAnsi="Arial"/>
          <w:sz w:val="17"/>
          <w:szCs w:val="17"/>
          <w:color w:val="auto"/>
        </w:rPr>
        <w:t>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Provided below is a reconciliation of net income (loss) to EBITDA and to Adjusted EBITDA for the twenty-six and thirteen week periods ended August 4, 2018 and July 29, 2017 (in thousands):</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49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August 4, 2018</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July 29, 2017</w:t>
            </w:r>
          </w:p>
        </w:tc>
        <w:tc>
          <w:tcPr>
            <w:tcW w:w="80" w:type="dxa"/>
            <w:vAlign w:val="bottom"/>
          </w:tcPr>
          <w:p>
            <w:pPr>
              <w:spacing w:after="0"/>
              <w:rPr>
                <w:sz w:val="12"/>
                <w:szCs w:val="12"/>
                <w:color w:val="auto"/>
              </w:rPr>
            </w:pPr>
          </w:p>
        </w:tc>
        <w:tc>
          <w:tcPr>
            <w:tcW w:w="10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August 4, 2018</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July 29, 2017</w:t>
            </w:r>
          </w:p>
        </w:tc>
        <w:tc>
          <w:tcPr>
            <w:tcW w:w="60" w:type="dxa"/>
            <w:vAlign w:val="bottom"/>
          </w:tcPr>
          <w:p>
            <w:pPr>
              <w:spacing w:after="0"/>
              <w:rPr>
                <w:sz w:val="12"/>
                <w:szCs w:val="12"/>
                <w:color w:val="auto"/>
              </w:rPr>
            </w:pPr>
          </w:p>
        </w:tc>
      </w:tr>
      <w:tr>
        <w:trPr>
          <w:trHeight w:val="210"/>
        </w:trPr>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4,589</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Proxy contest expenses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60" w:type="dxa"/>
            <w:vAlign w:val="bottom"/>
            <w:tcBorders>
              <w:bottom w:val="single" w:sz="8" w:color="CCEEFF"/>
            </w:tcBorders>
          </w:tcPr>
          <w:p>
            <w:pPr>
              <w:spacing w:after="0"/>
              <w:rPr>
                <w:sz w:val="18"/>
                <w:szCs w:val="18"/>
                <w:color w:val="auto"/>
              </w:rPr>
            </w:pPr>
          </w:p>
        </w:tc>
      </w:tr>
      <w:tr>
        <w:trPr>
          <w:trHeight w:val="210"/>
        </w:trPr>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 w:name="page14"/>
    <w:bookmarkEnd w:id="1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August 4, 2018 and July 29, 2017</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$26.8 million, or 7.3%, to $393.0 million in the twenty-six weeks ended August 4, 2018 from $366.2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twenty-six weeks ended July 29, 2017. Sales comparisons to the prior year for fiscal 2018 are affected by the calendar shift caused by last year having 53 weeks. The increase in sales was due to a 5.1% increase in comparable store sales (2.7% increase on a comparable weeks basis) and the opening of 15 new stores since last year’s second quarter, partially offset by the impact of closing six stores since the second quarter of 2017. The increase in comparable store sales on a comparable weeks basis was reflected in a 2% increase in the average number of items per transaction, together with a 1% increase in the average unit sale, partially offset by a slight decrease in the number of customer transactions. Comparable store sales changes by major merchandise class were as follows in the first twenty-six weeks of fiscal 2018: Home +16%; Men’s +3%; Accessories +3%; Ladies’ +2%; and Children’s +1%.</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2.7% increase in comparable store sales on a comparable weeks basis resulted in an increase of $9.8 million in sales, store opening and closing activity resulted in a net increase of $8.2 million in sales, and the aforementioned calendar shift contributed $8.8 million to the sales increase.</w:t>
      </w:r>
    </w:p>
    <w:p>
      <w:pPr>
        <w:spacing w:after="0" w:line="11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$15.2 million, or 6.8%, to $239.8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twenty-six weeks ended August 4, 2018 from $224.6 million in the twenty-six weeks ended July 29, 2017. Cost of sales as a percentage of sales decreased to 61.0% in the twenty-six weeks ended August 4, 2018 from 61.3% in the twenty-six weeks ended</w:t>
      </w:r>
    </w:p>
    <w:p>
      <w:pPr>
        <w:ind w:right="300"/>
        <w:spacing w:after="0" w:line="261" w:lineRule="auto"/>
        <w:rPr>
          <w:sz w:val="20"/>
          <w:szCs w:val="20"/>
          <w:color w:val="auto"/>
        </w:rPr>
      </w:pPr>
      <w:r>
        <w:rPr>
          <w:rFonts w:ascii="Arial" w:cs="Arial" w:eastAsia="Arial" w:hAnsi="Arial"/>
          <w:sz w:val="18"/>
          <w:szCs w:val="18"/>
          <w:color w:val="auto"/>
        </w:rPr>
        <w:t>July 29, 2017, due to a 30 basis points improvement in the core merchandise margin (initial mark-up, net of markdowns) and a 30 basis points reduction in shrinkage, partially offset by a 30 basis points increase in freight costs.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$5.0 million, or 4.1%, to $125.3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twenty-six weeks ended August 4, 2018 from $120.3 million in the twenty-six weeks ended July 29, 2017 due primarily to normal inflationary pressure on expenses such as rent and payroll, together with the impact on expenses of opening 15 new stores since last year’s second quarter. These factors that caused the increase in selling, general and administrative expenses were partially offset by $2.5 million in expenses incurred last year in connection with our proxy contest. As a percentage of sales, selling, general and administrative expenses decreased to 31.9% in the first twenty-six weeks of fiscal 2018 from 32.9% in the first twenty-six weeks of fiscal 2017 due primarily to the leveraging effect resulting from higher comparable store sales and last year’s non-recurring proxy contest expenses.</w:t>
      </w:r>
    </w:p>
    <w:p>
      <w:pPr>
        <w:spacing w:after="0" w:line="16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increased $0.8 million, or 8.6%, to $9.7 million in the first twenty-six weeks of fiscal 2018 from $8.9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twenty-six weeks of fiscal 2017 due primarily to the acceleration of our store opening pace in relation to previous years, along with the completion of an expansion of our Roland, Oklahoma distribution center.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$0.9 million in the first twenty-six weeks of fiscal 2018 and $0.1 million during the first twenty-six weeks of fiscal 2017.</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$0.6 million, or 14.2%, to $3.4 million in the first twenty-six weeks of fiscal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$4.0 million in the first twenty-six weeks of fiscal 2017, due to a decrease in the effective income tax rate from 31.3% to 18.9%. This decrease was a result of the reduction in the federal income tax rate from 35% to 21% included in the Tax Cuts and Jobs Act that was effective January 1, 2018.</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$5.8 million, or 67.4%, to $14.5 million in the first twenty-six weeks of fiscal 2018 from $8.7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twenty-six weeks of fiscal 2017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August 4, 2018 and July 29, 2017</w:t>
      </w:r>
    </w:p>
    <w:p>
      <w:pPr>
        <w:spacing w:after="0" w:line="2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$15.8 million, or 9.5%, to $182.0 million in the thirteen weeks ended August 4, 2018 from $166.2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thirteen weeks ended July 29, 2017. Sales comparisons to the prior year for each quarter of fiscal 2018 are affected by the calendar shift caused by last year having 53 weeks. Each of the first three quarters in fiscal 2018 begins and ends one week later than the same quarter of fiscal 2017, which can have an impact on quarterly sales comparisons if the beginning and ending weeks of the quarter have different levels of sales volumes. The increase in sales was due to a 7.4% increase in comparable store sales (3.3% on a comparable weeks basis) and the opening of 15 new stores since last year’s second quarter, partially offset by the impact of closing six stores since the second quarter of 2017. The increase in comparable store sales on a comparable weeks basis was reflected in a 2% increase in the average number of items per transaction, together with a 1% increase in the average unit sale and a slight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increase in the number of customer transactions. Comparable store sales changes by major merchandise class were as follows in the second quarter of 2018: Home +11%; Men’s +5%; Accessories +3%; Children’s +3%; and Ladies’ less than +1%.</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3.3% comparable store sales increase on a comparable weeks basis resulted in an increase of $5.5 million in sales, while store opening and closing activity resulted in a net increase of $3.6 million in sales, and the aforementioned calendar shift contributed $6.7 million to the sales increase.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$8.2 million, or 8.0%, to $110.4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2018 from $102.2 million in last year’s second quarter. Cost of sales as a percentage of sales decreased to 60.7% in the second quarter of 2018 from 61.5% in last year’s second quarter. The decrease in cost of sales as a percentage of sales was due primarily to a 50 basis points reduction in shrinkage in the second quarter this year versus last year and a 40 basis points improvement in the core merchandise margin (initial mark-up, net of markdowns). Partially offsetting these margin enhancements was a 10 basis points increase in freight costs.</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$2.5 million, or 4.1%, to $62.3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of 2018 from $59.8 million in last year’s second quarter due primarily to the impact on expenses of opening 15 new stores since last year’s second quarter, together with normal inflationary pressure on expenses such as rent and payroll, partially offset by last year’s $0.9 million of expenses incurred in connection with our proxy contest. As a percentage of sales, selling, general and administrative expenses decreased to 34.2% in the second quarter of 2018 from 36.0% in the second quarter of 2017 due primarily to the leveraging effect resulting from higher comparable store sales and last year’s non-recurring proxy contest expenses.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increased $0.1 million, or 1.9%, to $4.7 million in the second quarter of 2018 from $4.6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$0.9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and $0.1 million in the second quarter of 2017.</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was $0.8 million in the second quarter of 2018 and a benefit of $0.1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2017, due primarily to having pretax income of $4.0 million this year compared with a pretax loss of $0.3 million last year.</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increased to $3.2 million in the second quarter of 2018 from a loss of $0.2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cash requirements are primarily for working capital and capital expenditures for new and existing stores, distribution infrastructure and information systems. In addition, in the first quarter of 2018, we initiated a share repurchase program authorizing the repurchase of up to $25.0 million of our common stock and have repurchased shares of our common stock at an aggregate cost of $21.0 million year to</w:t>
      </w:r>
    </w:p>
    <w:p>
      <w:pPr>
        <w:ind w:right="200"/>
        <w:spacing w:after="0" w:line="254" w:lineRule="auto"/>
        <w:rPr>
          <w:sz w:val="20"/>
          <w:szCs w:val="20"/>
          <w:color w:val="auto"/>
        </w:rPr>
      </w:pPr>
      <w:r>
        <w:rPr>
          <w:rFonts w:ascii="Arial" w:cs="Arial" w:eastAsia="Arial" w:hAnsi="Arial"/>
          <w:sz w:val="18"/>
          <w:szCs w:val="18"/>
          <w:color w:val="auto"/>
        </w:rPr>
        <w:t>date. In recent years, we have met these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7 to the condensed consolidated financial statements included in Part I, Item 1 of this report.</w:t>
      </w:r>
    </w:p>
    <w:p>
      <w:pPr>
        <w:spacing w:after="0" w:line="1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Current Financial Condition. </w:t>
      </w:r>
      <w:r>
        <w:rPr>
          <w:rFonts w:ascii="Arial" w:cs="Arial" w:eastAsia="Arial" w:hAnsi="Arial"/>
          <w:sz w:val="17"/>
          <w:szCs w:val="17"/>
          <w:color w:val="auto"/>
        </w:rPr>
        <w:t>As of August 4, 2018, we had total cash and cash equivalents of $41.0 million compared to $48.5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of February 3, 2018. Additionally, we had $36.0 million and $13.0 million of short-term and long-term investment securities, respectively, as of August 4, 2018, compared with $31.5 million and $25.5 million, respectively, as of February 3, 2018. These securities are comprised of bank certificates of deposit and obligations of the U.S. Treasury, states and municipalities. Inventory represented 44.7% of our total assets as of August 4, 2018, compared to 42.1% as of February 3, 2018.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5" w:name="page16"/>
    <w:bookmarkEnd w:id="1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$14.3 million in the twenty-six weeks ended</w:t>
      </w:r>
      <w:r>
        <w:rPr>
          <w:rFonts w:ascii="Arial" w:cs="Arial" w:eastAsia="Arial" w:hAnsi="Arial"/>
          <w:sz w:val="16"/>
          <w:szCs w:val="16"/>
          <w:i w:val="1"/>
          <w:iCs w:val="1"/>
          <w:color w:val="auto"/>
        </w:rPr>
        <w:t xml:space="preserve"> </w:t>
      </w:r>
      <w:r>
        <w:rPr>
          <w:rFonts w:ascii="Arial" w:cs="Arial" w:eastAsia="Arial" w:hAnsi="Arial"/>
          <w:sz w:val="16"/>
          <w:szCs w:val="16"/>
          <w:color w:val="auto"/>
        </w:rPr>
        <w:t>August 4, 2018 compared to $16.0 million in the twenty-six weeks ended July 29, 2017. Sources of cash provided during the first half of 2018 included net income adjusted for noncash expenses such as depreciation, asset impairment, loss on disposal of property and equipment, insurance proceeds from operating activities, deferred income taxes and stock-based compensation expense, totaling</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$26.2 million (compared to $21.3 million in the first half of 2017). Other significant sources of cash in the first half of 2018 were a $1.2 million increase in layaway deposits (compared to a $1.3 million increase in the first half of 2017) because layaways are heavier at the end of the second quarter when they include merchandise put on layaway in advance of the back-to-school season than at the end of the fourth quarter after merchandise put on layaway for Christmas has been picked up.</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Significant uses of cash from operating activities in the first half of 2018 were (1) a $4.2 million decrease in accrued compensation (compared to a $0.7 million increase in the first half of 2017) due to payment in the first half of 2018 of incentive compensation accrued in fiscal 2017; (2) a $3.9 million decrease in accounts payable (compared to an $8.3 million decrease in the first half of 2017) due to a higher level of next-season-buy inventory at August 4, 2018, with such merchandise being already paid for since it was purchased earlier than 60 days before quarter end; (3) a $2.3 million increase in prepaid and other current assets (compared to a $1.4 million increase in the first half of 2017) due primarily to an increase in charge card receivables attributable to higher sales and a greater percentage of customers paying with charge cards; (4) a $1.6 million change in the income tax payable/receivable (compared to a $0.3 million change in the first half of 2017) due to estimated tax payments made during the quarter; and (5) a $1.3 million increase in inventory (compared with a $1.8 million decrease in the first half of 2017) due primarily to the aforementioned increase in next-season-buy inventory.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provided by investing activities was $2.4 million in the twenty-six weeks ended</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August 4, 2018 compared to cash used of $7.2 million in the twenty-six weeks ended July 29, 2017. Sales/redemptions of investment securities, net of purchases, provided cash of $7.9 million and $5.3 million in the first half of 2018 and 2017, respectively. Cash used for purchases of property and equipment totaled $5.7 million and $12.9 million in the first half of 2018 and 2017, respectively.</w:t>
      </w:r>
    </w:p>
    <w:p>
      <w:pPr>
        <w:spacing w:after="0" w:line="1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$24.1 million in the twenty-six weeks ended August 4,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$27.9 million in the twenty-six weeks ended July 29, 2017, with the decrease due primarily to the repurchase of common stock for an aggregate purchase price of $21.0 million and $25.0 million during the first half of 2018 and 2017, respectively. Dividends paid to stockholders used cash of $2.2 million and $2.1 million in the first half of 2018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principal sources of liquidity consist of: (i) cash and cash equivalents (which equaled $41.0 million as of August 4, 2018); (ii) short-term and long-term investment securities (which equaled $36.0 million and $13.0 million, respectively, as of August 4, 2018); (iii) short-term trade credit; (iv) cash generated from operations on an ongoing basis as we sell our merchandise inventory; and (v) a $50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6" w:name="page17"/>
    <w:bookmarkEnd w:id="1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discussion of Recent Accounting Pronouncements in Note 12 to the condensed consolidated financial statements included in Part I, Item 1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There have been no material changes to the Critical Accounting Policies outlined in the Company’s Annual Report on Form 10-K for the year ended February 3,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our market risk during the twenty-six weeks ended August 4, 2018 compared to the disclosures in Part II, Item 7A of our Annual Report on Form 10-K for the year ended February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Chief Executive Officer and Chief Financial Officer, of the effectiveness of the design and operation of our disclosure controls and procedures as of August 4, 2018 pursuant to Rules 13a-15 and 15d-15 of the Exchange Act. Based on that evaluation, the Chief Executive Officer and Chief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6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 August 4, 2018 that have materially affected, or are reasonably likely to materially affect, our internal control over financial reporting.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7" w:name="page18"/>
    <w:bookmarkEnd w:id="17"/>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 w:right="20"/>
        <w:spacing w:after="0" w:line="27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 w:right="180"/>
        <w:spacing w:after="0" w:line="277" w:lineRule="auto"/>
        <w:rPr>
          <w:sz w:val="20"/>
          <w:szCs w:val="20"/>
          <w:color w:val="auto"/>
        </w:rPr>
      </w:pPr>
      <w:r>
        <w:rPr>
          <w:rFonts w:ascii="Arial" w:cs="Arial" w:eastAsia="Arial" w:hAnsi="Arial"/>
          <w:sz w:val="18"/>
          <w:szCs w:val="18"/>
          <w:color w:val="auto"/>
        </w:rPr>
        <w:t>There have been no material changes to the Risk Factors described under the section titled “Item 1A. Risk Factors” in our Annual Report on Form 10-K for the fiscal year ended February 3, 2018.</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left="1" w:right="160"/>
        <w:spacing w:after="0" w:line="277" w:lineRule="auto"/>
        <w:rPr>
          <w:sz w:val="20"/>
          <w:szCs w:val="20"/>
          <w:color w:val="auto"/>
        </w:rPr>
      </w:pPr>
      <w:r>
        <w:rPr>
          <w:rFonts w:ascii="Arial" w:cs="Arial" w:eastAsia="Arial" w:hAnsi="Arial"/>
          <w:sz w:val="18"/>
          <w:szCs w:val="18"/>
          <w:color w:val="auto"/>
        </w:rPr>
        <w:t>The number of shares of common stock that we repurchased during the second quarter of fiscal 2018 and the average price paid per share are as follows: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(5/6/18 - 6/2/18)</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21,377,068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June (6/3/18 - 7/7/18)</w:t>
            </w:r>
          </w:p>
        </w:tc>
        <w:tc>
          <w:tcPr>
            <w:tcW w:w="1080" w:type="dxa"/>
            <w:vAlign w:val="bottom"/>
          </w:tcPr>
          <w:p>
            <w:pPr>
              <w:jc w:val="right"/>
              <w:spacing w:after="0"/>
              <w:rPr>
                <w:sz w:val="20"/>
                <w:szCs w:val="20"/>
                <w:color w:val="auto"/>
              </w:rPr>
            </w:pPr>
            <w:r>
              <w:rPr>
                <w:rFonts w:ascii="Arial" w:cs="Arial" w:eastAsia="Arial" w:hAnsi="Arial"/>
                <w:sz w:val="18"/>
                <w:szCs w:val="18"/>
                <w:color w:val="auto"/>
              </w:rPr>
              <w:t>324,746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28.38</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12,172,081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(7/8/18 - 8/4/18)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1" w:hanging="201"/>
        <w:spacing w:after="0"/>
        <w:tabs>
          <w:tab w:leader="none" w:pos="2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r>
        <w:rPr>
          <w:rFonts w:ascii="Arial" w:cs="Arial" w:eastAsia="Arial" w:hAnsi="Arial"/>
          <w:sz w:val="18"/>
          <w:szCs w:val="18"/>
          <w:color w:val="auto"/>
        </w:rPr>
        <w:t>.</w:t>
      </w:r>
    </w:p>
    <w:p>
      <w:pPr>
        <w:spacing w:after="0" w:line="16" w:lineRule="exact"/>
        <w:rPr>
          <w:rFonts w:ascii="Arial" w:cs="Arial" w:eastAsia="Arial" w:hAnsi="Arial"/>
          <w:sz w:val="14"/>
          <w:szCs w:val="14"/>
          <w:color w:val="auto"/>
        </w:rPr>
      </w:pPr>
    </w:p>
    <w:p>
      <w:pPr>
        <w:ind w:left="201" w:hanging="201"/>
        <w:spacing w:after="0" w:line="221" w:lineRule="auto"/>
        <w:tabs>
          <w:tab w:leader="none" w:pos="2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March 16, 2018, we announced a $25.0 million stock repurchase program, under which approximately $4.0 million remained available as of August 4,</w:t>
      </w:r>
    </w:p>
    <w:p>
      <w:pPr>
        <w:ind w:left="1" w:right="140"/>
        <w:spacing w:after="0" w:line="237" w:lineRule="auto"/>
        <w:rPr>
          <w:sz w:val="20"/>
          <w:szCs w:val="20"/>
          <w:color w:val="auto"/>
        </w:rPr>
      </w:pPr>
      <w:r>
        <w:rPr>
          <w:rFonts w:ascii="Arial" w:cs="Arial" w:eastAsia="Arial" w:hAnsi="Arial"/>
          <w:sz w:val="14"/>
          <w:szCs w:val="14"/>
          <w:color w:val="auto"/>
        </w:rPr>
        <w:t>2018. Repurchases under the stock repurchase program may be made at management’s discretion from time to time on the open market, in privately negotiated transactions or otherwise, and may be made in part under one or more Rule 10b5-1 plans. The stock repurchase program does not have an expiration date.</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6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5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6. Exhibits.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8900" w:type="dxa"/>
            <w:vAlign w:val="bottom"/>
            <w:gridSpan w:val="10"/>
          </w:tcPr>
          <w:p>
            <w:pPr>
              <w:spacing w:after="0"/>
              <w:rPr>
                <w:rFonts w:ascii="Arial" w:cs="Arial" w:eastAsia="Arial" w:hAnsi="Arial"/>
                <w:sz w:val="18"/>
                <w:szCs w:val="18"/>
                <w:color w:val="0000EE"/>
                <w:w w:val="96"/>
              </w:rPr>
            </w:pPr>
            <w:hyperlink r:id="rId26">
              <w:r>
                <w:rPr>
                  <w:rFonts w:ascii="Arial" w:cs="Arial" w:eastAsia="Arial" w:hAnsi="Arial"/>
                  <w:sz w:val="18"/>
                  <w:szCs w:val="18"/>
                  <w:color w:val="0000EE"/>
                  <w:w w:val="96"/>
                </w:rPr>
                <w:t>Third Amended and Restated Certificate of Incorporation (incorporated by reference to Exhibit 3.1 to the Company’s</w:t>
              </w:r>
            </w:hyperlink>
          </w:p>
        </w:tc>
      </w:tr>
      <w:tr>
        <w:trPr>
          <w:trHeight w:val="183"/>
        </w:trPr>
        <w:tc>
          <w:tcPr>
            <w:tcW w:w="1060" w:type="dxa"/>
            <w:vAlign w:val="bottom"/>
          </w:tcPr>
          <w:p>
            <w:pPr>
              <w:spacing w:after="0"/>
              <w:rPr>
                <w:sz w:val="15"/>
                <w:szCs w:val="15"/>
                <w:color w:val="auto"/>
              </w:rPr>
            </w:pPr>
          </w:p>
        </w:tc>
        <w:tc>
          <w:tcPr>
            <w:tcW w:w="4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Current Report on Form 8-K filed with the SEC on June 7, 2018).</w:t>
              </w:r>
            </w:hyperlink>
          </w:p>
        </w:tc>
        <w:tc>
          <w:tcPr>
            <w:tcW w:w="3700" w:type="dxa"/>
            <w:vAlign w:val="bottom"/>
            <w:tcBorders>
              <w:top w:val="single" w:sz="8" w:color="0000EE"/>
            </w:tcBorders>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8900" w:type="dxa"/>
            <w:vAlign w:val="bottom"/>
            <w:gridSpan w:val="10"/>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Third Amended and Restated By-laws (incorporated by reference to Exhibit 3.2 to the Company’s Current Report on Form</w:t>
              </w:r>
            </w:hyperlink>
          </w:p>
        </w:tc>
      </w:tr>
      <w:tr>
        <w:trPr>
          <w:trHeight w:val="183"/>
        </w:trPr>
        <w:tc>
          <w:tcPr>
            <w:tcW w:w="1060" w:type="dxa"/>
            <w:vAlign w:val="bottom"/>
          </w:tcPr>
          <w:p>
            <w:pPr>
              <w:spacing w:after="0"/>
              <w:rPr>
                <w:sz w:val="15"/>
                <w:szCs w:val="15"/>
                <w:color w:val="auto"/>
              </w:rPr>
            </w:pPr>
          </w:p>
        </w:tc>
        <w:tc>
          <w:tcPr>
            <w:tcW w:w="88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27">
              <w:r>
                <w:rPr>
                  <w:rFonts w:ascii="Arial" w:cs="Arial" w:eastAsia="Arial" w:hAnsi="Arial"/>
                  <w:sz w:val="18"/>
                  <w:szCs w:val="18"/>
                  <w:color w:val="0000EE"/>
                </w:rPr>
                <w:t>8-K filed with the SEC on June 7, 2018).</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8900" w:type="dxa"/>
            <w:vAlign w:val="bottom"/>
            <w:gridSpan w:val="10"/>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Certification of Bruce D. Smith, Chief Executive Officer, Pursuant to Rule 13a-14(a) of the Securities Exchange Act of</w:t>
              </w:r>
            </w:hyperlink>
          </w:p>
        </w:tc>
      </w:tr>
      <w:tr>
        <w:trPr>
          <w:trHeight w:val="183"/>
        </w:trPr>
        <w:tc>
          <w:tcPr>
            <w:tcW w:w="1060" w:type="dxa"/>
            <w:vAlign w:val="bottom"/>
          </w:tcPr>
          <w:p>
            <w:pPr>
              <w:spacing w:after="0"/>
              <w:rPr>
                <w:sz w:val="15"/>
                <w:szCs w:val="15"/>
                <w:color w:val="auto"/>
              </w:rPr>
            </w:pPr>
          </w:p>
        </w:tc>
        <w:tc>
          <w:tcPr>
            <w:tcW w:w="8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1934, adopted pursuant to Section 302 of the Sarbanes-Oxley Act of 2002.*</w:t>
              </w:r>
            </w:hyperlink>
          </w:p>
        </w:tc>
        <w:tc>
          <w:tcPr>
            <w:tcW w:w="10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80" w:type="dxa"/>
            <w:vAlign w:val="bottom"/>
            <w:gridSpan w:val="3"/>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8900" w:type="dxa"/>
            <w:vAlign w:val="bottom"/>
            <w:gridSpan w:val="10"/>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Certification of Stuart C. Clifford, Chief Financial Officer, Pursuant to Rule 13a-14(a) of the Securities Exchange Act of</w:t>
              </w:r>
            </w:hyperlink>
          </w:p>
        </w:tc>
      </w:tr>
      <w:tr>
        <w:trPr>
          <w:trHeight w:val="183"/>
        </w:trPr>
        <w:tc>
          <w:tcPr>
            <w:tcW w:w="1060" w:type="dxa"/>
            <w:vAlign w:val="bottom"/>
          </w:tcPr>
          <w:p>
            <w:pPr>
              <w:spacing w:after="0"/>
              <w:rPr>
                <w:sz w:val="15"/>
                <w:szCs w:val="15"/>
                <w:color w:val="auto"/>
              </w:rPr>
            </w:pPr>
          </w:p>
        </w:tc>
        <w:tc>
          <w:tcPr>
            <w:tcW w:w="87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1934, adopted pursuant to Section 302 of the Sarbanes-Oxley Act of 2002.*</w:t>
              </w:r>
            </w:hyperlink>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80" w:type="dxa"/>
            <w:vAlign w:val="bottom"/>
            <w:gridSpan w:val="3"/>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8900" w:type="dxa"/>
            <w:vAlign w:val="bottom"/>
            <w:gridSpan w:val="1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Certifications Pursuant to 18 U.S.C. Section 1350, as adopted pursuant to Section 906 of the Sarbanes-Oxley Act of 2002.*</w:t>
              </w:r>
            </w:hyperlink>
          </w:p>
        </w:tc>
      </w:tr>
      <w:tr>
        <w:trPr>
          <w:trHeight w:val="183"/>
        </w:trPr>
        <w:tc>
          <w:tcPr>
            <w:tcW w:w="1060" w:type="dxa"/>
            <w:vAlign w:val="bottom"/>
          </w:tcPr>
          <w:p>
            <w:pPr>
              <w:spacing w:after="0"/>
              <w:rPr>
                <w:sz w:val="15"/>
                <w:szCs w:val="15"/>
                <w:color w:val="auto"/>
              </w:rPr>
            </w:pPr>
          </w:p>
        </w:tc>
        <w:tc>
          <w:tcPr>
            <w:tcW w:w="88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w:t>
              </w:r>
            </w:hyperlink>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061" w:right="20" w:hanging="1057"/>
        <w:spacing w:after="0"/>
        <w:tabs>
          <w:tab w:leader="none" w:pos="10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following financial information from Citi Trends, Inc.’s Quarterly Report on Form 10-Q for the quarter ended August 4, 2018, formatted in Extensible Business Reporting Language (XBRL): (i) the Condensed Consolidated Balance Sheets as of August 4, 2018 and February 3, 2018, (ii) the Condensed Consolidated Statements of Operations for the twenty-six and thirteen week periods ended August 4, 2018 and July 29, 2017, (iii) the Condensed Consolidated Statements of Cash Flows for the twenty-six week periods ended August 4, 2018 and July 29, 2017, and (iv) Notes to the Condensed Consolidated Financial Statements (unaudited).*</w:t>
      </w:r>
    </w:p>
    <w:p>
      <w:pPr>
        <w:spacing w:after="0" w:line="20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15951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5" w:lineRule="exact"/>
        <w:rPr>
          <w:sz w:val="20"/>
          <w:szCs w:val="20"/>
          <w:color w:val="auto"/>
        </w:rPr>
      </w:pPr>
    </w:p>
    <w:p>
      <w:pPr>
        <w:ind w:left="1" w:hanging="1"/>
        <w:spacing w:after="0" w:line="257" w:lineRule="auto"/>
        <w:tabs>
          <w:tab w:leader="none" w:pos="3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19" w:name="page20"/>
    <w:bookmarkEnd w:id="19"/>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ind w:left="5040"/>
              <w:spacing w:after="0"/>
              <w:rPr>
                <w:sz w:val="20"/>
                <w:szCs w:val="20"/>
                <w:color w:val="auto"/>
              </w:rPr>
            </w:pPr>
            <w:r>
              <w:rPr>
                <w:rFonts w:ascii="Arial" w:cs="Arial" w:eastAsia="Arial" w:hAnsi="Arial"/>
                <w:sz w:val="18"/>
                <w:szCs w:val="18"/>
                <w:color w:val="auto"/>
              </w:rPr>
              <w:t>CITI TRENDS, INC.</w:t>
            </w:r>
          </w:p>
        </w:tc>
      </w:tr>
      <w:tr>
        <w:trPr>
          <w:trHeight w:val="486"/>
        </w:trPr>
        <w:tc>
          <w:tcPr>
            <w:tcW w:w="5780" w:type="dxa"/>
            <w:vAlign w:val="bottom"/>
          </w:tcPr>
          <w:p>
            <w:pPr>
              <w:spacing w:after="0"/>
              <w:rPr>
                <w:sz w:val="20"/>
                <w:szCs w:val="20"/>
                <w:color w:val="auto"/>
              </w:rPr>
            </w:pPr>
            <w:r>
              <w:rPr>
                <w:rFonts w:ascii="Arial" w:cs="Arial" w:eastAsia="Arial" w:hAnsi="Arial"/>
                <w:sz w:val="18"/>
                <w:szCs w:val="18"/>
                <w:color w:val="auto"/>
              </w:rPr>
              <w:t>Date: September 6, 2018</w:t>
            </w:r>
          </w:p>
        </w:tc>
        <w:tc>
          <w:tcPr>
            <w:tcW w:w="4280" w:type="dxa"/>
            <w:vAlign w:val="bottom"/>
          </w:tcPr>
          <w:p>
            <w:pPr>
              <w:spacing w:after="0"/>
              <w:rPr>
                <w:sz w:val="24"/>
                <w:szCs w:val="24"/>
                <w:color w:val="auto"/>
              </w:rPr>
            </w:pPr>
          </w:p>
        </w:tc>
      </w:tr>
      <w:tr>
        <w:trPr>
          <w:trHeight w:val="392"/>
        </w:trPr>
        <w:tc>
          <w:tcPr>
            <w:tcW w:w="5780" w:type="dxa"/>
            <w:vAlign w:val="bottom"/>
          </w:tcPr>
          <w:p>
            <w:pPr>
              <w:ind w:left="50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r>
      <w:tr>
        <w:trPr>
          <w:trHeight w:val="182"/>
        </w:trPr>
        <w:tc>
          <w:tcPr>
            <w:tcW w:w="5780" w:type="dxa"/>
            <w:vAlign w:val="bottom"/>
          </w:tcPr>
          <w:p>
            <w:pPr>
              <w:ind w:left="5040"/>
              <w:spacing w:after="0" w:line="182" w:lineRule="exact"/>
              <w:rPr>
                <w:sz w:val="20"/>
                <w:szCs w:val="20"/>
                <w:color w:val="auto"/>
              </w:rPr>
            </w:pPr>
            <w:r>
              <w:rPr>
                <w:rFonts w:ascii="Arial" w:cs="Arial" w:eastAsia="Arial" w:hAnsi="Arial"/>
                <w:sz w:val="18"/>
                <w:szCs w:val="18"/>
                <w:color w:val="auto"/>
              </w:rPr>
              <w:t>Name:</w:t>
            </w: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Stuart C. Clifford</w:t>
            </w:r>
          </w:p>
        </w:tc>
      </w:tr>
      <w:tr>
        <w:trPr>
          <w:trHeight w:val="230"/>
        </w:trPr>
        <w:tc>
          <w:tcPr>
            <w:tcW w:w="5780" w:type="dxa"/>
            <w:vAlign w:val="bottom"/>
          </w:tcPr>
          <w:p>
            <w:pPr>
              <w:ind w:left="50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51"/>
        </w:trPr>
        <w:tc>
          <w:tcPr>
            <w:tcW w:w="5780" w:type="dxa"/>
            <w:vAlign w:val="bottom"/>
          </w:tcPr>
          <w:p>
            <w:pPr>
              <w:ind w:left="4940"/>
              <w:spacing w:after="0"/>
              <w:rPr>
                <w:sz w:val="20"/>
                <w:szCs w:val="20"/>
                <w:color w:val="auto"/>
              </w:rPr>
            </w:pPr>
            <w:r>
              <w:rPr>
                <w:rFonts w:ascii="Arial" w:cs="Arial" w:eastAsia="Arial" w:hAnsi="Arial"/>
                <w:sz w:val="18"/>
                <w:szCs w:val="18"/>
                <w:color w:val="auto"/>
              </w:rPr>
              <w:t>20</w:t>
            </w:r>
          </w:p>
        </w:tc>
        <w:tc>
          <w:tcPr>
            <w:tcW w:w="4280" w:type="dxa"/>
            <w:vAlign w:val="bottom"/>
          </w:tcPr>
          <w:p>
            <w:pPr>
              <w:spacing w:after="0"/>
              <w:rPr>
                <w:sz w:val="24"/>
                <w:szCs w:val="24"/>
                <w:color w:val="auto"/>
              </w:rPr>
            </w:pPr>
          </w:p>
        </w:tc>
      </w:tr>
      <w:tr>
        <w:trPr>
          <w:trHeight w:val="129"/>
        </w:trPr>
        <w:tc>
          <w:tcPr>
            <w:tcW w:w="578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80" w:hanging="677"/>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August 4, 2018 of Citi Trends, Inc.;</w:t>
      </w:r>
    </w:p>
    <w:p>
      <w:pPr>
        <w:spacing w:after="0" w:line="155" w:lineRule="exact"/>
        <w:rPr>
          <w:rFonts w:ascii="Arial" w:cs="Arial" w:eastAsia="Arial" w:hAnsi="Arial"/>
          <w:sz w:val="17"/>
          <w:szCs w:val="17"/>
          <w:color w:val="auto"/>
        </w:rPr>
      </w:pPr>
    </w:p>
    <w:p>
      <w:pPr>
        <w:ind w:left="660" w:right="38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260" w:hanging="657"/>
        <w:spacing w:after="0" w:line="259"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19"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80" w:hanging="649"/>
        <w:spacing w:after="0" w:line="219"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00" w:hanging="649"/>
        <w:spacing w:after="0" w:line="224"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40" w:hanging="649"/>
        <w:spacing w:after="0" w:line="219"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4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40" w:hanging="649"/>
        <w:spacing w:after="0" w:line="224"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80" w:hanging="649"/>
        <w:spacing w:after="0" w:line="235"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087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8"/>
          <w:szCs w:val="18"/>
          <w:color w:val="231F20"/>
        </w:rPr>
        <w:t>Bruce D. Smith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President and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Stuart C. Clifford, certify that:</w:t>
      </w:r>
    </w:p>
    <w:p>
      <w:pPr>
        <w:spacing w:after="0" w:line="144" w:lineRule="exact"/>
        <w:rPr>
          <w:sz w:val="20"/>
          <w:szCs w:val="20"/>
          <w:color w:val="auto"/>
        </w:rPr>
      </w:pPr>
    </w:p>
    <w:p>
      <w:pPr>
        <w:ind w:left="680" w:hanging="677"/>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August 4, 2018 of Citi Trends, Inc.;</w:t>
      </w:r>
    </w:p>
    <w:p>
      <w:pPr>
        <w:spacing w:after="0" w:line="155" w:lineRule="exact"/>
        <w:rPr>
          <w:rFonts w:ascii="Arial" w:cs="Arial" w:eastAsia="Arial" w:hAnsi="Arial"/>
          <w:sz w:val="17"/>
          <w:szCs w:val="17"/>
          <w:color w:val="auto"/>
        </w:rPr>
      </w:pPr>
    </w:p>
    <w:p>
      <w:pPr>
        <w:ind w:left="660" w:right="38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260" w:hanging="657"/>
        <w:spacing w:after="0" w:line="259"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19"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80" w:hanging="649"/>
        <w:spacing w:after="0" w:line="219"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00" w:hanging="649"/>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40" w:hanging="649"/>
        <w:spacing w:after="0" w:line="219"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4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40" w:hanging="649"/>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80" w:hanging="649"/>
        <w:spacing w:after="0" w:line="235"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087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8"/>
          <w:szCs w:val="18"/>
          <w:color w:val="231F20"/>
        </w:rPr>
        <w:t>Stuart C. Clifford</w:t>
      </w:r>
    </w:p>
    <w:p>
      <w:pPr>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reviewed this quarterly report on Form 10-Q of Citi Trends, Inc. for the period ended August 4, 2018;</w:t>
      </w:r>
    </w:p>
    <w:p>
      <w:pPr>
        <w:spacing w:after="0" w:line="144" w:lineRule="exact"/>
        <w:rPr>
          <w:rFonts w:ascii="Arial" w:cs="Arial" w:eastAsia="Arial" w:hAnsi="Arial"/>
          <w:sz w:val="18"/>
          <w:szCs w:val="18"/>
          <w:color w:val="auto"/>
        </w:rPr>
      </w:pPr>
    </w:p>
    <w:p>
      <w:pPr>
        <w:ind w:firstLine="3"/>
        <w:spacing w:after="0" w:line="235"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right="80" w:firstLine="3"/>
        <w:spacing w:after="0" w:line="22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231F20"/>
        </w:rPr>
        <w:t>Date: September 6, 2018</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Bruce D. Smith</w:t>
      </w:r>
    </w:p>
    <w:p>
      <w:pPr>
        <w:ind w:left="4280"/>
        <w:spacing w:after="0" w:line="219" w:lineRule="auto"/>
        <w:rPr>
          <w:sz w:val="20"/>
          <w:szCs w:val="20"/>
          <w:color w:val="auto"/>
        </w:rPr>
      </w:pPr>
      <w:r>
        <w:rPr>
          <w:rFonts w:ascii="Arial" w:cs="Arial" w:eastAsia="Arial" w:hAnsi="Arial"/>
          <w:sz w:val="18"/>
          <w:szCs w:val="18"/>
          <w:color w:val="231F20"/>
        </w:rPr>
        <w:t>President and Chief Executive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Date: September 6, 2018</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Stuart C. Clifford</w:t>
      </w:r>
    </w:p>
    <w:p>
      <w:pPr>
        <w:ind w:left="4280"/>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Financial and Accounting Officer)</w:t>
      </w:r>
    </w:p>
    <w:p>
      <w:pPr>
        <w:spacing w:after="0" w:line="3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lvl w:ilvl="1">
      <w:lvlJc w:val="left"/>
      <w:lvlText w:val="%2"/>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26" Type="http://schemas.openxmlformats.org/officeDocument/2006/relationships/hyperlink" Target="http://www.sec.gov/Archives/edgar/data/1318484/000110465918038871/a18-15022_1ex3d1.htm" TargetMode="External"/><Relationship Id="rId27" Type="http://schemas.openxmlformats.org/officeDocument/2006/relationships/hyperlink" Target="http://www.sec.gov/Archives/edgar/data/1318484/000110465918038871/a18-1502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2019-12-28T19:48:28Z</dcterms:created>
  <dcterms:modified xsi:type="dcterms:W3CDTF">2019-12-28T19:48:28Z</dcterms:modified>
</cp:coreProperties>
</file>