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0"/>
          <w:szCs w:val="20"/>
          <w:u w:val="single" w:color="auto"/>
          <w:color w:val="2E74B5"/>
        </w:rPr>
      </w:pPr>
      <w:hyperlink w:anchor="page2">
        <w:r>
          <w:rPr>
            <w:rFonts w:ascii="Times New Roman" w:cs="Times New Roman" w:eastAsia="Times New Roman" w:hAnsi="Times New Roman"/>
            <w:sz w:val="20"/>
            <w:szCs w:val="20"/>
            <w:u w:val="single" w:color="auto"/>
            <w:color w:val="2E74B5"/>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6500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382905</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0" w:lineRule="exact"/>
        <w:rPr>
          <w:sz w:val="24"/>
          <w:szCs w:val="24"/>
          <w:color w:val="auto"/>
        </w:rPr>
      </w:pPr>
    </w:p>
    <w:p>
      <w:pPr>
        <w:jc w:val="center"/>
        <w:ind w:left="3440" w:right="420" w:hanging="3177"/>
        <w:spacing w:after="0" w:line="391" w:lineRule="auto"/>
        <w:tabs>
          <w:tab w:leader="none" w:pos="69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4, 2019</w:t>
      </w:r>
    </w:p>
    <w:p>
      <w:pPr>
        <w:ind w:left="49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jc w:val="center"/>
        <w:ind w:left="3700" w:right="400" w:hanging="3437"/>
        <w:spacing w:after="0" w:line="391" w:lineRule="auto"/>
        <w:tabs>
          <w:tab w:leader="none" w:pos="68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0"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442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52-2150697</w:t>
            </w:r>
          </w:p>
        </w:tc>
      </w:tr>
      <w:tr>
        <w:trPr>
          <w:trHeight w:val="216"/>
        </w:trPr>
        <w:tc>
          <w:tcPr>
            <w:tcW w:w="442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42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4"/>
        </w:trPr>
        <w:tc>
          <w:tcPr>
            <w:tcW w:w="442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rPr>
              <w:t>104 Coleman Boulevard</w:t>
            </w:r>
          </w:p>
        </w:tc>
        <w:tc>
          <w:tcPr>
            <w:tcW w:w="2900" w:type="dxa"/>
            <w:vAlign w:val="bottom"/>
          </w:tcPr>
          <w:p>
            <w:pPr>
              <w:spacing w:after="0"/>
              <w:rPr>
                <w:sz w:val="24"/>
                <w:szCs w:val="24"/>
                <w:color w:val="auto"/>
              </w:rPr>
            </w:pPr>
          </w:p>
        </w:tc>
      </w:tr>
      <w:tr>
        <w:trPr>
          <w:trHeight w:val="220"/>
        </w:trPr>
        <w:tc>
          <w:tcPr>
            <w:tcW w:w="442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Savannah, Georgia</w:t>
            </w:r>
          </w:p>
        </w:tc>
        <w:tc>
          <w:tcPr>
            <w:tcW w:w="2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31408</w:t>
            </w:r>
          </w:p>
        </w:tc>
      </w:tr>
      <w:tr>
        <w:trPr>
          <w:trHeight w:val="234"/>
        </w:trPr>
        <w:tc>
          <w:tcPr>
            <w:tcW w:w="442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912) 236-1561</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20" w:type="dxa"/>
            <w:vAlign w:val="bottom"/>
            <w:tcBorders>
              <w:top w:val="single" w:sz="8" w:color="auto"/>
              <w:lef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54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 w:type="dxa"/>
            <w:vAlign w:val="bottom"/>
            <w:tcBorders>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CTRN</w:t>
            </w:r>
          </w:p>
        </w:tc>
        <w:tc>
          <w:tcPr>
            <w:tcW w:w="160" w:type="dxa"/>
            <w:vAlign w:val="bottom"/>
            <w:tcBorders>
              <w:bottom w:val="single" w:sz="8" w:color="auto"/>
            </w:tcBorders>
          </w:tcPr>
          <w:p>
            <w:pPr>
              <w:spacing w:after="0"/>
              <w:rPr>
                <w:sz w:val="18"/>
                <w:szCs w:val="18"/>
                <w:color w:val="auto"/>
              </w:rPr>
            </w:pP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w:t>
            </w:r>
          </w:p>
        </w:tc>
      </w:tr>
    </w:tbl>
    <w:p>
      <w:pPr>
        <w:spacing w:after="0" w:line="198" w:lineRule="exact"/>
        <w:rPr>
          <w:sz w:val="24"/>
          <w:szCs w:val="24"/>
          <w:color w:val="auto"/>
        </w:rPr>
      </w:pPr>
    </w:p>
    <w:p>
      <w:pPr>
        <w:jc w:val="both"/>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920" w:top="225" w:right="719" w:bottom="1440" w:gutter="0" w:footer="0" w:header="0"/>
        </w:sectPr>
      </w:pPr>
    </w:p>
    <w:p>
      <w:pPr>
        <w:spacing w:after="0" w:line="17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08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3">
            <w:col w:w="3120" w:space="720"/>
            <w:col w:w="2520" w:space="720"/>
            <w:col w:w="3180"/>
          </w:cols>
          <w:pgMar w:left="920" w:top="225" w:right="719" w:bottom="1440" w:gutter="0" w:footer="0" w:header="0"/>
          <w:type w:val="continuous"/>
        </w:sectPr>
      </w:pPr>
    </w:p>
    <w:p>
      <w:pPr>
        <w:spacing w:after="0" w:line="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71" w:lineRule="exact"/>
        <w:rPr>
          <w:sz w:val="24"/>
          <w:szCs w:val="24"/>
          <w:color w:val="auto"/>
        </w:rPr>
      </w:pPr>
    </w:p>
    <w:p>
      <w:pPr>
        <w:sectPr>
          <w:pgSz w:w="11900" w:h="16838" w:orient="portrait"/>
          <w:cols w:equalWidth="0" w:num="2">
            <w:col w:w="6360" w:space="720"/>
            <w:col w:w="3180"/>
          </w:cols>
          <w:pgMar w:left="920" w:top="225" w:right="719" w:bottom="1440" w:gutter="0" w:footer="0" w:header="0"/>
          <w:type w:val="continuous"/>
        </w:sectPr>
      </w:pPr>
    </w:p>
    <w:p>
      <w:pPr>
        <w:ind w:right="2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ind w:right="960"/>
        <w:spacing w:after="0" w:line="30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20, 2019, the registrant had 12,082,721 outstanding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274955</wp:posOffset>
            </wp:positionV>
            <wp:extent cx="6500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300355</wp:posOffset>
            </wp:positionV>
            <wp:extent cx="6500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652145</wp:posOffset>
            </wp:positionV>
            <wp:extent cx="650049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0495" cy="26035"/>
                    </a:xfrm>
                    <a:prstGeom prst="rect">
                      <a:avLst/>
                    </a:prstGeom>
                    <a:noFill/>
                  </pic:spPr>
                </pic:pic>
              </a:graphicData>
            </a:graphic>
          </wp:anchor>
        </w:drawing>
      </w:r>
    </w:p>
    <w:p>
      <w:pPr>
        <w:sectPr>
          <w:pgSz w:w="11900" w:h="16838" w:orient="portrait"/>
          <w:cols w:equalWidth="0" w:num="1">
            <w:col w:w="10260"/>
          </w:cols>
          <w:pgMar w:left="920" w:top="225" w:right="7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u w:val="single" w:color="auto"/>
          <w:color w:val="auto"/>
        </w:rPr>
        <w:t>CITI TRENDS, INC.</w:t>
      </w:r>
    </w:p>
    <w:p>
      <w:pPr>
        <w:spacing w:after="0" w:line="31"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u w:val="single" w:color="auto"/>
          <w:color w:val="auto"/>
        </w:rPr>
        <w:t>FORM 10-Q</w:t>
      </w:r>
    </w:p>
    <w:p>
      <w:pPr>
        <w:spacing w:after="0" w:line="9"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r>
      <w:tr>
        <w:trPr>
          <w:trHeight w:val="385"/>
        </w:trPr>
        <w:tc>
          <w:tcPr>
            <w:tcW w:w="4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Item 1</w:t>
              </w:r>
            </w:hyperlink>
          </w:p>
        </w:tc>
        <w:tc>
          <w:tcPr>
            <w:tcW w:w="60" w:type="dxa"/>
            <w:vAlign w:val="bottom"/>
            <w:tcBorders>
              <w:top w:val="single" w:sz="8" w:color="0000EE"/>
            </w:tcBorders>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15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5260" w:type="dxa"/>
            <w:vAlign w:val="bottom"/>
            <w:gridSpan w:val="10"/>
          </w:tcPr>
          <w:p>
            <w:pPr>
              <w:spacing w:after="0"/>
              <w:rPr>
                <w:sz w:val="24"/>
                <w:szCs w:val="24"/>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(unaudited) May 4, 2019 and February 2, 2019</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(unaudited) Thirteen weeks ended May 4, 2019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2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May 5, 2018</w:t>
              </w:r>
            </w:hyperlink>
          </w:p>
        </w:tc>
        <w:tc>
          <w:tcPr>
            <w:tcW w:w="6120" w:type="dxa"/>
            <w:vAlign w:val="bottom"/>
            <w:tcBorders>
              <w:top w:val="single" w:sz="8" w:color="0000EE"/>
            </w:tcBorders>
            <w:gridSpan w:val="14"/>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(unaudited) Thirteen weeks ended May 4, 2019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May 5, 2018</w:t>
              </w:r>
            </w:hyperlink>
          </w:p>
        </w:tc>
        <w:tc>
          <w:tcPr>
            <w:tcW w:w="656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Stockholders’ Equity (unaudited) Thirteen weeks ended May 4,</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2019 and May 5, 2018</w:t>
              </w:r>
            </w:hyperlink>
          </w:p>
        </w:tc>
        <w:tc>
          <w:tcPr>
            <w:tcW w:w="5820" w:type="dxa"/>
            <w:vAlign w:val="bottom"/>
            <w:tcBorders>
              <w:top w:val="single" w:sz="8" w:color="0000EE"/>
            </w:tcBorders>
            <w:gridSpan w:val="11"/>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the Condensed Consolidated Financial Statements (unaudited)</w:t>
              </w:r>
            </w:hyperlink>
          </w:p>
        </w:tc>
      </w:tr>
      <w:tr>
        <w:trPr>
          <w:trHeight w:val="20"/>
        </w:trPr>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r>
      <w:tr>
        <w:trPr>
          <w:trHeight w:val="399"/>
        </w:trPr>
        <w:tc>
          <w:tcPr>
            <w:tcW w:w="4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Item 2</w:t>
              </w:r>
            </w:hyperlink>
          </w:p>
        </w:tc>
        <w:tc>
          <w:tcPr>
            <w:tcW w:w="400" w:type="dxa"/>
            <w:vAlign w:val="bottom"/>
            <w:gridSpan w:val="3"/>
          </w:tcPr>
          <w:p>
            <w:pPr>
              <w:spacing w:after="0"/>
              <w:rPr>
                <w:sz w:val="24"/>
                <w:szCs w:val="24"/>
                <w:color w:val="auto"/>
              </w:rPr>
            </w:pPr>
          </w:p>
        </w:tc>
        <w:tc>
          <w:tcPr>
            <w:tcW w:w="6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040" w:type="dxa"/>
            <w:vAlign w:val="bottom"/>
            <w:gridSpan w:val="4"/>
          </w:tcPr>
          <w:p>
            <w:pPr>
              <w:spacing w:after="0"/>
              <w:rPr>
                <w:sz w:val="24"/>
                <w:szCs w:val="24"/>
                <w:color w:val="auto"/>
              </w:rPr>
            </w:pPr>
          </w:p>
        </w:tc>
      </w:tr>
      <w:tr>
        <w:trPr>
          <w:trHeight w:val="399"/>
        </w:trPr>
        <w:tc>
          <w:tcPr>
            <w:tcW w:w="4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Item 3</w:t>
              </w:r>
            </w:hyperlink>
          </w:p>
        </w:tc>
        <w:tc>
          <w:tcPr>
            <w:tcW w:w="400" w:type="dxa"/>
            <w:vAlign w:val="bottom"/>
            <w:gridSpan w:val="3"/>
          </w:tcPr>
          <w:p>
            <w:pPr>
              <w:spacing w:after="0"/>
              <w:rPr>
                <w:sz w:val="24"/>
                <w:szCs w:val="24"/>
                <w:color w:val="auto"/>
              </w:rPr>
            </w:pPr>
          </w:p>
        </w:tc>
        <w:tc>
          <w:tcPr>
            <w:tcW w:w="4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Quantitative and Qualitative Disclosures About Market Risk</w:t>
              </w:r>
            </w:hyperlink>
          </w:p>
        </w:tc>
        <w:tc>
          <w:tcPr>
            <w:tcW w:w="3140" w:type="dxa"/>
            <w:vAlign w:val="bottom"/>
            <w:gridSpan w:val="7"/>
          </w:tcPr>
          <w:p>
            <w:pPr>
              <w:spacing w:after="0"/>
              <w:rPr>
                <w:sz w:val="24"/>
                <w:szCs w:val="24"/>
                <w:color w:val="auto"/>
              </w:rPr>
            </w:pPr>
          </w:p>
        </w:tc>
      </w:tr>
      <w:tr>
        <w:trPr>
          <w:trHeight w:val="399"/>
        </w:trPr>
        <w:tc>
          <w:tcPr>
            <w:tcW w:w="460" w:type="dxa"/>
            <w:vAlign w:val="bottom"/>
          </w:tcPr>
          <w:p>
            <w:pPr>
              <w:spacing w:after="0"/>
              <w:rPr>
                <w:rFonts w:ascii="Times New Roman" w:cs="Times New Roman" w:eastAsia="Times New Roman" w:hAnsi="Times New Roman"/>
                <w:sz w:val="18"/>
                <w:szCs w:val="18"/>
                <w:color w:val="0000EE"/>
                <w:w w:val="94"/>
              </w:rPr>
            </w:pPr>
            <w:hyperlink w:anchor="page19">
              <w:r>
                <w:rPr>
                  <w:rFonts w:ascii="Times New Roman" w:cs="Times New Roman" w:eastAsia="Times New Roman" w:hAnsi="Times New Roman"/>
                  <w:sz w:val="18"/>
                  <w:szCs w:val="18"/>
                  <w:color w:val="0000EE"/>
                  <w:w w:val="94"/>
                </w:rPr>
                <w:t>Item 4</w:t>
              </w:r>
            </w:hyperlink>
          </w:p>
        </w:tc>
        <w:tc>
          <w:tcPr>
            <w:tcW w:w="420" w:type="dxa"/>
            <w:vAlign w:val="bottom"/>
            <w:gridSpan w:val="4"/>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Controls and Procedures</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r>
      <w:tr>
        <w:trPr>
          <w:trHeight w:val="385"/>
        </w:trPr>
        <w:tc>
          <w:tcPr>
            <w:tcW w:w="880" w:type="dxa"/>
            <w:vAlign w:val="bottom"/>
            <w:gridSpan w:val="5"/>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PART II</w:t>
              </w:r>
            </w:hyperlink>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OTHER INFORMATION</w:t>
              </w:r>
            </w:hyperlink>
          </w:p>
        </w:tc>
      </w:tr>
      <w:tr>
        <w:trPr>
          <w:trHeight w:val="399"/>
        </w:trPr>
        <w:tc>
          <w:tcPr>
            <w:tcW w:w="480" w:type="dxa"/>
            <w:vAlign w:val="bottom"/>
            <w:tcBorders>
              <w:top w:val="single" w:sz="8" w:color="0000EE"/>
            </w:tcBorders>
            <w:gridSpan w:val="2"/>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Item 1</w:t>
              </w:r>
            </w:hyperlink>
          </w:p>
        </w:tc>
        <w:tc>
          <w:tcPr>
            <w:tcW w:w="100" w:type="dxa"/>
            <w:vAlign w:val="bottom"/>
            <w:tcBorders>
              <w:top w:val="single" w:sz="8" w:color="0000EE"/>
            </w:tcBorders>
            <w:gridSpan w:val="2"/>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Legal Proceedings</w:t>
              </w:r>
            </w:hyperlink>
          </w:p>
        </w:tc>
        <w:tc>
          <w:tcPr>
            <w:tcW w:w="5620" w:type="dxa"/>
            <w:vAlign w:val="bottom"/>
            <w:gridSpan w:val="11"/>
          </w:tcPr>
          <w:p>
            <w:pPr>
              <w:spacing w:after="0"/>
              <w:rPr>
                <w:sz w:val="24"/>
                <w:szCs w:val="24"/>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r>
      <w:tr>
        <w:trPr>
          <w:trHeight w:val="399"/>
        </w:trPr>
        <w:tc>
          <w:tcPr>
            <w:tcW w:w="880" w:type="dxa"/>
            <w:vAlign w:val="bottom"/>
            <w:gridSpan w:val="5"/>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1A</w:t>
              </w:r>
            </w:hyperlink>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Risk Factors</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r>
      <w:tr>
        <w:trPr>
          <w:trHeight w:val="399"/>
        </w:trPr>
        <w:tc>
          <w:tcPr>
            <w:tcW w:w="480" w:type="dxa"/>
            <w:vAlign w:val="bottom"/>
            <w:gridSpan w:val="2"/>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Item 2</w:t>
              </w:r>
            </w:hyperlink>
          </w:p>
        </w:tc>
        <w:tc>
          <w:tcPr>
            <w:tcW w:w="1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Unregistered Sales of Equity Securities and Use of Proceeds</w:t>
              </w:r>
            </w:hyperlink>
          </w:p>
        </w:tc>
      </w:tr>
      <w:tr>
        <w:trPr>
          <w:trHeight w:val="399"/>
        </w:trPr>
        <w:tc>
          <w:tcPr>
            <w:tcW w:w="4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Item 3</w:t>
              </w:r>
            </w:hyperlink>
          </w:p>
        </w:tc>
        <w:tc>
          <w:tcPr>
            <w:tcW w:w="400" w:type="dxa"/>
            <w:vAlign w:val="bottom"/>
            <w:gridSpan w:val="3"/>
          </w:tcPr>
          <w:p>
            <w:pPr>
              <w:spacing w:after="0"/>
              <w:rPr>
                <w:sz w:val="24"/>
                <w:szCs w:val="24"/>
                <w:color w:val="auto"/>
              </w:rPr>
            </w:pPr>
          </w:p>
        </w:tc>
        <w:tc>
          <w:tcPr>
            <w:tcW w:w="232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tcPr>
          <w:p>
            <w:pPr>
              <w:spacing w:after="0"/>
              <w:rPr>
                <w:sz w:val="24"/>
                <w:szCs w:val="24"/>
                <w:color w:val="auto"/>
              </w:rPr>
            </w:pPr>
          </w:p>
        </w:tc>
        <w:tc>
          <w:tcPr>
            <w:tcW w:w="3160" w:type="dxa"/>
            <w:vAlign w:val="bottom"/>
            <w:gridSpan w:val="8"/>
          </w:tcPr>
          <w:p>
            <w:pPr>
              <w:spacing w:after="0"/>
              <w:rPr>
                <w:sz w:val="24"/>
                <w:szCs w:val="24"/>
                <w:color w:val="auto"/>
              </w:rPr>
            </w:pPr>
          </w:p>
        </w:tc>
      </w:tr>
      <w:tr>
        <w:trPr>
          <w:trHeight w:val="399"/>
        </w:trPr>
        <w:tc>
          <w:tcPr>
            <w:tcW w:w="480" w:type="dxa"/>
            <w:vAlign w:val="bottom"/>
            <w:gridSpan w:val="2"/>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Item 4</w:t>
              </w:r>
            </w:hyperlink>
          </w:p>
        </w:tc>
        <w:tc>
          <w:tcPr>
            <w:tcW w:w="400" w:type="dxa"/>
            <w:vAlign w:val="bottom"/>
            <w:gridSpan w:val="3"/>
          </w:tcPr>
          <w:p>
            <w:pPr>
              <w:spacing w:after="0"/>
              <w:rPr>
                <w:sz w:val="24"/>
                <w:szCs w:val="24"/>
                <w:color w:val="auto"/>
              </w:rPr>
            </w:pPr>
          </w:p>
        </w:tc>
        <w:tc>
          <w:tcPr>
            <w:tcW w:w="7500" w:type="dxa"/>
            <w:vAlign w:val="bottom"/>
            <w:gridSpan w:val="2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Mine Safety Disclosures</w:t>
              </w:r>
            </w:hyperlink>
          </w:p>
        </w:tc>
      </w:tr>
      <w:tr>
        <w:trPr>
          <w:trHeight w:val="399"/>
        </w:trPr>
        <w:tc>
          <w:tcPr>
            <w:tcW w:w="480" w:type="dxa"/>
            <w:vAlign w:val="bottom"/>
            <w:tcBorders>
              <w:top w:val="single" w:sz="8" w:color="0000EE"/>
            </w:tcBorders>
            <w:gridSpan w:val="2"/>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Item 5</w:t>
              </w:r>
            </w:hyperlink>
          </w:p>
        </w:tc>
        <w:tc>
          <w:tcPr>
            <w:tcW w:w="400" w:type="dxa"/>
            <w:vAlign w:val="bottom"/>
            <w:gridSpan w:val="3"/>
          </w:tcPr>
          <w:p>
            <w:pPr>
              <w:spacing w:after="0"/>
              <w:rPr>
                <w:sz w:val="24"/>
                <w:szCs w:val="24"/>
                <w:color w:val="auto"/>
              </w:rPr>
            </w:pPr>
          </w:p>
        </w:tc>
        <w:tc>
          <w:tcPr>
            <w:tcW w:w="17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Other Information</w:t>
              </w:r>
            </w:hyperlink>
          </w:p>
        </w:tc>
        <w:tc>
          <w:tcPr>
            <w:tcW w:w="5740" w:type="dxa"/>
            <w:vAlign w:val="bottom"/>
            <w:gridSpan w:val="12"/>
          </w:tcPr>
          <w:p>
            <w:pPr>
              <w:spacing w:after="0"/>
              <w:rPr>
                <w:sz w:val="24"/>
                <w:szCs w:val="24"/>
                <w:color w:val="auto"/>
              </w:rPr>
            </w:pPr>
          </w:p>
        </w:tc>
      </w:tr>
      <w:tr>
        <w:trPr>
          <w:trHeight w:val="399"/>
        </w:trPr>
        <w:tc>
          <w:tcPr>
            <w:tcW w:w="4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w:anchor="page21">
              <w:r>
                <w:rPr>
                  <w:rFonts w:ascii="Times New Roman" w:cs="Times New Roman" w:eastAsia="Times New Roman" w:hAnsi="Times New Roman"/>
                  <w:sz w:val="18"/>
                  <w:szCs w:val="18"/>
                  <w:color w:val="0000EE"/>
                  <w:w w:val="94"/>
                </w:rPr>
                <w:t>Item 6</w:t>
              </w:r>
            </w:hyperlink>
          </w:p>
        </w:tc>
        <w:tc>
          <w:tcPr>
            <w:tcW w:w="20" w:type="dxa"/>
            <w:vAlign w:val="bottom"/>
            <w:tcBorders>
              <w:top w:val="single" w:sz="8" w:color="0000EE"/>
            </w:tcBorders>
          </w:tcPr>
          <w:p>
            <w:pPr>
              <w:spacing w:after="0"/>
              <w:rPr>
                <w:sz w:val="24"/>
                <w:szCs w:val="24"/>
                <w:color w:val="auto"/>
              </w:rPr>
            </w:pPr>
          </w:p>
        </w:tc>
        <w:tc>
          <w:tcPr>
            <w:tcW w:w="40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21">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gridSpan w:val="5"/>
          </w:tcPr>
          <w:p>
            <w:pPr>
              <w:spacing w:after="0"/>
              <w:rPr>
                <w:sz w:val="24"/>
                <w:szCs w:val="24"/>
                <w:color w:val="auto"/>
              </w:rPr>
            </w:pPr>
          </w:p>
        </w:tc>
        <w:tc>
          <w:tcPr>
            <w:tcW w:w="6180" w:type="dxa"/>
            <w:vAlign w:val="bottom"/>
            <w:gridSpan w:val="15"/>
          </w:tcPr>
          <w:p>
            <w:pPr>
              <w:spacing w:after="0"/>
              <w:rPr>
                <w:sz w:val="24"/>
                <w:szCs w:val="24"/>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22">
              <w:r>
                <w:rPr>
                  <w:rFonts w:ascii="Times New Roman" w:cs="Times New Roman" w:eastAsia="Times New Roman" w:hAnsi="Times New Roman"/>
                  <w:sz w:val="18"/>
                  <w:szCs w:val="18"/>
                  <w:color w:val="0000EE"/>
                  <w:w w:val="96"/>
                </w:rPr>
                <w:t>SIGNATURES</w:t>
              </w:r>
            </w:hyperlink>
          </w:p>
        </w:tc>
        <w:tc>
          <w:tcPr>
            <w:tcW w:w="6400" w:type="dxa"/>
            <w:vAlign w:val="bottom"/>
            <w:gridSpan w:val="16"/>
          </w:tcPr>
          <w:p>
            <w:pPr>
              <w:spacing w:after="0"/>
              <w:rPr>
                <w:sz w:val="24"/>
                <w:szCs w:val="24"/>
                <w:color w:val="auto"/>
              </w:rPr>
            </w:pPr>
          </w:p>
        </w:tc>
      </w:tr>
      <w:tr>
        <w:trPr>
          <w:trHeight w:val="87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40" w:type="dxa"/>
            <w:vAlign w:val="bottom"/>
            <w:gridSpan w:val="14"/>
          </w:tcPr>
          <w:p>
            <w:pPr>
              <w:ind w:left="37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589153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PAGE </w:t>
      </w:r>
      <w:r>
        <w:rPr>
          <w:rFonts w:ascii="Times New Roman" w:cs="Times New Roman" w:eastAsia="Times New Roman" w:hAnsi="Times New Roman"/>
          <w:sz w:val="18"/>
          <w:szCs w:val="18"/>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2">
            <w:col w:w="8360" w:space="80"/>
            <w:col w:w="840"/>
          </w:cols>
          <w:pgMar w:left="1320" w:top="121" w:right="12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4, 2019 and February 2,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May 4,</w:t>
            </w:r>
          </w:p>
        </w:tc>
        <w:tc>
          <w:tcPr>
            <w:tcW w:w="80" w:type="dxa"/>
            <w:vAlign w:val="bottom"/>
          </w:tcPr>
          <w:p>
            <w:pPr>
              <w:spacing w:after="0"/>
              <w:rPr>
                <w:sz w:val="12"/>
                <w:szCs w:val="12"/>
                <w:color w:val="auto"/>
              </w:rPr>
            </w:pPr>
          </w:p>
        </w:tc>
        <w:tc>
          <w:tcPr>
            <w:tcW w:w="11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131,254</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217,891</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225,598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$249,909 and $245,958 as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4, 2019 and February 2, 2019, respectively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437,548</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297,989</w:t>
            </w: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64,201</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Layaway deposits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130,040</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246,999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110,564</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32,000,000 shares; 15,848,609 shares issued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May 4, 2019 and 15,827,713 shares issued as of February 2, 2019; 12,096,821 shares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May 4, 2019 and 12,158,237 shares outstanding as of February 2, 2019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 in capital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180,864</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3,751,788 shares held as of May 4, 2019 and 3,669,476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held as of February 2, 2019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(82,260)</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(80,620)</w:t>
            </w:r>
          </w:p>
        </w:tc>
        <w:tc>
          <w:tcPr>
            <w:tcW w:w="3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190,549</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437,548</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297,989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Thirteen Weeks Ended May 4, 2019 and May 5,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7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80" w:type="dxa"/>
            <w:vAlign w:val="bottom"/>
          </w:tcPr>
          <w:p>
            <w:pPr>
              <w:spacing w:after="0"/>
              <w:rPr>
                <w:sz w:val="10"/>
                <w:szCs w:val="10"/>
                <w:color w:val="auto"/>
              </w:rPr>
            </w:pPr>
          </w:p>
        </w:tc>
      </w:tr>
      <w:tr>
        <w:trPr>
          <w:trHeight w:val="173"/>
        </w:trPr>
        <w:tc>
          <w:tcPr>
            <w:tcW w:w="7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211,032</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(exclusive of depreciation shown separately below)</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(129,413)</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(63,447)</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(63,005)</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(4,974)</w:t>
            </w:r>
          </w:p>
        </w:tc>
      </w:tr>
      <w:tr>
        <w:trPr>
          <w:trHeight w:val="216"/>
        </w:trPr>
        <w:tc>
          <w:tcPr>
            <w:tcW w:w="7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8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72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(2,601)</w:t>
            </w:r>
          </w:p>
        </w:tc>
      </w:tr>
      <w:tr>
        <w:trPr>
          <w:trHeight w:val="217"/>
        </w:trPr>
        <w:tc>
          <w:tcPr>
            <w:tcW w:w="72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72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Diluted net income per common share</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0.83</w:t>
            </w:r>
          </w:p>
        </w:tc>
        <w:tc>
          <w:tcPr>
            <w:tcW w:w="80" w:type="dxa"/>
            <w:vAlign w:val="bottom"/>
            <w:tcBorders>
              <w:bottom w:val="single" w:sz="8" w:color="CCEEFF"/>
            </w:tcBorders>
          </w:tcPr>
          <w:p>
            <w:pPr>
              <w:spacing w:after="0"/>
              <w:rPr>
                <w:sz w:val="18"/>
                <w:szCs w:val="18"/>
                <w:color w:val="auto"/>
              </w:rPr>
            </w:pPr>
          </w:p>
        </w:tc>
      </w:tr>
      <w:tr>
        <w:trPr>
          <w:trHeight w:val="216"/>
        </w:trPr>
        <w:tc>
          <w:tcPr>
            <w:tcW w:w="7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7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72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13,631</w:t>
            </w:r>
          </w:p>
        </w:tc>
        <w:tc>
          <w:tcPr>
            <w:tcW w:w="80" w:type="dxa"/>
            <w:vAlign w:val="bottom"/>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Thirteen Weeks Ended May 4, 2019 and May 5,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6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60" w:type="dxa"/>
            <w:vAlign w:val="bottom"/>
          </w:tcPr>
          <w:p>
            <w:pPr>
              <w:spacing w:after="0"/>
              <w:rPr>
                <w:sz w:val="10"/>
                <w:szCs w:val="10"/>
                <w:color w:val="auto"/>
              </w:rPr>
            </w:pPr>
          </w:p>
        </w:tc>
      </w:tr>
      <w:tr>
        <w:trPr>
          <w:trHeight w:val="173"/>
        </w:trPr>
        <w:tc>
          <w:tcPr>
            <w:tcW w:w="65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2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6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(9,628)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(12,166)</w:t>
            </w:r>
          </w:p>
        </w:tc>
      </w:tr>
      <w:tr>
        <w:trPr>
          <w:trHeight w:val="216"/>
        </w:trPr>
        <w:tc>
          <w:tcPr>
            <w:tcW w:w="6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(11,904)</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(1,373)</w:t>
            </w:r>
          </w:p>
        </w:tc>
      </w:tr>
      <w:tr>
        <w:trPr>
          <w:trHeight w:val="216"/>
        </w:trPr>
        <w:tc>
          <w:tcPr>
            <w:tcW w:w="6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(7,910)</w:t>
            </w:r>
          </w:p>
        </w:tc>
      </w:tr>
      <w:tr>
        <w:trPr>
          <w:trHeight w:val="216"/>
        </w:trPr>
        <w:tc>
          <w:tcPr>
            <w:tcW w:w="6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 payable/receivable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Layaway deposits</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60" w:type="dxa"/>
            <w:vAlign w:val="bottom"/>
            <w:shd w:val="clear" w:color="auto" w:fill="CCEEFF"/>
          </w:tcPr>
          <w:p>
            <w:pPr>
              <w:spacing w:after="0"/>
              <w:rPr>
                <w:sz w:val="18"/>
                <w:szCs w:val="18"/>
                <w:color w:val="auto"/>
              </w:rPr>
            </w:pPr>
          </w:p>
        </w:tc>
      </w:tr>
      <w:tr>
        <w:trPr>
          <w:trHeight w:val="210"/>
        </w:trPr>
        <w:tc>
          <w:tcPr>
            <w:tcW w:w="65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60" w:type="dxa"/>
            <w:vAlign w:val="bottom"/>
            <w:tcBorders>
              <w:bottom w:val="single" w:sz="8" w:color="CCEEFF"/>
            </w:tcBorders>
          </w:tcPr>
          <w:p>
            <w:pPr>
              <w:spacing w:after="0"/>
              <w:rPr>
                <w:sz w:val="18"/>
                <w:szCs w:val="18"/>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Sales/redemptions of investment securities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(4,825)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(2,287)</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w:t>
            </w:r>
          </w:p>
        </w:tc>
      </w:tr>
      <w:tr>
        <w:trPr>
          <w:trHeight w:val="210"/>
        </w:trPr>
        <w:tc>
          <w:tcPr>
            <w:tcW w:w="65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used to settle withholding taxes on the vesting of nonvested restricted stock</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w:t>
            </w: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(2,672)</w:t>
            </w:r>
          </w:p>
        </w:tc>
      </w:tr>
      <w:tr>
        <w:trPr>
          <w:trHeight w:val="210"/>
        </w:trPr>
        <w:tc>
          <w:tcPr>
            <w:tcW w:w="65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60" w:type="dxa"/>
            <w:vAlign w:val="bottom"/>
            <w:tcBorders>
              <w:bottom w:val="single" w:sz="8" w:color="CCEEFF"/>
            </w:tcBorders>
          </w:tcPr>
          <w:p>
            <w:pPr>
              <w:spacing w:after="0"/>
              <w:rPr>
                <w:sz w:val="18"/>
                <w:szCs w:val="18"/>
                <w:color w:val="auto"/>
              </w:rPr>
            </w:pPr>
          </w:p>
        </w:tc>
      </w:tr>
      <w:tr>
        <w:trPr>
          <w:trHeight w:val="210"/>
        </w:trPr>
        <w:tc>
          <w:tcPr>
            <w:tcW w:w="6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period</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48,451</w:t>
            </w:r>
          </w:p>
        </w:tc>
        <w:tc>
          <w:tcPr>
            <w:tcW w:w="60" w:type="dxa"/>
            <w:vAlign w:val="bottom"/>
            <w:shd w:val="clear" w:color="auto" w:fill="CCEEFF"/>
          </w:tcPr>
          <w:p>
            <w:pPr>
              <w:spacing w:after="0"/>
              <w:rPr>
                <w:sz w:val="18"/>
                <w:szCs w:val="18"/>
                <w:color w:val="auto"/>
              </w:rPr>
            </w:pPr>
          </w:p>
        </w:tc>
      </w:tr>
      <w:tr>
        <w:trPr>
          <w:trHeight w:val="217"/>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End of period</w:t>
            </w:r>
          </w:p>
        </w:tc>
        <w:tc>
          <w:tcPr>
            <w:tcW w:w="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53,978</w:t>
            </w:r>
          </w:p>
        </w:tc>
        <w:tc>
          <w:tcPr>
            <w:tcW w:w="60" w:type="dxa"/>
            <w:vAlign w:val="bottom"/>
            <w:tcBorders>
              <w:bottom w:val="single" w:sz="8" w:color="CCEEFF"/>
            </w:tcBorders>
          </w:tcPr>
          <w:p>
            <w:pPr>
              <w:spacing w:after="0"/>
              <w:rPr>
                <w:sz w:val="18"/>
                <w:szCs w:val="18"/>
                <w:color w:val="auto"/>
              </w:rPr>
            </w:pPr>
          </w:p>
        </w:tc>
      </w:tr>
      <w:tr>
        <w:trPr>
          <w:trHeight w:val="216"/>
        </w:trPr>
        <w:tc>
          <w:tcPr>
            <w:tcW w:w="6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6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paid for interest</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20"/>
                <w:szCs w:val="20"/>
                <w:color w:val="auto"/>
              </w:rPr>
            </w:pPr>
          </w:p>
        </w:tc>
      </w:tr>
      <w:tr>
        <w:trPr>
          <w:trHeight w:val="210"/>
        </w:trPr>
        <w:tc>
          <w:tcPr>
            <w:tcW w:w="6540" w:type="dxa"/>
            <w:vAlign w:val="bottom"/>
            <w:tcBorders>
              <w:top w:val="single" w:sz="8" w:color="CCEEFF"/>
              <w:bottom w:val="single" w:sz="8" w:color="CCEEFF"/>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rPr>
              <w:t>Cash refunds of income taxes</w:t>
            </w:r>
          </w:p>
        </w:tc>
        <w:tc>
          <w:tcPr>
            <w:tcW w:w="5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Accrual for purchases of property and equipment</w:t>
            </w:r>
          </w:p>
        </w:tc>
        <w:tc>
          <w:tcPr>
            <w:tcW w:w="5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Thirteen Weeks Ended May 4, 2019 and May 5,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Thirteen Weeks Ended May 4, 2019</w:t>
            </w: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460" w:type="dxa"/>
            <w:vAlign w:val="bottom"/>
            <w:gridSpan w:val="6"/>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Paid in</w:t>
            </w:r>
          </w:p>
        </w:tc>
        <w:tc>
          <w:tcPr>
            <w:tcW w:w="7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60" w:type="dxa"/>
            <w:vAlign w:val="bottom"/>
            <w:gridSpan w:val="4"/>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 —February 2,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15,827,713</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$ 91,794</w:t>
            </w: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$ 176,094</w:t>
            </w: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3,669,476</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(80,620)</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187,425</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Adoption of lease accounting standard (see Note 11)</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(2,060)</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(2,060)</w:t>
            </w: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nonvested restricted stock units</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nonvested shares to employees and directors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57,133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under incentive plan</w:t>
            </w: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share settlement of nonvested shares and restricted stock units</w:t>
            </w: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(36,237)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82,312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stockholders ($0.08 per common share)</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(958)</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7,788</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Balances—May 4, 2019</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15,848,609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$ 91,788</w:t>
            </w: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$ 180,864</w:t>
            </w:r>
          </w:p>
        </w:tc>
        <w:tc>
          <w:tcPr>
            <w:tcW w:w="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3,751,788</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(82,260)</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190,549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Thirteen Weeks Ended May 5, 2018</w:t>
            </w: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360" w:type="dxa"/>
            <w:vAlign w:val="bottom"/>
            <w:tcBorders>
              <w:bottom w:val="single" w:sz="8" w:color="auto"/>
            </w:tcBorders>
            <w:gridSpan w:val="4"/>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Paid in</w:t>
            </w:r>
          </w:p>
        </w:tc>
        <w:tc>
          <w:tcPr>
            <w:tcW w:w="4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tcBorders>
              <w:bottom w:val="single" w:sz="8" w:color="auto"/>
            </w:tcBorders>
            <w:gridSpan w:val="4"/>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7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 —February 3, 2018</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15,777,946</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$ 90,605</w:t>
            </w: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$ 158,927</w:t>
            </w: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2,034,170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(40,220)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209,468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nonvested restricted stock units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nonvested shares to employees and directors</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65,663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 incentive plan</w:t>
            </w: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584</w:t>
            </w: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share settlement of nonvested shares and restricted stock units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(982)</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85,537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stockholders ($0.08 per common share)</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11,297</w:t>
            </w: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Balances—May 5, 2018</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15,815,851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$ 90,207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$ 169,139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2,119,707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216,611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6" w:name="page7"/>
    <w:bookmarkEnd w:id="6"/>
    <w:p>
      <w:pPr>
        <w:ind w:left="9"/>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u w:val="single" w:color="auto"/>
          <w:color w:val="auto"/>
        </w:rPr>
        <w:t>Citi Trends, Inc.</w:t>
      </w:r>
    </w:p>
    <w:p>
      <w:pPr>
        <w:spacing w:after="0" w:line="3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Condensed Consolidated Financial Statements (unaudited)</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u w:val="single" w:color="auto"/>
          <w:color w:val="auto"/>
        </w:rPr>
        <w:t>May 4, 2019</w:t>
      </w:r>
    </w:p>
    <w:p>
      <w:pPr>
        <w:spacing w:after="0" w:line="207" w:lineRule="exact"/>
        <w:rPr>
          <w:sz w:val="20"/>
          <w:szCs w:val="20"/>
          <w:color w:val="auto"/>
        </w:rPr>
      </w:pPr>
    </w:p>
    <w:p>
      <w:pPr>
        <w:ind w:left="189" w:hanging="189"/>
        <w:spacing w:after="0"/>
        <w:tabs>
          <w:tab w:leader="none" w:pos="1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ind w:left="9" w:right="140"/>
        <w:spacing w:after="0" w:line="282" w:lineRule="auto"/>
        <w:rPr>
          <w:sz w:val="20"/>
          <w:szCs w:val="20"/>
          <w:color w:val="auto"/>
        </w:rPr>
      </w:pPr>
      <w:r>
        <w:rPr>
          <w:rFonts w:ascii="Times New Roman" w:cs="Times New Roman" w:eastAsia="Times New Roman" w:hAnsi="Times New Roman"/>
          <w:sz w:val="18"/>
          <w:szCs w:val="18"/>
          <w:color w:val="auto"/>
        </w:rPr>
        <w:t>Citi Trends, Inc. and its subsidiary (the “Company”) operate as a value-priced retailer of urban fashion apparel and accessories for the entire family. As of May 4, 2019, the Company operated 561 stores in 32 states.</w:t>
      </w:r>
    </w:p>
    <w:p>
      <w:pPr>
        <w:spacing w:after="0" w:line="162" w:lineRule="exact"/>
        <w:rPr>
          <w:sz w:val="20"/>
          <w:szCs w:val="20"/>
          <w:color w:val="auto"/>
        </w:rPr>
      </w:pPr>
    </w:p>
    <w:p>
      <w:pPr>
        <w:ind w:left="9"/>
        <w:spacing w:after="0" w:line="255" w:lineRule="auto"/>
        <w:rPr>
          <w:sz w:val="20"/>
          <w:szCs w:val="20"/>
          <w:color w:val="auto"/>
        </w:rPr>
      </w:pPr>
      <w:r>
        <w:rPr>
          <w:rFonts w:ascii="Times New Roman" w:cs="Times New Roman" w:eastAsia="Times New Roman" w:hAnsi="Times New Roman"/>
          <w:sz w:val="18"/>
          <w:szCs w:val="18"/>
          <w:color w:val="auto"/>
        </w:rPr>
        <w:t>The condensed consolidated balance sheet as of May 4, 2019 and the condensed consolidated statements of income and cash flows for the thirteen week periods ended May 4, 2019 and May 5, 2018 have been prepared by the Company without audit. The condensed consolidated balance sheet as of February 2, 2019 has been derived from the audited financial statements as of that date, but does not include all required year-end disclosures. In the opinion of management, such statements include all adjustments considered necessary to present fairly the Company’s financial position as of May 4, 2019 and February 2, 2019, and its results of operations and cash flows for all periods presented. These condensed consolidated financial statements should be read in conjunction with the consolidated financial statements and the notes thereto included in the Company’s latest Annual Report on Form 10-K for the year ended February 2, 2019.</w:t>
      </w:r>
    </w:p>
    <w:p>
      <w:pPr>
        <w:spacing w:after="0" w:line="185" w:lineRule="exact"/>
        <w:rPr>
          <w:sz w:val="20"/>
          <w:szCs w:val="20"/>
          <w:color w:val="auto"/>
        </w:rPr>
      </w:pPr>
    </w:p>
    <w:p>
      <w:pPr>
        <w:ind w:left="9" w:right="1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prepared in accordance with U.S. generally accepted accounting principles (“U.S. GAAP”) for interim financial information and with the instructions to Form 10-Q and Article 10 of Regulation S-X. Accordingly, they do not include all information and footnotes required by U.S. GAAP for complete financial statements. Operating results for the thirteen weeks ended May 4, 2019 are not necessarily indicative of the results that may be expected for the fiscal year ending February 1, 2020.</w:t>
      </w:r>
    </w:p>
    <w:p>
      <w:pPr>
        <w:spacing w:after="0" w:line="184" w:lineRule="exact"/>
        <w:rPr>
          <w:sz w:val="20"/>
          <w:szCs w:val="20"/>
          <w:color w:val="auto"/>
        </w:rPr>
      </w:pPr>
    </w:p>
    <w:p>
      <w:pPr>
        <w:ind w:left="9" w:right="260"/>
        <w:spacing w:after="0" w:line="282" w:lineRule="auto"/>
        <w:rPr>
          <w:sz w:val="20"/>
          <w:szCs w:val="20"/>
          <w:color w:val="auto"/>
        </w:rPr>
      </w:pPr>
      <w:r>
        <w:rPr>
          <w:rFonts w:ascii="Times New Roman" w:cs="Times New Roman" w:eastAsia="Times New Roman" w:hAnsi="Times New Roman"/>
          <w:sz w:val="18"/>
          <w:szCs w:val="18"/>
          <w:color w:val="auto"/>
        </w:rPr>
        <w:t>The following contains references to fiscal years 2019 and 2018, which represent fiscal years ending or ended on February 1, 2020 and February 2, 2019, respectively. Fiscal 2019 and 2018 both have 52-week accounting periods.</w:t>
      </w:r>
    </w:p>
    <w:p>
      <w:pPr>
        <w:spacing w:after="0" w:line="162" w:lineRule="exact"/>
        <w:rPr>
          <w:sz w:val="20"/>
          <w:szCs w:val="20"/>
          <w:color w:val="auto"/>
        </w:rPr>
      </w:pPr>
    </w:p>
    <w:p>
      <w:pPr>
        <w:ind w:left="189" w:hanging="189"/>
        <w:spacing w:after="0"/>
        <w:tabs>
          <w:tab w:leader="none" w:pos="1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ind w:left="9" w:right="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use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ind w:left="9" w:right="100"/>
        <w:spacing w:after="0" w:line="261" w:lineRule="auto"/>
        <w:rPr>
          <w:sz w:val="20"/>
          <w:szCs w:val="20"/>
          <w:color w:val="auto"/>
        </w:rPr>
      </w:pPr>
      <w:r>
        <w:rPr>
          <w:rFonts w:ascii="Times New Roman" w:cs="Times New Roman" w:eastAsia="Times New Roman" w:hAnsi="Times New Roman"/>
          <w:sz w:val="18"/>
          <w:szCs w:val="18"/>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0" w:lineRule="exact"/>
        <w:rPr>
          <w:sz w:val="20"/>
          <w:szCs w:val="20"/>
          <w:color w:val="auto"/>
        </w:rPr>
      </w:pPr>
    </w:p>
    <w:p>
      <w:pPr>
        <w:ind w:left="189" w:hanging="189"/>
        <w:spacing w:after="0"/>
        <w:tabs>
          <w:tab w:leader="none" w:pos="1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Cash Equivalents/Concentration of Credit Risk</w:t>
      </w:r>
    </w:p>
    <w:p>
      <w:pPr>
        <w:spacing w:after="0" w:line="225" w:lineRule="exact"/>
        <w:rPr>
          <w:sz w:val="20"/>
          <w:szCs w:val="20"/>
          <w:color w:val="auto"/>
        </w:rPr>
      </w:pPr>
    </w:p>
    <w:p>
      <w:pPr>
        <w:ind w:left="9" w:right="100"/>
        <w:spacing w:after="0" w:line="261" w:lineRule="auto"/>
        <w:rPr>
          <w:sz w:val="20"/>
          <w:szCs w:val="20"/>
          <w:color w:val="auto"/>
        </w:rPr>
      </w:pPr>
      <w:r>
        <w:rPr>
          <w:rFonts w:ascii="Times New Roman" w:cs="Times New Roman" w:eastAsia="Times New Roman" w:hAnsi="Times New Roman"/>
          <w:sz w:val="18"/>
          <w:szCs w:val="18"/>
          <w:color w:val="auto"/>
        </w:rPr>
        <w:t>For purposes of the condensed consolidated balance sheets and condensed consolidated statements of cash flows, the Company considers all highly liquid investments with maturities at date of purchase of three months or less to be cash</w:t>
      </w:r>
    </w:p>
    <w:p>
      <w:pPr>
        <w:ind w:left="9" w:right="60"/>
        <w:spacing w:after="0" w:line="255" w:lineRule="auto"/>
        <w:rPr>
          <w:sz w:val="20"/>
          <w:szCs w:val="20"/>
          <w:color w:val="auto"/>
        </w:rPr>
      </w:pPr>
      <w:r>
        <w:rPr>
          <w:rFonts w:ascii="Times New Roman" w:cs="Times New Roman" w:eastAsia="Times New Roman" w:hAnsi="Times New Roman"/>
          <w:sz w:val="18"/>
          <w:szCs w:val="18"/>
          <w:color w:val="auto"/>
        </w:rPr>
        <w:t>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86" w:lineRule="exact"/>
        <w:rPr>
          <w:sz w:val="20"/>
          <w:szCs w:val="20"/>
          <w:color w:val="auto"/>
        </w:rPr>
      </w:pPr>
    </w:p>
    <w:p>
      <w:pPr>
        <w:ind w:left="189" w:hanging="189"/>
        <w:spacing w:after="0"/>
        <w:tabs>
          <w:tab w:leader="none" w:pos="1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ind w:left="9" w:right="40"/>
        <w:spacing w:after="0" w:line="266" w:lineRule="auto"/>
        <w:rPr>
          <w:sz w:val="20"/>
          <w:szCs w:val="20"/>
          <w:color w:val="auto"/>
        </w:rPr>
      </w:pPr>
      <w:r>
        <w:rPr>
          <w:rFonts w:ascii="Times New Roman" w:cs="Times New Roman" w:eastAsia="Times New Roman" w:hAnsi="Times New Roman"/>
          <w:sz w:val="18"/>
          <w:szCs w:val="18"/>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w:t>
      </w:r>
    </w:p>
    <w:p>
      <w:pPr>
        <w:spacing w:after="0" w:line="392"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69"/>
          </w:cols>
          <w:pgMar w:left="1311" w:top="121" w:right="1319" w:bottom="1440" w:gutter="0" w:footer="0" w:header="0"/>
        </w:sectPr>
      </w:pPr>
    </w:p>
    <w:bookmarkStart w:id="7" w:name="page8"/>
    <w:bookmarkEnd w:id="7"/>
    <w:p>
      <w:pPr>
        <w:ind w:left="9"/>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9" w:right="640"/>
        <w:spacing w:after="0" w:line="282" w:lineRule="auto"/>
        <w:rPr>
          <w:sz w:val="20"/>
          <w:szCs w:val="20"/>
          <w:color w:val="auto"/>
        </w:rPr>
      </w:pPr>
      <w:r>
        <w:rPr>
          <w:rFonts w:ascii="Times New Roman" w:cs="Times New Roman" w:eastAsia="Times New Roman" w:hAnsi="Times New Roman"/>
          <w:sz w:val="18"/>
          <w:szCs w:val="18"/>
          <w:color w:val="auto"/>
        </w:rPr>
        <w:t>stock. During loss periods, diluted loss per share amounts are based on the weighted average number of common shares outstanding, because the inclusion of common stock equivalents would be antidilutive.</w:t>
      </w:r>
    </w:p>
    <w:p>
      <w:pPr>
        <w:spacing w:after="0" w:line="162" w:lineRule="exact"/>
        <w:rPr>
          <w:sz w:val="20"/>
          <w:szCs w:val="20"/>
          <w:color w:val="auto"/>
        </w:rPr>
      </w:pPr>
    </w:p>
    <w:p>
      <w:pPr>
        <w:ind w:left="9" w:right="140"/>
        <w:spacing w:after="0" w:line="261" w:lineRule="auto"/>
        <w:rPr>
          <w:sz w:val="20"/>
          <w:szCs w:val="20"/>
          <w:color w:val="auto"/>
        </w:rPr>
      </w:pPr>
      <w:r>
        <w:rPr>
          <w:rFonts w:ascii="Times New Roman" w:cs="Times New Roman" w:eastAsia="Times New Roman" w:hAnsi="Times New Roman"/>
          <w:sz w:val="18"/>
          <w:szCs w:val="18"/>
          <w:color w:val="auto"/>
        </w:rPr>
        <w:t>The dilutive effect of stock-based compensation arrangements is accounted for using the treasury stock method. The Company includes as assumed proceeds the amount of compensation cost attributed to future services and not yet recognized. For the thirteen weeks ended May 4, 2019 and May 5, 2018, there were 128,000 and 108,000 shares of nonvested restricted stock, respectively, excluded from the calculation of diluted earnings per share because of antidilution.</w:t>
      </w:r>
    </w:p>
    <w:p>
      <w:pPr>
        <w:spacing w:after="0" w:line="180" w:lineRule="exact"/>
        <w:rPr>
          <w:sz w:val="20"/>
          <w:szCs w:val="20"/>
          <w:color w:val="auto"/>
        </w:rPr>
      </w:pPr>
    </w:p>
    <w:p>
      <w:pPr>
        <w:ind w:left="9" w:right="8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 for the thirteen week periods ended May 4, 2019 and May 5, 2018:</w:t>
      </w:r>
    </w:p>
    <w:p>
      <w:pPr>
        <w:spacing w:after="0" w:line="197" w:lineRule="exact"/>
        <w:rPr>
          <w:sz w:val="20"/>
          <w:szCs w:val="20"/>
          <w:color w:val="auto"/>
        </w:rPr>
      </w:pPr>
    </w:p>
    <w:tbl>
      <w:tblPr>
        <w:tblLayout w:type="fixed"/>
        <w:tblInd w:w="9" w:type="dxa"/>
        <w:tblCellMar>
          <w:top w:w="0" w:type="dxa"/>
          <w:left w:w="0" w:type="dxa"/>
          <w:bottom w:w="0" w:type="dxa"/>
          <w:right w:w="0" w:type="dxa"/>
        </w:tblCellMar>
      </w:tblPr>
      <w:tr>
        <w:trPr>
          <w:trHeight w:val="180"/>
        </w:trPr>
        <w:tc>
          <w:tcPr>
            <w:tcW w:w="682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56"/>
        </w:trPr>
        <w:tc>
          <w:tcPr>
            <w:tcW w:w="6820" w:type="dxa"/>
            <w:vAlign w:val="bottom"/>
          </w:tcPr>
          <w:p>
            <w:pPr>
              <w:spacing w:after="0"/>
              <w:rPr>
                <w:sz w:val="13"/>
                <w:szCs w:val="13"/>
                <w:color w:val="auto"/>
              </w:rPr>
            </w:pPr>
          </w:p>
        </w:tc>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1120" w:type="dxa"/>
            <w:vAlign w:val="bottom"/>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May 5, 2018</w:t>
            </w:r>
          </w:p>
        </w:tc>
      </w:tr>
      <w:tr>
        <w:trPr>
          <w:trHeight w:val="203"/>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11,976,142</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13,578,100</w:t>
            </w:r>
          </w:p>
        </w:tc>
      </w:tr>
      <w:tr>
        <w:trPr>
          <w:trHeight w:val="203"/>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Incremental shares from assumed vesting of nonvested restricted stock</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30,164</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53,166</w:t>
            </w:r>
          </w:p>
        </w:tc>
      </w:tr>
      <w:tr>
        <w:trPr>
          <w:trHeight w:val="203"/>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common shares and common stock equivalents outstanding</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12,006,306</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13,631,266</w:t>
            </w:r>
          </w:p>
        </w:tc>
      </w:tr>
    </w:tbl>
    <w:p>
      <w:pPr>
        <w:spacing w:after="0" w:line="211" w:lineRule="exact"/>
        <w:rPr>
          <w:sz w:val="20"/>
          <w:szCs w:val="20"/>
          <w:color w:val="auto"/>
        </w:rPr>
      </w:pPr>
    </w:p>
    <w:p>
      <w:pPr>
        <w:ind w:left="189" w:hanging="189"/>
        <w:spacing w:after="0"/>
        <w:tabs>
          <w:tab w:leader="none" w:pos="1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Measurement</w:t>
      </w:r>
    </w:p>
    <w:p>
      <w:pPr>
        <w:spacing w:after="0" w:line="225" w:lineRule="exact"/>
        <w:rPr>
          <w:sz w:val="20"/>
          <w:szCs w:val="20"/>
          <w:color w:val="auto"/>
        </w:rPr>
      </w:pPr>
    </w:p>
    <w:p>
      <w:pPr>
        <w:ind w:left="9" w:right="22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80"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assets or liabilities.</w:t>
      </w:r>
    </w:p>
    <w:p>
      <w:pPr>
        <w:spacing w:after="0" w:line="27"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18"/>
          <w:szCs w:val="18"/>
          <w:color w:val="auto"/>
        </w:rPr>
        <w:t>The fair value hierarchy gives the highest priority to Level 1 inputs.</w:t>
      </w:r>
    </w:p>
    <w:p>
      <w:pPr>
        <w:spacing w:after="0" w:line="207"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649" w:right="260" w:firstLine="1"/>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Level 3 inputs are given the lowest priority in the fair value hierarchy.</w:t>
      </w:r>
    </w:p>
    <w:p>
      <w:pPr>
        <w:spacing w:after="0" w:line="162" w:lineRule="exact"/>
        <w:rPr>
          <w:sz w:val="20"/>
          <w:szCs w:val="20"/>
          <w:color w:val="auto"/>
        </w:rPr>
      </w:pPr>
    </w:p>
    <w:p>
      <w:pPr>
        <w:jc w:val="both"/>
        <w:ind w:left="9" w:right="80"/>
        <w:spacing w:after="0" w:line="257" w:lineRule="auto"/>
        <w:rPr>
          <w:sz w:val="20"/>
          <w:szCs w:val="20"/>
          <w:color w:val="auto"/>
        </w:rPr>
      </w:pPr>
      <w:r>
        <w:rPr>
          <w:rFonts w:ascii="Times New Roman" w:cs="Times New Roman" w:eastAsia="Times New Roman" w:hAnsi="Times New Roman"/>
          <w:sz w:val="18"/>
          <w:szCs w:val="18"/>
          <w:color w:val="auto"/>
        </w:rPr>
        <w:t>As of May 4, 2019, the Company’s investment securities are classified as held-to-maturity since the Company has the intent and ability to hold the investments to maturity. Such securities are carried at amortized cost plus accrued interest and consist of the following (in thousands):</w:t>
      </w:r>
    </w:p>
    <w:tbl>
      <w:tblPr>
        <w:tblLayout w:type="fixed"/>
        <w:tblInd w:w="9" w:type="dxa"/>
        <w:tblCellMar>
          <w:top w:w="0" w:type="dxa"/>
          <w:left w:w="0" w:type="dxa"/>
          <w:bottom w:w="0" w:type="dxa"/>
          <w:right w:w="0" w:type="dxa"/>
        </w:tblCellMar>
      </w:tblPr>
      <w:tr>
        <w:trPr>
          <w:trHeight w:val="139"/>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41"/>
              <w:spacing w:after="0" w:line="13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61"/>
              <w:spacing w:after="0" w:line="13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Obligations of the U.S. Treasury and U.S. government agencies (Level 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Bank certificates of deposit (Level 2)</w:t>
            </w:r>
          </w:p>
        </w:tc>
        <w:tc>
          <w:tcPr>
            <w:tcW w:w="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8,806</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43,135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43,123</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Obligations of the U.S. Treasury (Level 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Bank certificates of deposit (Level 2)</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526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09"/>
          </w:cols>
          <w:pgMar w:left="1311" w:top="121" w:right="1279" w:bottom="1440" w:gutter="0" w:footer="0" w:header="0"/>
        </w:sectPr>
      </w:pPr>
    </w:p>
    <w:bookmarkStart w:id="8" w:name="page9"/>
    <w:bookmarkEnd w:id="8"/>
    <w:p>
      <w:pPr>
        <w:ind w:left="9"/>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9" w:right="220"/>
        <w:spacing w:after="0" w:line="282" w:lineRule="auto"/>
        <w:rPr>
          <w:sz w:val="20"/>
          <w:szCs w:val="20"/>
          <w:color w:val="auto"/>
        </w:rPr>
      </w:pPr>
      <w:r>
        <w:rPr>
          <w:rFonts w:ascii="Times New Roman" w:cs="Times New Roman" w:eastAsia="Times New Roman" w:hAnsi="Times New Roman"/>
          <w:sz w:val="18"/>
          <w:szCs w:val="18"/>
          <w:color w:val="auto"/>
        </w:rPr>
        <w:t>The amortized cost and fair market value of investment securities as of May 4, 2019 by contractual maturity are as follows (in thousands):</w:t>
      </w:r>
    </w:p>
    <w:p>
      <w:pPr>
        <w:spacing w:after="0" w:line="157" w:lineRule="exact"/>
        <w:rPr>
          <w:sz w:val="20"/>
          <w:szCs w:val="20"/>
          <w:color w:val="auto"/>
        </w:rPr>
      </w:pPr>
    </w:p>
    <w:tbl>
      <w:tblPr>
        <w:tblLayout w:type="fixed"/>
        <w:tblInd w:w="9"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Mature in one year or less</w:t>
            </w:r>
          </w:p>
        </w:tc>
        <w:tc>
          <w:tcPr>
            <w:tcW w:w="1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Mature after one year through five years</w:t>
            </w:r>
          </w:p>
        </w:tc>
        <w:tc>
          <w:tcPr>
            <w:tcW w:w="14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50,899</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 w:right="120"/>
        <w:spacing w:after="0" w:line="282" w:lineRule="auto"/>
        <w:rPr>
          <w:sz w:val="20"/>
          <w:szCs w:val="20"/>
          <w:color w:val="auto"/>
        </w:rPr>
      </w:pPr>
      <w:r>
        <w:rPr>
          <w:rFonts w:ascii="Times New Roman" w:cs="Times New Roman" w:eastAsia="Times New Roman" w:hAnsi="Times New Roman"/>
          <w:sz w:val="18"/>
          <w:szCs w:val="18"/>
          <w:color w:val="auto"/>
        </w:rPr>
        <w:t>As of February 2, 2019, the Company’s investment securities were classified as held-to-maturity and consisted of the following (in thousands):</w:t>
      </w:r>
    </w:p>
    <w:tbl>
      <w:tblPr>
        <w:tblLayout w:type="fixed"/>
        <w:tblInd w:w="9" w:type="dxa"/>
        <w:tblCellMar>
          <w:top w:w="0" w:type="dxa"/>
          <w:left w:w="0" w:type="dxa"/>
          <w:bottom w:w="0" w:type="dxa"/>
          <w:right w:w="0" w:type="dxa"/>
        </w:tblCellMar>
      </w:tblPr>
      <w:tr>
        <w:trPr>
          <w:trHeight w:val="155"/>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8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Obligations of the U.S. Treasury and U.S. government agencies (Level 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Obligations of states and municipalities (Level 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Bank certificates of deposit (Level 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50,317</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Long-term: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Obligations of the U.S. Treasury (Level 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Bank certificates of deposit (Level 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
        <w:spacing w:after="0" w:line="282" w:lineRule="auto"/>
        <w:rPr>
          <w:sz w:val="20"/>
          <w:szCs w:val="20"/>
          <w:color w:val="auto"/>
        </w:rPr>
      </w:pPr>
      <w:r>
        <w:rPr>
          <w:rFonts w:ascii="Times New Roman" w:cs="Times New Roman" w:eastAsia="Times New Roman" w:hAnsi="Times New Roman"/>
          <w:sz w:val="18"/>
          <w:szCs w:val="18"/>
          <w:color w:val="auto"/>
        </w:rPr>
        <w:t>The amortized cost and fair market value of investment securities as of February 2, 2019 by contractual maturity were as follows (in thousands):</w:t>
      </w:r>
    </w:p>
    <w:p>
      <w:pPr>
        <w:spacing w:after="0" w:line="157" w:lineRule="exact"/>
        <w:rPr>
          <w:sz w:val="20"/>
          <w:szCs w:val="20"/>
          <w:color w:val="auto"/>
        </w:rPr>
      </w:pPr>
    </w:p>
    <w:tbl>
      <w:tblPr>
        <w:tblLayout w:type="fixed"/>
        <w:tblInd w:w="9"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Mature in one year or less</w:t>
            </w:r>
          </w:p>
        </w:tc>
        <w:tc>
          <w:tcPr>
            <w:tcW w:w="1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Mature after one year through five years</w:t>
            </w:r>
          </w:p>
        </w:tc>
        <w:tc>
          <w:tcPr>
            <w:tcW w:w="14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59,184</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There were no changes among the levels in the thirteen weeks ended May 4, 2019.</w:t>
      </w:r>
    </w:p>
    <w:p>
      <w:pPr>
        <w:spacing w:after="0" w:line="2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Fair market values of Level 2 investments are determined by management with the assistance of a third party pricing</w:t>
      </w:r>
    </w:p>
    <w:p>
      <w:pPr>
        <w:spacing w:after="0" w:line="27" w:lineRule="exact"/>
        <w:rPr>
          <w:sz w:val="20"/>
          <w:szCs w:val="20"/>
          <w:color w:val="auto"/>
        </w:rPr>
      </w:pPr>
    </w:p>
    <w:p>
      <w:pPr>
        <w:jc w:val="both"/>
        <w:ind w:left="9" w:right="180"/>
        <w:spacing w:after="0" w:line="255" w:lineRule="auto"/>
        <w:rPr>
          <w:sz w:val="20"/>
          <w:szCs w:val="20"/>
          <w:color w:val="auto"/>
        </w:rPr>
      </w:pPr>
      <w:r>
        <w:rPr>
          <w:rFonts w:ascii="Times New Roman" w:cs="Times New Roman" w:eastAsia="Times New Roman" w:hAnsi="Times New Roman"/>
          <w:sz w:val="18"/>
          <w:szCs w:val="18"/>
          <w:color w:val="auto"/>
        </w:rPr>
        <w:t>service. Because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186" w:lineRule="exact"/>
        <w:rPr>
          <w:sz w:val="20"/>
          <w:szCs w:val="20"/>
          <w:color w:val="auto"/>
        </w:rPr>
      </w:pPr>
    </w:p>
    <w:p>
      <w:pPr>
        <w:ind w:left="189" w:hanging="189"/>
        <w:spacing w:after="0"/>
        <w:tabs>
          <w:tab w:leader="none" w:pos="1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Line of Credit</w:t>
      </w:r>
    </w:p>
    <w:p>
      <w:pPr>
        <w:spacing w:after="0" w:line="225" w:lineRule="exact"/>
        <w:rPr>
          <w:sz w:val="20"/>
          <w:szCs w:val="20"/>
          <w:color w:val="auto"/>
        </w:rPr>
      </w:pPr>
    </w:p>
    <w:p>
      <w:pPr>
        <w:ind w:left="9" w:right="20"/>
        <w:spacing w:after="0" w:line="253" w:lineRule="auto"/>
        <w:rPr>
          <w:sz w:val="20"/>
          <w:szCs w:val="20"/>
          <w:color w:val="auto"/>
        </w:rPr>
      </w:pPr>
      <w:r>
        <w:rPr>
          <w:rFonts w:ascii="Times New Roman" w:cs="Times New Roman" w:eastAsia="Times New Roman" w:hAnsi="Times New Roman"/>
          <w:sz w:val="18"/>
          <w:szCs w:val="18"/>
          <w:color w:val="auto"/>
        </w:rPr>
        <w:t>On October 27, 2011, the Company entered into a five-year, $50 million credit facility with Bank of America. The facility was amended on August 18, 2015, extending the maturity date to August 18, 2020. The amended facility provides a $50 million credit commitment and a $25 million uncommitted “accordion” feature that under certain circumstances could allow the Company to increase the size of the facility to $75 million. Borrowings, if any, under the facility 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w:t>
      </w:r>
    </w:p>
    <w:p>
      <w:pPr>
        <w:spacing w:after="0" w:line="200" w:lineRule="exact"/>
        <w:rPr>
          <w:sz w:val="20"/>
          <w:szCs w:val="20"/>
          <w:color w:val="auto"/>
        </w:rPr>
      </w:pPr>
    </w:p>
    <w:p>
      <w:pPr>
        <w:spacing w:after="0" w:line="20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9"/>
          </w:cols>
          <w:pgMar w:left="1311" w:top="121" w:right="1299" w:bottom="1440" w:gutter="0" w:footer="0" w:header="0"/>
        </w:sectPr>
      </w:pPr>
    </w:p>
    <w:bookmarkStart w:id="9" w:name="page10"/>
    <w:bookmarkEnd w:id="9"/>
    <w:p>
      <w:pPr>
        <w:ind w:left="9"/>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9" w:right="340"/>
        <w:spacing w:after="0" w:line="282" w:lineRule="auto"/>
        <w:rPr>
          <w:sz w:val="20"/>
          <w:szCs w:val="20"/>
          <w:color w:val="auto"/>
        </w:rPr>
      </w:pPr>
      <w:r>
        <w:rPr>
          <w:rFonts w:ascii="Times New Roman" w:cs="Times New Roman" w:eastAsia="Times New Roman" w:hAnsi="Times New Roman"/>
          <w:sz w:val="18"/>
          <w:szCs w:val="18"/>
          <w:color w:val="auto"/>
        </w:rPr>
        <w:t>in the 30 days prior to the dividend payment and no borrowings are expected in the 30 days subsequent to the payment. The Company has had no borrowings under the credit facility.</w:t>
      </w:r>
    </w:p>
    <w:p>
      <w:pPr>
        <w:spacing w:after="0" w:line="162" w:lineRule="exact"/>
        <w:rPr>
          <w:sz w:val="20"/>
          <w:szCs w:val="20"/>
          <w:color w:val="auto"/>
        </w:rPr>
      </w:pPr>
    </w:p>
    <w:p>
      <w:pPr>
        <w:ind w:left="229" w:hanging="229"/>
        <w:spacing w:after="0"/>
        <w:tabs>
          <w:tab w:leader="none" w:pos="2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left="9" w:right="200"/>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89" w:lineRule="exact"/>
        <w:rPr>
          <w:sz w:val="20"/>
          <w:szCs w:val="20"/>
          <w:color w:val="auto"/>
        </w:rPr>
      </w:pPr>
    </w:p>
    <w:p>
      <w:pPr>
        <w:jc w:val="both"/>
        <w:ind w:left="9" w:right="200"/>
        <w:spacing w:after="0" w:line="266" w:lineRule="auto"/>
        <w:rPr>
          <w:sz w:val="20"/>
          <w:szCs w:val="20"/>
          <w:color w:val="auto"/>
        </w:rPr>
      </w:pPr>
      <w:r>
        <w:rPr>
          <w:rFonts w:ascii="Times New Roman" w:cs="Times New Roman" w:eastAsia="Times New Roman" w:hAnsi="Times New Roman"/>
          <w:sz w:val="18"/>
          <w:szCs w:val="18"/>
          <w:color w:val="auto"/>
        </w:rPr>
        <w:t>U.S. GAAP requires companies to calculate income taxes by applying their estimated full-year tax rate in each interim period unless the estimated full-year tax rate is not reliably predictable. For the thirteen weeks ended May 4, 2019 and May 5, 2018, the Company utilized this annual effective tax rate method to calculate income taxes.</w:t>
      </w:r>
    </w:p>
    <w:p>
      <w:pPr>
        <w:spacing w:after="0" w:line="176" w:lineRule="exact"/>
        <w:rPr>
          <w:sz w:val="20"/>
          <w:szCs w:val="20"/>
          <w:color w:val="auto"/>
        </w:rPr>
      </w:pPr>
    </w:p>
    <w:p>
      <w:pPr>
        <w:ind w:left="9" w:right="140"/>
        <w:spacing w:after="0" w:line="266" w:lineRule="auto"/>
        <w:rPr>
          <w:sz w:val="20"/>
          <w:szCs w:val="20"/>
          <w:color w:val="auto"/>
        </w:rPr>
      </w:pPr>
      <w:r>
        <w:rPr>
          <w:rFonts w:ascii="Times New Roman" w:cs="Times New Roman" w:eastAsia="Times New Roman" w:hAnsi="Times New Roman"/>
          <w:sz w:val="18"/>
          <w:szCs w:val="18"/>
          <w:color w:val="auto"/>
        </w:rPr>
        <w:t>For the three months ended May 4, 2019, the effective income tax rate was 14.2%. This compares with a rate of 18.7% for the three months ended May 5, 2018. The decrease in the effective income tax rate was due primarily to lower pretax income compared with the prior year, along with an increase in federal and state tax credits.</w:t>
      </w:r>
    </w:p>
    <w:p>
      <w:pPr>
        <w:spacing w:after="0" w:line="176" w:lineRule="exact"/>
        <w:rPr>
          <w:sz w:val="20"/>
          <w:szCs w:val="20"/>
          <w:color w:val="auto"/>
        </w:rPr>
      </w:pPr>
    </w:p>
    <w:p>
      <w:pPr>
        <w:ind w:left="189" w:hanging="189"/>
        <w:spacing w:after="0"/>
        <w:tabs>
          <w:tab w:leader="none" w:pos="1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Long-Term Liabilities</w:t>
      </w:r>
    </w:p>
    <w:p>
      <w:pPr>
        <w:spacing w:after="0" w:line="2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The components of other long-term liabilities as of May 4, 2019 and February 2, 2019 are as follows (in thousands):</w:t>
      </w:r>
    </w:p>
    <w:p>
      <w:pPr>
        <w:spacing w:after="0" w:line="220" w:lineRule="exact"/>
        <w:rPr>
          <w:sz w:val="20"/>
          <w:szCs w:val="20"/>
          <w:color w:val="auto"/>
        </w:rPr>
      </w:pPr>
    </w:p>
    <w:tbl>
      <w:tblPr>
        <w:tblLayout w:type="fixed"/>
        <w:tblInd w:w="49"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2,</w:t>
            </w:r>
          </w:p>
        </w:tc>
      </w:tr>
      <w:tr>
        <w:trPr>
          <w:trHeight w:val="173"/>
        </w:trPr>
        <w:tc>
          <w:tcPr>
            <w:tcW w:w="4460" w:type="dxa"/>
            <w:vAlign w:val="bottom"/>
            <w:tcBorders>
              <w:bottom w:val="single" w:sz="8" w:color="CCEEFF"/>
            </w:tcBorders>
          </w:tcPr>
          <w:p>
            <w:pPr>
              <w:spacing w:after="0"/>
              <w:rPr>
                <w:sz w:val="15"/>
                <w:szCs w:val="15"/>
                <w:color w:val="auto"/>
              </w:rPr>
            </w:pPr>
          </w:p>
        </w:tc>
        <w:tc>
          <w:tcPr>
            <w:tcW w:w="2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Tenant improvement allowances</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60" w:type="dxa"/>
            <w:vAlign w:val="bottom"/>
            <w:shd w:val="clear" w:color="auto" w:fill="CCEEFF"/>
          </w:tcPr>
          <w:p>
            <w:pPr>
              <w:spacing w:after="0"/>
              <w:rPr>
                <w:sz w:val="18"/>
                <w:szCs w:val="18"/>
                <w:color w:val="auto"/>
              </w:rPr>
            </w:pPr>
          </w:p>
        </w:tc>
      </w:tr>
      <w:tr>
        <w:trPr>
          <w:trHeight w:val="217"/>
        </w:trPr>
        <w:tc>
          <w:tcPr>
            <w:tcW w:w="4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60" w:type="dxa"/>
            <w:vAlign w:val="bottom"/>
          </w:tcPr>
          <w:p>
            <w:pPr>
              <w:spacing w:after="0"/>
              <w:rPr>
                <w:sz w:val="18"/>
                <w:szCs w:val="18"/>
                <w:color w:val="auto"/>
              </w:rPr>
            </w:pPr>
          </w:p>
        </w:tc>
      </w:tr>
    </w:tbl>
    <w:p>
      <w:pPr>
        <w:spacing w:after="0" w:line="207" w:lineRule="exact"/>
        <w:rPr>
          <w:sz w:val="20"/>
          <w:szCs w:val="20"/>
          <w:color w:val="auto"/>
        </w:rPr>
      </w:pPr>
    </w:p>
    <w:p>
      <w:pPr>
        <w:ind w:left="329" w:right="20" w:hanging="329"/>
        <w:spacing w:after="0" w:line="262" w:lineRule="auto"/>
        <w:tabs>
          <w:tab w:leader="none" w:pos="32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Commencing February 3, 2019, deferred rent and tenant improvement allowances are included as part of the Company’s operating lease right of use assets (see Note 11 regarding the Company’s adoption of lease accounting standard).</w:t>
      </w:r>
    </w:p>
    <w:p>
      <w:pPr>
        <w:spacing w:after="0" w:line="180" w:lineRule="exact"/>
        <w:rPr>
          <w:sz w:val="20"/>
          <w:szCs w:val="20"/>
          <w:color w:val="auto"/>
        </w:rPr>
      </w:pPr>
    </w:p>
    <w:p>
      <w:pPr>
        <w:ind w:left="189" w:hanging="189"/>
        <w:spacing w:after="0"/>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ind w:left="9" w:right="40"/>
        <w:spacing w:after="0" w:line="256" w:lineRule="auto"/>
        <w:rPr>
          <w:sz w:val="20"/>
          <w:szCs w:val="20"/>
          <w:color w:val="auto"/>
        </w:rPr>
      </w:pPr>
      <w:r>
        <w:rPr>
          <w:rFonts w:ascii="Times New Roman" w:cs="Times New Roman" w:eastAsia="Times New Roman" w:hAnsi="Times New Roman"/>
          <w:sz w:val="18"/>
          <w:szCs w:val="18"/>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88" w:lineRule="exact"/>
        <w:rPr>
          <w:sz w:val="20"/>
          <w:szCs w:val="20"/>
          <w:color w:val="auto"/>
        </w:rPr>
      </w:pPr>
    </w:p>
    <w:p>
      <w:pPr>
        <w:ind w:left="269" w:hanging="269"/>
        <w:spacing w:after="0"/>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Repurchase Program and Cash Dividends</w:t>
      </w:r>
    </w:p>
    <w:p>
      <w:pPr>
        <w:spacing w:after="0" w:line="22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Repurchases of Common Stock</w:t>
      </w:r>
    </w:p>
    <w:p>
      <w:pPr>
        <w:spacing w:after="0" w:line="29" w:lineRule="exact"/>
        <w:rPr>
          <w:sz w:val="20"/>
          <w:szCs w:val="20"/>
          <w:color w:val="auto"/>
        </w:rPr>
      </w:pPr>
    </w:p>
    <w:p>
      <w:pPr>
        <w:ind w:left="9" w:right="220"/>
        <w:spacing w:after="0" w:line="254" w:lineRule="auto"/>
        <w:rPr>
          <w:sz w:val="20"/>
          <w:szCs w:val="20"/>
          <w:color w:val="auto"/>
        </w:rPr>
      </w:pPr>
      <w:r>
        <w:rPr>
          <w:rFonts w:ascii="Times New Roman" w:cs="Times New Roman" w:eastAsia="Times New Roman" w:hAnsi="Times New Roman"/>
          <w:sz w:val="18"/>
          <w:szCs w:val="18"/>
          <w:color w:val="auto"/>
        </w:rPr>
        <w:t>On November 28, 2018, the Company’s Board of Directors approved a program that authorized the purchase of up to $25.0 million in shares of the Company’s common stock. During the thirteen weeks ended May 4, 2019, the Company repurchased 82,312 shares of its common stock at an aggregate cost of $1.6 million. At May 4, 2019, $8.0 million remained available for purchase under this program.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49"/>
          </w:cols>
          <w:pgMar w:left="1311" w:top="121" w:right="1339" w:bottom="1440" w:gutter="0" w:footer="0" w:header="0"/>
        </w:sectPr>
      </w:pPr>
    </w:p>
    <w:bookmarkStart w:id="10" w:name="page11"/>
    <w:bookmarkEnd w:id="10"/>
    <w:p>
      <w:pPr>
        <w:ind w:left="9"/>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9" w:lineRule="exact"/>
        <w:rPr>
          <w:sz w:val="20"/>
          <w:szCs w:val="20"/>
          <w:color w:val="auto"/>
        </w:rPr>
      </w:pPr>
    </w:p>
    <w:p>
      <w:pPr>
        <w:ind w:left="9" w:right="40"/>
        <w:spacing w:after="0" w:line="254" w:lineRule="auto"/>
        <w:rPr>
          <w:sz w:val="20"/>
          <w:szCs w:val="20"/>
          <w:color w:val="auto"/>
        </w:rPr>
      </w:pPr>
      <w:r>
        <w:rPr>
          <w:rFonts w:ascii="Times New Roman" w:cs="Times New Roman" w:eastAsia="Times New Roman" w:hAnsi="Times New Roman"/>
          <w:sz w:val="18"/>
          <w:szCs w:val="18"/>
          <w:color w:val="auto"/>
        </w:rPr>
        <w:t>On February 12, 2019, the Company’s Board of Directors declared a dividend of $0.08 per common share, which was paid on March 19, 2019 to stockholders of record as of March 5, 2019. On May 21, 2019, the Company’s Board of Directors declared a dividend of $0.08 per common share payable on June 18, 2019 to stockholders of record as of June 4, 2019. Any determination to declare and pay cash dividends for future quarters will be made by the Board of Directors.</w:t>
      </w:r>
    </w:p>
    <w:p>
      <w:pPr>
        <w:spacing w:after="0" w:line="186" w:lineRule="exact"/>
        <w:rPr>
          <w:sz w:val="20"/>
          <w:szCs w:val="20"/>
          <w:color w:val="auto"/>
        </w:rPr>
      </w:pPr>
    </w:p>
    <w:p>
      <w:pPr>
        <w:ind w:left="309" w:hanging="309"/>
        <w:spacing w:after="0"/>
        <w:tabs>
          <w:tab w:leader="none" w:pos="3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29" w:lineRule="exact"/>
        <w:rPr>
          <w:sz w:val="20"/>
          <w:szCs w:val="20"/>
          <w:color w:val="auto"/>
        </w:rPr>
      </w:pPr>
    </w:p>
    <w:p>
      <w:pPr>
        <w:ind w:left="9" w:right="20"/>
        <w:spacing w:after="0" w:line="251"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 Update (“ASU”) No. 2016-02, Leases (Topic 842) (“ASU 2016–02” or “Topic 842”) which replaced the existing guidance in ASC 840, Leases. The new standard established a right-of-use model that requires a lessee to record a right-of-use asset and a lease liability on the balance sheet for all leases with terms longer than 12 months. The guidance is effective for fiscal years beginning after December 15, 2018, including interim periods within those fiscal years. The Company adopted ASU 2016-02 on February 3, 2019, the first day of fiscal 2019. As part of the implementation process, the Company assessed its lease arrangements, evaluated practical expedient and accounting policy elections and implemented necessary modifications to its existing lease system. In adopting the new lease standard, the Company elected the optional transition method which applied the standard as of the effective date but did not apply the standard to the comparative periods previously presented in the consolidated financial statements. The new standard also provided optional practical expedients for transition, which the Company elected, which permitted it to not reassess prior conclusions regarding lease classification, identification or initial direct costs. Further, the Company elected a short-term lease exception policy which permitted it to not apply the recognition requirements of the new standard to short-term leases (leases with terms of 12 months or less). The Company also elected an accounting policy to account for lease and non-lease components as a single component for certain classes of assets. The Company did not elect an optional hindsight practical expedient.</w:t>
      </w:r>
    </w:p>
    <w:p>
      <w:pPr>
        <w:spacing w:after="0" w:line="192" w:lineRule="exact"/>
        <w:rPr>
          <w:sz w:val="20"/>
          <w:szCs w:val="20"/>
          <w:color w:val="auto"/>
        </w:rPr>
      </w:pPr>
    </w:p>
    <w:p>
      <w:pPr>
        <w:ind w:left="9"/>
        <w:spacing w:after="0" w:line="252" w:lineRule="auto"/>
        <w:rPr>
          <w:sz w:val="20"/>
          <w:szCs w:val="20"/>
          <w:color w:val="auto"/>
        </w:rPr>
      </w:pPr>
      <w:r>
        <w:rPr>
          <w:rFonts w:ascii="Times New Roman" w:cs="Times New Roman" w:eastAsia="Times New Roman" w:hAnsi="Times New Roman"/>
          <w:sz w:val="18"/>
          <w:szCs w:val="18"/>
          <w:color w:val="auto"/>
        </w:rPr>
        <w:t>The Company leases all of its retail store locations and certain office space and equipment. All leases are classified as operating leases. Under the new guidance, right–of-use assets and lease liabilities are recognized based on the present value of future minimum lease payments over the lease term. The Company uses its incremental borrowing rate as the discount rate which approximates the rate of interest the Company would have to pay on a collateralized basis to borrow an amount equal to the total lease payments under similar terms. The incremental borrowing rate for existing leases as of the opening balance sheet date was based on the remaining terms of the leases. The incremental borrowing rate for all new or amended leases is based upon the lease terms which include the contractual period obligated by the leases plus any additional periods covered by options available to extend the leases if the Company is reasonably certain to exercise such options. Lease expense for fixed lease payments is recognized on a straight-line basis over the lease term and is included in selling, general and administrative expenses. Adoption of the new standard resulted in the recording of operating lease right-of-use assets and operating lease liabilities of approximately $133.6 million and $141.0 million, respectively, as of February 3, 2019. The difference between the lease assets and lease liabilities was primarily due to reclassification of lease incentives, as well as impairment of operating lease right-of-use assets for stores previously impaired as of the effective date. Lease impairment, net of the related deferred taxes, totaled approximately $2.1 million and is reflected as an adjustment to retained earnings at the transition date.</w:t>
      </w:r>
    </w:p>
    <w:p>
      <w:pPr>
        <w:spacing w:after="0" w:line="199" w:lineRule="exact"/>
        <w:rPr>
          <w:sz w:val="20"/>
          <w:szCs w:val="20"/>
          <w:color w:val="auto"/>
        </w:rPr>
      </w:pPr>
    </w:p>
    <w:p>
      <w:pPr>
        <w:ind w:left="309" w:hanging="309"/>
        <w:spacing w:after="0"/>
        <w:tabs>
          <w:tab w:leader="none" w:pos="3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w:t>
      </w:r>
    </w:p>
    <w:p>
      <w:pPr>
        <w:spacing w:after="0" w:line="22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ind w:left="9"/>
        <w:spacing w:after="0" w:line="253" w:lineRule="auto"/>
        <w:rPr>
          <w:sz w:val="20"/>
          <w:szCs w:val="20"/>
          <w:color w:val="auto"/>
        </w:rPr>
      </w:pPr>
      <w:r>
        <w:rPr>
          <w:rFonts w:ascii="Times New Roman" w:cs="Times New Roman" w:eastAsia="Times New Roman" w:hAnsi="Times New Roman"/>
          <w:sz w:val="18"/>
          <w:szCs w:val="18"/>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Non-refundable layaway service fees are recognized</w:t>
      </w:r>
    </w:p>
    <w:p>
      <w:pPr>
        <w:spacing w:after="0" w:line="200" w:lineRule="exact"/>
        <w:rPr>
          <w:sz w:val="20"/>
          <w:szCs w:val="20"/>
          <w:color w:val="auto"/>
        </w:rPr>
      </w:pPr>
    </w:p>
    <w:p>
      <w:pPr>
        <w:spacing w:after="0" w:line="20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69"/>
          </w:cols>
          <w:pgMar w:left="1311" w:top="121" w:right="1319" w:bottom="1440" w:gutter="0" w:footer="0" w:header="0"/>
        </w:sectPr>
      </w:pPr>
    </w:p>
    <w:bookmarkStart w:id="11" w:name="page12"/>
    <w:bookmarkEnd w:id="11"/>
    <w:p>
      <w:pPr>
        <w:ind w:left="9"/>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9" w:right="520"/>
        <w:spacing w:after="0" w:line="282" w:lineRule="auto"/>
        <w:rPr>
          <w:sz w:val="20"/>
          <w:szCs w:val="20"/>
          <w:color w:val="auto"/>
        </w:rPr>
      </w:pPr>
      <w:r>
        <w:rPr>
          <w:rFonts w:ascii="Times New Roman" w:cs="Times New Roman" w:eastAsia="Times New Roman" w:hAnsi="Times New Roman"/>
          <w:sz w:val="18"/>
          <w:szCs w:val="18"/>
          <w:color w:val="auto"/>
        </w:rPr>
        <w:t>in revenue when collected by the Company from customers. The Company defers revenue from the sale of gift cards and recognizes the associated revenue upon the redemption of the cards by customers to purchase merchandise.</w:t>
      </w:r>
    </w:p>
    <w:p>
      <w:pPr>
        <w:spacing w:after="0" w:line="16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29" w:lineRule="exact"/>
        <w:rPr>
          <w:sz w:val="20"/>
          <w:szCs w:val="20"/>
          <w:color w:val="auto"/>
        </w:rPr>
      </w:pPr>
    </w:p>
    <w:p>
      <w:pPr>
        <w:ind w:left="9" w:right="20"/>
        <w:spacing w:after="0" w:line="253" w:lineRule="auto"/>
        <w:rPr>
          <w:sz w:val="20"/>
          <w:szCs w:val="20"/>
          <w:color w:val="auto"/>
        </w:rPr>
      </w:pPr>
      <w:r>
        <w:rPr>
          <w:rFonts w:ascii="Times New Roman" w:cs="Times New Roman" w:eastAsia="Times New Roman" w:hAnsi="Times New Roman"/>
          <w:sz w:val="18"/>
          <w:szCs w:val="18"/>
          <w:color w:val="auto"/>
        </w:rPr>
        <w:t>The Company allows customers to return merchandise for up to thirty days after the date of sale. Expected refunds to customers are recorded based on estimated margin using historical return information. Under ASU 2014-09, the Company recorded an estimated refund liability of $0.4 million, included in the line item “Accrued expenses,” and the carrying value of a return asset of $0.2 million, presented separately from inventory, included in the line item “Prepaid and other current assets” on the condensed consolidated balance sheets as of May 4, 2019 and February 2, 2019.</w:t>
      </w:r>
    </w:p>
    <w:p>
      <w:pPr>
        <w:spacing w:after="0" w:line="1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The Company’s retail operations represent a single operating segment based on the way the Company manages its</w:t>
      </w:r>
    </w:p>
    <w:p>
      <w:pPr>
        <w:spacing w:after="0" w:line="9" w:lineRule="exact"/>
        <w:rPr>
          <w:sz w:val="20"/>
          <w:szCs w:val="20"/>
          <w:color w:val="auto"/>
        </w:rPr>
      </w:pPr>
    </w:p>
    <w:p>
      <w:pPr>
        <w:jc w:val="both"/>
        <w:ind w:left="9" w:right="20"/>
        <w:spacing w:after="0" w:line="255" w:lineRule="auto"/>
        <w:rPr>
          <w:sz w:val="20"/>
          <w:szCs w:val="20"/>
          <w:color w:val="auto"/>
        </w:rPr>
      </w:pPr>
      <w:r>
        <w:rPr>
          <w:rFonts w:ascii="Times New Roman" w:cs="Times New Roman" w:eastAsia="Times New Roman" w:hAnsi="Times New Roman"/>
          <w:sz w:val="18"/>
          <w:szCs w:val="18"/>
          <w:color w:val="auto"/>
        </w:rPr>
        <w:t>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86" w:lineRule="exact"/>
        <w:rPr>
          <w:sz w:val="20"/>
          <w:szCs w:val="20"/>
          <w:color w:val="auto"/>
        </w:rPr>
      </w:pPr>
    </w:p>
    <w:p>
      <w:pPr>
        <w:ind w:left="9" w:right="200"/>
        <w:spacing w:after="0" w:line="266" w:lineRule="auto"/>
        <w:rPr>
          <w:sz w:val="20"/>
          <w:szCs w:val="20"/>
          <w:color w:val="auto"/>
        </w:rPr>
      </w:pPr>
      <w:r>
        <w:rPr>
          <w:rFonts w:ascii="Times New Roman" w:cs="Times New Roman" w:eastAsia="Times New Roman" w:hAnsi="Times New Roman"/>
          <w:sz w:val="18"/>
          <w:szCs w:val="18"/>
          <w:color w:val="auto"/>
        </w:rPr>
        <w:t>In the following table, the Company’s revenue from contracts with customers is disaggregated by major product line. The percentage of net sales related to each classification of its merchandise assortment for the first quarter of fiscal 2019 and 2018 was approximately:</w:t>
      </w:r>
    </w:p>
    <w:p>
      <w:pPr>
        <w:spacing w:after="0" w:line="48" w:lineRule="exact"/>
        <w:rPr>
          <w:sz w:val="20"/>
          <w:szCs w:val="20"/>
          <w:color w:val="auto"/>
        </w:rPr>
      </w:pPr>
    </w:p>
    <w:tbl>
      <w:tblPr>
        <w:tblLayout w:type="fixed"/>
        <w:tblInd w:w="1169"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492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49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CCEEFF"/>
          </w:tcPr>
          <w:p>
            <w:pPr>
              <w:spacing w:after="0"/>
              <w:rPr>
                <w:sz w:val="18"/>
                <w:szCs w:val="18"/>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Ladies'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9"/>
                <w:szCs w:val="19"/>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Children's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CCEEFF"/>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Men's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9"/>
                <w:szCs w:val="19"/>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27" w:lineRule="exact"/>
        <w:rPr>
          <w:sz w:val="20"/>
          <w:szCs w:val="20"/>
          <w:color w:val="auto"/>
        </w:rPr>
      </w:pPr>
    </w:p>
    <w:p>
      <w:pPr>
        <w:ind w:left="309" w:hanging="309"/>
        <w:spacing w:after="0"/>
        <w:tabs>
          <w:tab w:leader="none" w:pos="3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ind w:left="9"/>
        <w:spacing w:after="0" w:line="256" w:lineRule="auto"/>
        <w:rPr>
          <w:sz w:val="20"/>
          <w:szCs w:val="20"/>
          <w:color w:val="auto"/>
        </w:rPr>
      </w:pPr>
      <w:r>
        <w:rPr>
          <w:rFonts w:ascii="Times New Roman" w:cs="Times New Roman" w:eastAsia="Times New Roman" w:hAnsi="Times New Roman"/>
          <w:sz w:val="18"/>
          <w:szCs w:val="18"/>
          <w:color w:val="auto"/>
        </w:rPr>
        <w:t>The Company leases its retail store locations and certain office space and equipment. The Company analyzes all leases at inception to determine if a right-of-use asset and lease liability should be recognized. Leases with an initial term of 12 months or less and leases with mutual termination clauses are not included on the condensed consolidated balance sheet. The lease liability is measured at the present value of future lease payments as of the lease commencement date, or as of the date of adoption of ASU 2016-02 for leases existing at the adoption date. The right-of-use asset recognized is based on the lease liability adjusted for prepaid and deferred rent and unamortized lease incentives.</w:t>
      </w:r>
    </w:p>
    <w:p>
      <w:pPr>
        <w:spacing w:after="0" w:line="188" w:lineRule="exact"/>
        <w:rPr>
          <w:sz w:val="20"/>
          <w:szCs w:val="20"/>
          <w:color w:val="auto"/>
        </w:rPr>
      </w:pPr>
    </w:p>
    <w:p>
      <w:pPr>
        <w:ind w:left="9" w:right="60"/>
        <w:spacing w:after="0" w:line="266" w:lineRule="auto"/>
        <w:rPr>
          <w:sz w:val="20"/>
          <w:szCs w:val="20"/>
          <w:color w:val="auto"/>
        </w:rPr>
      </w:pPr>
      <w:r>
        <w:rPr>
          <w:rFonts w:ascii="Times New Roman" w:cs="Times New Roman" w:eastAsia="Times New Roman" w:hAnsi="Times New Roman"/>
          <w:sz w:val="18"/>
          <w:szCs w:val="18"/>
          <w:color w:val="auto"/>
        </w:rPr>
        <w:t>Total lease cost is comprised of operating lease costs, short-term lease costs, and variable lease costs, which include rent paid as a percentage of sales, common area maintenance, real estate taxes and insurance for the Company’s real estate leases. Lease expense for the first thirteen weeks ended May 4, 2019 is as follows (in thousands):</w:t>
      </w:r>
    </w:p>
    <w:p>
      <w:pPr>
        <w:sectPr>
          <w:pgSz w:w="11900" w:h="16838" w:orient="portrait"/>
          <w:cols w:equalWidth="0" w:num="1">
            <w:col w:w="9269"/>
          </w:cols>
          <w:pgMar w:left="1311" w:top="121" w:right="131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869"/>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ind w:left="869"/>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3" w:lineRule="exact"/>
        <w:rPr>
          <w:sz w:val="20"/>
          <w:szCs w:val="20"/>
          <w:color w:val="auto"/>
        </w:rPr>
      </w:pPr>
    </w:p>
    <w:p>
      <w:pPr>
        <w:ind w:left="869"/>
        <w:spacing w:after="0"/>
        <w:rPr>
          <w:sz w:val="20"/>
          <w:szCs w:val="20"/>
          <w:color w:val="auto"/>
        </w:rPr>
      </w:pPr>
      <w:r>
        <w:rPr>
          <w:rFonts w:ascii="Times New Roman" w:cs="Times New Roman" w:eastAsia="Times New Roman" w:hAnsi="Times New Roman"/>
          <w:sz w:val="17"/>
          <w:szCs w:val="17"/>
          <w:color w:val="auto"/>
        </w:rPr>
        <w:t>Short term lease cost</w:t>
      </w:r>
    </w:p>
    <w:p>
      <w:pPr>
        <w:spacing w:after="0" w:line="43" w:lineRule="exact"/>
        <w:rPr>
          <w:sz w:val="20"/>
          <w:szCs w:val="20"/>
          <w:color w:val="auto"/>
        </w:rPr>
      </w:pPr>
    </w:p>
    <w:p>
      <w:pPr>
        <w:ind w:left="869"/>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r>
      <w:tr>
        <w:trPr>
          <w:trHeight w:val="205"/>
        </w:trPr>
        <w:tc>
          <w:tcPr>
            <w:tcW w:w="20" w:type="dxa"/>
            <w:vAlign w:val="bottom"/>
          </w:tcPr>
          <w:p>
            <w:pPr>
              <w:spacing w:after="0"/>
              <w:rPr>
                <w:sz w:val="17"/>
                <w:szCs w:val="17"/>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11,777</w:t>
            </w: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7"/>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-599440</wp:posOffset>
            </wp:positionV>
            <wp:extent cx="480250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02505" cy="14605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-307975</wp:posOffset>
            </wp:positionV>
            <wp:extent cx="480250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0250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9" w:space="720"/>
            <w:col w:w="3000"/>
          </w:cols>
          <w:pgMar w:left="1311" w:top="121" w:right="131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69"/>
          </w:cols>
          <w:pgMar w:left="1311" w:top="121" w:right="131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as of May 4, 2019 are as follows (in thousands):</w:t>
      </w:r>
    </w:p>
    <w:p>
      <w:pPr>
        <w:spacing w:after="0" w:line="313"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5400" w:type="dxa"/>
            <w:vAlign w:val="bottom"/>
            <w:gridSpan w:val="2"/>
          </w:tcPr>
          <w:p>
            <w:pPr>
              <w:ind w:left="22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5"/>
                <w:szCs w:val="15"/>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Lease Costs</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35,209</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15,863</w:t>
            </w: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18"/>
                <w:szCs w:val="18"/>
                <w:color w:val="auto"/>
              </w:rPr>
            </w:pPr>
          </w:p>
        </w:tc>
        <w:tc>
          <w:tcPr>
            <w:tcW w:w="1620" w:type="dxa"/>
            <w:vAlign w:val="bottom"/>
            <w:gridSpan w:val="2"/>
          </w:tcPr>
          <w:p>
            <w:pPr>
              <w:jc w:val="right"/>
              <w:ind w:right="28"/>
              <w:spacing w:after="0" w:line="216" w:lineRule="exact"/>
              <w:rPr>
                <w:sz w:val="20"/>
                <w:szCs w:val="20"/>
                <w:color w:val="auto"/>
              </w:rPr>
            </w:pPr>
            <w:r>
              <w:rPr>
                <w:rFonts w:ascii="Times New Roman" w:cs="Times New Roman" w:eastAsia="Times New Roman" w:hAnsi="Times New Roman"/>
                <w:sz w:val="16"/>
                <w:szCs w:val="16"/>
                <w:color w:val="auto"/>
              </w:rPr>
              <w:t>(14,916)</w:t>
            </w:r>
            <w:r>
              <w:rPr>
                <w:rFonts w:ascii="Times New Roman" w:cs="Times New Roman" w:eastAsia="Times New Roman" w:hAnsi="Times New Roman"/>
                <w:sz w:val="25"/>
                <w:szCs w:val="25"/>
                <w:color w:val="auto"/>
                <w:vertAlign w:val="subscript"/>
              </w:rPr>
              <w:t>(1)</w:t>
            </w:r>
          </w:p>
        </w:tc>
        <w:tc>
          <w:tcPr>
            <w:tcW w:w="0" w:type="dxa"/>
            <w:vAlign w:val="bottom"/>
          </w:tcPr>
          <w:p>
            <w:pPr>
              <w:spacing w:after="0"/>
              <w:rPr>
                <w:sz w:val="1"/>
                <w:szCs w:val="1"/>
                <w:color w:val="auto"/>
              </w:rPr>
            </w:pPr>
          </w:p>
        </w:tc>
      </w:tr>
      <w:tr>
        <w:trPr>
          <w:trHeight w:val="20"/>
        </w:trPr>
        <w:tc>
          <w:tcPr>
            <w:tcW w:w="5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28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156,148</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6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780"/>
        <w:spacing w:after="0"/>
        <w:tabs>
          <w:tab w:leader="none" w:pos="1080" w:val="left"/>
        </w:tabs>
        <w:rPr>
          <w:sz w:val="20"/>
          <w:szCs w:val="20"/>
          <w:color w:val="auto"/>
        </w:rPr>
      </w:pPr>
      <w:r>
        <w:rPr>
          <w:rFonts w:ascii="Times New Roman" w:cs="Times New Roman" w:eastAsia="Times New Roman" w:hAnsi="Times New Roman"/>
          <w:sz w:val="14"/>
          <w:szCs w:val="14"/>
          <w:color w:val="auto"/>
        </w:rPr>
        <w:t>(1)</w:t>
        <w:tab/>
        <w:t>Calculated using the discount rate for each lease.</w:t>
      </w:r>
    </w:p>
    <w:p>
      <w:pPr>
        <w:spacing w:after="0" w:line="4" w:lineRule="exact"/>
        <w:rPr>
          <w:sz w:val="20"/>
          <w:szCs w:val="20"/>
          <w:color w:val="auto"/>
        </w:rPr>
      </w:pPr>
    </w:p>
    <w:p>
      <w:pPr>
        <w:ind w:left="780"/>
        <w:spacing w:after="0"/>
        <w:tabs>
          <w:tab w:leader="none" w:pos="1080" w:val="left"/>
        </w:tabs>
        <w:rPr>
          <w:sz w:val="20"/>
          <w:szCs w:val="20"/>
          <w:color w:val="auto"/>
        </w:rPr>
      </w:pPr>
      <w:r>
        <w:rPr>
          <w:rFonts w:ascii="Times New Roman" w:cs="Times New Roman" w:eastAsia="Times New Roman" w:hAnsi="Times New Roman"/>
          <w:sz w:val="14"/>
          <w:szCs w:val="14"/>
          <w:color w:val="auto"/>
        </w:rPr>
        <w:t>(2)</w:t>
        <w:tab/>
        <w:t>Includes short-term and long-term operating leases.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Adoption of the lease accounting standard (Topic 842) using the effective transition method requires the Company to provide relevant disclosures in accordance with ASC 840, Leases for all prior periods presented. Future minimum lease payments as of February 2, 2019 were as follows (in thousands):</w:t>
      </w:r>
    </w:p>
    <w:p>
      <w:pPr>
        <w:spacing w:after="0" w:line="264" w:lineRule="exact"/>
        <w:rPr>
          <w:sz w:val="20"/>
          <w:szCs w:val="20"/>
          <w:color w:val="auto"/>
        </w:rPr>
      </w:pPr>
    </w:p>
    <w:tbl>
      <w:tblPr>
        <w:tblLayout w:type="fixed"/>
        <w:tblInd w:w="1360" w:type="dxa"/>
        <w:tblCellMar>
          <w:top w:w="0" w:type="dxa"/>
          <w:left w:w="0" w:type="dxa"/>
          <w:bottom w:w="0" w:type="dxa"/>
          <w:right w:w="0" w:type="dxa"/>
        </w:tblCellMar>
      </w:tblPr>
      <w:tr>
        <w:trPr>
          <w:trHeight w:val="173"/>
        </w:trPr>
        <w:tc>
          <w:tcPr>
            <w:tcW w:w="496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Lease Costs</w:t>
            </w: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39,294</w:t>
            </w:r>
          </w:p>
        </w:tc>
        <w:tc>
          <w:tcPr>
            <w:tcW w:w="80" w:type="dxa"/>
            <w:vAlign w:val="bottom"/>
          </w:tcPr>
          <w:p>
            <w:pPr>
              <w:spacing w:after="0"/>
              <w:rPr>
                <w:sz w:val="19"/>
                <w:szCs w:val="19"/>
                <w:color w:val="auto"/>
              </w:rPr>
            </w:pP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w:t>
            </w:r>
          </w:p>
        </w:tc>
        <w:tc>
          <w:tcPr>
            <w:tcW w:w="80" w:type="dxa"/>
            <w:vAlign w:val="bottom"/>
            <w:shd w:val="clear" w:color="auto" w:fill="CCEEFF"/>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80" w:type="dxa"/>
            <w:vAlign w:val="bottom"/>
          </w:tcPr>
          <w:p>
            <w:pPr>
              <w:spacing w:after="0"/>
              <w:rPr>
                <w:sz w:val="19"/>
                <w:szCs w:val="19"/>
                <w:color w:val="auto"/>
              </w:rPr>
            </w:pP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80" w:type="dxa"/>
            <w:vAlign w:val="bottom"/>
            <w:shd w:val="clear" w:color="auto" w:fill="CCEEFF"/>
          </w:tcPr>
          <w:p>
            <w:pPr>
              <w:spacing w:after="0"/>
              <w:rPr>
                <w:sz w:val="19"/>
                <w:szCs w:val="19"/>
                <w:color w:val="auto"/>
              </w:rPr>
            </w:pPr>
          </w:p>
        </w:tc>
      </w:tr>
      <w:tr>
        <w:trPr>
          <w:trHeight w:val="230"/>
        </w:trPr>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80" w:type="dxa"/>
            <w:vAlign w:val="bottom"/>
            <w:tcBorders>
              <w:bottom w:val="single" w:sz="8" w:color="CCEEFF"/>
            </w:tcBorders>
          </w:tcPr>
          <w:p>
            <w:pPr>
              <w:spacing w:after="0"/>
              <w:rPr>
                <w:sz w:val="19"/>
                <w:szCs w:val="19"/>
                <w:color w:val="auto"/>
              </w:rPr>
            </w:pPr>
          </w:p>
        </w:tc>
      </w:tr>
      <w:tr>
        <w:trPr>
          <w:trHeight w:val="217"/>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148,967</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Supplemental cash flow and other information related to operating leases for the thirteen weeks ended May 4, 2019 is as follows (in thousands, except for weighted average amounts):</w:t>
      </w:r>
    </w:p>
    <w:tbl>
      <w:tblPr>
        <w:tblLayout w:type="fixed"/>
        <w:tblInd w:w="10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new operating lease liabilities</w:t>
            </w:r>
          </w:p>
        </w:tc>
        <w:tc>
          <w:tcPr>
            <w:tcW w:w="4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 - operating leases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factors that may result in actual results differing from such forward-looking information include, but are not limited to: transportation and distribution delays or interruptions; changes in freight rates;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a deterioration in general economic conditions, whether caused by acts of war or terrorism or other factors;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2, 2019 and in Part II, “Item 1A. Risk Factors” and elsewhere in the Company’s Quarterly Reports on Form 10-Q and any amendments thereto and in the other documents the Company files with the SEC, including reports on Form 8-K.</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a value-priced retailer of urban fashion apparel and accessories for the entire family. Our merchandise offerings are designed to appeal to the fashion preferences of value-conscious consumers, particularly African-Americans. We operated 561 stores in both urban and rural markets in 32 states as of May 4,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Periods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discussion contains references to fiscal years 2019 and 2018, which represent fiscal years ending or ended on February 1, 2020 and February 2, 2019, respectively. Fiscal 2019 and fiscal 2018 both have 52-week accounting periods. This discussion and analysis should be read with the unaudited condensed consolidated financial statements and the notes thereto contained in Part 1, Item 1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discussion of the Company’s financial performance is based on the unaudited condensed consolidated financial statements set forth herein. The nature of the Company’s business is seasonal. Historically, sales in the first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60"/>
          </w:cols>
          <w:pgMar w:left="1320" w:top="121" w:right="13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the Company’s business may affect comparisons between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Statistics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2018 and fiscal 2019 are not considered comparable stores in fiscal 2019.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 All of the statistics discussed above are critical components of earnings before interest, taxes, depreciation and amortization (“EBITDA”) and Adjusted EBITDA (comprised of EBITDA, as adjusted for non-cash asset impairment expense and expenses related to our proxy contest), which are considered our most important operating statistics. We believe that excluding proxy contest expenses from our financial results reflects operating results that are more indicative of our ongoing operating performance while improving comparability to prior and future periods, and as such, provides an enhanced understanding of our past financial performance and prospects for the future.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non-GAAP measures such as EBITDA and Adjusted EBITDA provide useful information on an operating cash flow basis, they are limited measures in that they exclude the impact of cash requirements for capital expenditures, income taxes and interest expense. Therefore, EBITDA and Adjusted EBITDA should be used as supplements to results of operations and cash flows as reported under U.S. GAAP and should not be used as a singular measure of operating performance or as a substitute for U.S. GAAP results. Furthermore, such non-GAAP measures may not be comparable to similarly titled measures of other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60"/>
          </w:cols>
          <w:pgMar w:left="1320" w:top="121" w:right="13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below is a reconciliation of net income to EBITDA and to Adjusted EBITDA for the thirteen week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2019 and May 5, 2018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43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May 5, 2018</w:t>
            </w:r>
          </w:p>
        </w:tc>
        <w:tc>
          <w:tcPr>
            <w:tcW w:w="60" w:type="dxa"/>
            <w:vAlign w:val="bottom"/>
          </w:tcPr>
          <w:p>
            <w:pPr>
              <w:spacing w:after="0"/>
              <w:rPr>
                <w:sz w:val="12"/>
                <w:szCs w:val="12"/>
                <w:color w:val="auto"/>
              </w:rPr>
            </w:pPr>
          </w:p>
        </w:tc>
      </w:tr>
      <w:tr>
        <w:trPr>
          <w:trHeight w:val="210"/>
        </w:trPr>
        <w:tc>
          <w:tcPr>
            <w:tcW w:w="4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r>
      <w:tr>
        <w:trPr>
          <w:trHeight w:val="23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60" w:type="dxa"/>
            <w:vAlign w:val="bottom"/>
            <w:shd w:val="clear" w:color="auto" w:fill="CCEEFF"/>
          </w:tcPr>
          <w:p>
            <w:pPr>
              <w:spacing w:after="0"/>
              <w:rPr>
                <w:sz w:val="19"/>
                <w:szCs w:val="19"/>
                <w:color w:val="auto"/>
              </w:rPr>
            </w:pPr>
          </w:p>
        </w:tc>
      </w:tr>
      <w:tr>
        <w:trPr>
          <w:trHeight w:val="230"/>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6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Proxy contest expenses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8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60" w:type="dxa"/>
            <w:vAlign w:val="bottom"/>
          </w:tcPr>
          <w:p>
            <w:pPr>
              <w:spacing w:after="0"/>
              <w:rPr>
                <w:sz w:val="18"/>
                <w:szCs w:val="18"/>
                <w:color w:val="auto"/>
              </w:rPr>
            </w:pPr>
          </w:p>
        </w:tc>
      </w:tr>
      <w:tr>
        <w:trPr>
          <w:trHeight w:val="27"/>
        </w:trPr>
        <w:tc>
          <w:tcPr>
            <w:tcW w:w="4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May 4, 2019 and May 5, 2018</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$6.0 million, or 2.8%, to $205.0 million in the thirteen weeks ended May 4, 2019 from $211.0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thirteen weeks ended May 5, 2018. The decrease in sales was due to a 4.5% decrease in comparable store sales and the impact of closing seven stores since last year’s first quarter, partially offset by the opening of 15 new stores since last year’s first quarter. The decrease in comparable store sales was reflected in a decrease in customer transactions of less than 5% and a 1% decrease in the average number of items per transaction, partially offset by an increase in the average unit sale of more than 1%. Comparable store sales changes by major merchandise class were as follows in the first quarter of 2019: Home +5%; Accessories +2%; Men’s -5%; Children’s -9%; and Ladies’ -11%.</w:t>
      </w:r>
    </w:p>
    <w:p>
      <w:pPr>
        <w:spacing w:after="0" w:line="1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4.5% comparable store sales decrease totaled $9.3 million, while store opening and closing activity resulted in a net sales increase of $3.3 million.</w:t>
      </w:r>
    </w:p>
    <w:p>
      <w:pPr>
        <w:spacing w:after="0" w:line="16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sales (exclusive of depreciation). </w:t>
      </w:r>
      <w:r>
        <w:rPr>
          <w:rFonts w:ascii="Times New Roman" w:cs="Times New Roman" w:eastAsia="Times New Roman" w:hAnsi="Times New Roman"/>
          <w:sz w:val="18"/>
          <w:szCs w:val="18"/>
          <w:color w:val="auto"/>
        </w:rPr>
        <w:t>Cost of sales (exclusive of depreciation) decreased $1.2 million, or 0.9%, to $128.2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first quarter of 2019 from $129.4 million in last year’s first quarter. Cost of sales as a percentage of sales increased to 62.5% in the first quarter of 2019 from 61.3% in last year’s first quarter, due primarily to a 90 basis points increase in merchandise markdowns, as more markdowns were taken in this year’s first quarter in response to the challenging sales environment. Freight costs increased 30 basis points as a result of continued pressures in the trucking industry.</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$0.4 million, or 0.7%,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$63.4 million in the first quarter of 2019 from $63.0 million in last year’s first quarter due primarily to $1.0 million of expenses incurred in connection with a proxy contest, along with the impact on expenses of opening 15 new stores since last year’s first quarter and normal inflationary pressure on expenses such as rent and payroll, partially offset by a $1.0 million decrease in incentive compensation expense resulting from less favorable earnings results in relation to target. As a percentage of sales, selling, general and administrative expenses increased to 30.9% in the first quarter of 2019 from 29.9% in the first quarter of 2018.</w:t>
      </w:r>
    </w:p>
    <w:p>
      <w:pPr>
        <w:spacing w:after="0" w:line="183"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Depreciation expense decreased $0.4 million, or 7.2%, to $4.6 million in the first quarter of 2019 from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first quarter of 2018.</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decreased $1.3 million, or 50.6%, to $1.3 million in this year’s first quarter from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first quarter of 2018 due to a decrease in pretax income, along with a decrease in the effective income tax rate from 18.7% to 14.2%.</w:t>
      </w:r>
    </w:p>
    <w:p>
      <w:pPr>
        <w:spacing w:after="0" w:line="17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$3.5 million, or 31.1%, to $7.8 million in the first quarter of 2019 from $11.3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2018 due to the factors discussed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cash requirements are primarily for working capital and capital expenditures for new and existing stores, distribution infrastructure and information systems. In addition, in November 2018, we initiated a share repurchase program of up to $25 million and, in the first quarter of 2019, repurchased shares of our common stock at an aggregate cost of $1.6 million. In recent years, we have met these cash requirements using cash flow from operations and short-term trade credit. We expect to be able to meet future cash requirements with cash flow from operations, short-term trade credit, existing balances of cash and investment securities and, if necessary, borrowings under our revolving credit facility described in Note 6 to the unaudited condensed consolidated financial statements included in Part I, Item1 of this report.</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Current Financial Condition. </w:t>
      </w:r>
      <w:r>
        <w:rPr>
          <w:rFonts w:ascii="Times New Roman" w:cs="Times New Roman" w:eastAsia="Times New Roman" w:hAnsi="Times New Roman"/>
          <w:sz w:val="18"/>
          <w:szCs w:val="18"/>
          <w:color w:val="auto"/>
        </w:rPr>
        <w:t>As of May 4, 2019, we had total cash and cash equivalents of $29.5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$17.9 million as of February 2, 2019. Additionally, we had $43.1 million and $7.8 million of short-term and long-term investment securities, respectively, as of May 4, 2019, compared with $50.4 million and $8.9 million, respectively, as of February 2, 2019. These securities are comprised of bank certificates of deposit and obligations of the U.S. Treasury, states and municipalities. Inventory represented 30.0% of our total assets as of May 4, 2019, compared to 46.9% as of February 2,</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2019.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Net cash provided by operating activities was $8.9 million in the thirteen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4, 2019 compared to $10.5 million in the same period of 2018. Sources of cash provided during the first quarter of 2019 included net income adjusted for non-cash expenses such as depreciation, amortization of operating lease right of use assets, loss on disposal of property and equipment, deferred income taxes and stock-based compensation expense, totaling $25.0 million (compared to $17.2 million in the first quarter of 2018). Other significant sources of cash in the first quarter of 2019 were (1) an $8.6 million decrease in inventory (compared to a $12.4 million decrease in the first quarter of 2018) due to apparel retail seasonality which typically results in having more inventory at the beginning of the spring selling season than at the end; and (2) a $1.2 million change in the income tax payable/receivable (compared to a $2.3 million change in the first quarter of 2018) due to income tax expense being accrued on first quarter pretax income while no estimated tax payments were due during the quarter.</w:t>
      </w:r>
    </w:p>
    <w:p>
      <w:pPr>
        <w:spacing w:after="0" w:line="18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Significant uses of cash from operating activities in the first quarter of 2019 were (1) a $11.9 million decrease in accrued expenses and other long-term liabilities (compared with a $1.4 million decrease in the first quarter of 2018) due primarily to payments of operating lease liabilities recorded due to the adoption of ASU 2016-02; (2) a $9.6 million decrease in accounts payable (compared to a $12.2 million decrease in the first quarter of 2018) due primarily to the decline in inventory discussed above; and (3) a $4.6 million decrease in accrued compensation (compared to a $7.9 million decrease in the first quarter of 2018) due to our balance sheet as of the end of the first quarter of 2019 including accrued payroll for only one week, while our 2018 year-end balance sheet included accrued payroll for two weeks due to the timing of our bi-weekly payroll, together with payment in the first quarter of 2019 of incentive compensation accrued in fiscal 2018.</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Cash provided by investing activities was $6.0 million in the first quarter of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cash used of $0.2 million in the first quarter of 2018. Cash used for purchases of property and equipment totaled $2.3 million and $2.0 million in the first quarter of 2019 and 2018, respectively. Sales/redemptions of investment securities, net of purchases, provided cash of $8.3 million and $1.7 million in the first quarter of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Cash used in financing activities was $3.3 million and $4.7 million in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and 2018, respectively, with the decrease due primarily to the repurchase of common stock for an aggregate purchase price of $1.6 million and $2.7 million during the first quarter of 2019 and 2018,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29"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7"/>
          <w:szCs w:val="17"/>
          <w:color w:val="auto"/>
        </w:rPr>
        <w:t>Our principal sources of liquidity consist of: (i) cash and cash equivalents (which equaled $29.5 million as of May 4, 2019); (ii) short-term and long-term investment securities (which equaled $43.1 million and $7.8 million, respectively, as of</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May 4, 2019); (iii) short-term trade credit; (iv) cash generated from operations on an ongoing basis as we sell our merchandise inventory; and (v) a $50 million revolving credit facility (under which we have no borrowings outstanding).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existing sources of liquidity will be sufficient to fund our operations and anticipated capital expenditures for at least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See discussion of Recent Accounting Pronouncements in Note 11 to the unaudited condensed consolidated financial statements included in Part I, Item 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3, 2019, we adopted ASU No. 2016-02, Leases (Topic 842). See Note 13 to the unaudited condensed consolidated financial statements in this Quarterly Report on Form 10-Q for additional information on its impact.</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Critical Accounting Policies outlined in the Company’s Annual Report on Form 10-K for the year ended February 2, 2019.</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thirteen weeks ended May 4, 2019 compared to the disclosures in Part II, Item 7A of our Annual Report on Form 10-K for the year ended February 2,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the Chief Executive Officer and the Chief Financial Officer, of the effectiveness of the design and operation of our disclosure controls and procedures as of May 4, 2019 pursuant to Rules 13a-15 and 15d-15 of the Exchange Act. Based on that evaluation, the Chief Executive Officer and the Chief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4, 2019, we implemented ASU No. 2016-02, Leases (Topic 842). In connection with its adoption, we implemented changes to our accounting policies, operational processes and internal controls to ensure compliance with the new standard.</w:t>
      </w:r>
    </w:p>
    <w:p>
      <w:pPr>
        <w:spacing w:after="0" w:line="17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that occurred during the fiscal quarter ended May 4, 2019 that have materially affected, or are reasonably likely to materially affect, our internal control over financial reporting.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19" w:name="page20"/>
    <w:bookmarkEnd w:id="19"/>
    <w:p>
      <w:pPr>
        <w:ind w:left="9"/>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9" w:right="20"/>
        <w:spacing w:after="0" w:line="256" w:lineRule="auto"/>
        <w:rPr>
          <w:sz w:val="20"/>
          <w:szCs w:val="20"/>
          <w:color w:val="auto"/>
        </w:rPr>
      </w:pPr>
      <w:r>
        <w:rPr>
          <w:rFonts w:ascii="Times New Roman" w:cs="Times New Roman" w:eastAsia="Times New Roman" w:hAnsi="Times New Roman"/>
          <w:sz w:val="18"/>
          <w:szCs w:val="18"/>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8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9" w:right="5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described under the section “ITEM 1A. RISK FACTORS” in the Company’s Annual Report on Form 10-K for the fiscal year ended February 2, 2019.</w:t>
      </w:r>
    </w:p>
    <w:p>
      <w:pPr>
        <w:spacing w:after="0" w:line="15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Information on Share Repurchases</w:t>
      </w:r>
    </w:p>
    <w:p>
      <w:pPr>
        <w:spacing w:after="0" w:line="227" w:lineRule="exact"/>
        <w:rPr>
          <w:sz w:val="20"/>
          <w:szCs w:val="20"/>
          <w:color w:val="auto"/>
        </w:rPr>
      </w:pPr>
    </w:p>
    <w:p>
      <w:pPr>
        <w:ind w:left="9" w:right="40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repurchased by the Company during the first quarter of fiscal 2019 and the average price paid per share are as follows:</w:t>
      </w:r>
    </w:p>
    <w:tbl>
      <w:tblPr>
        <w:tblLayout w:type="fixed"/>
        <w:tblInd w:w="9" w:type="dxa"/>
        <w:tblCellMar>
          <w:top w:w="0" w:type="dxa"/>
          <w:left w:w="0" w:type="dxa"/>
          <w:bottom w:w="0" w:type="dxa"/>
          <w:right w:w="0" w:type="dxa"/>
        </w:tblCellMar>
      </w:tblPr>
      <w:tr>
        <w:trPr>
          <w:trHeight w:val="138"/>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60" w:type="dxa"/>
            <w:vAlign w:val="bottom"/>
            <w:gridSpan w:val="2"/>
            <w:vMerge w:val="restart"/>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60" w:type="dxa"/>
            <w:vAlign w:val="bottom"/>
          </w:tcPr>
          <w:p>
            <w:pPr>
              <w:spacing w:after="0"/>
              <w:rPr>
                <w:sz w:val="12"/>
                <w:szCs w:val="12"/>
                <w:color w:val="auto"/>
              </w:rPr>
            </w:pPr>
          </w:p>
        </w:tc>
        <w:tc>
          <w:tcPr>
            <w:tcW w:w="16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84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73"/>
        </w:trPr>
        <w:tc>
          <w:tcPr>
            <w:tcW w:w="3360" w:type="dxa"/>
            <w:vAlign w:val="bottom"/>
            <w:vMerge w:val="continue"/>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per share (1)</w:t>
            </w:r>
          </w:p>
        </w:tc>
        <w:tc>
          <w:tcPr>
            <w:tcW w:w="1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 programs (2)</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(2/3/19 - 3/2/19)</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9,186,040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March (3/3/19 - 4/6/19)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(4/7/19 - 5/4/19)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9" w:hanging="209"/>
        <w:spacing w:after="0"/>
        <w:tabs>
          <w:tab w:leader="none" w:pos="20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for the shares repurchased under the stock repurchase program.</w:t>
      </w:r>
    </w:p>
    <w:p>
      <w:pPr>
        <w:spacing w:after="0" w:line="3" w:lineRule="exact"/>
        <w:rPr>
          <w:rFonts w:ascii="Times New Roman" w:cs="Times New Roman" w:eastAsia="Times New Roman" w:hAnsi="Times New Roman"/>
          <w:sz w:val="14"/>
          <w:szCs w:val="14"/>
          <w:color w:val="auto"/>
        </w:rPr>
      </w:pPr>
    </w:p>
    <w:p>
      <w:pPr>
        <w:ind w:left="9" w:right="40" w:hanging="9"/>
        <w:spacing w:after="0" w:line="230" w:lineRule="auto"/>
        <w:tabs>
          <w:tab w:leader="none" w:pos="21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28, 2018, the Company approved a $25.0 million stock repurchase program, under which approximately $8.0 million remained available as of May 4, 2019. Repurchases under the stock repurchase program may be made at management’s discretion from time to time on the open market, in privately negotiated transactions or otherwise, and may be made in part under one or more Rule 10b5-1 plans. The stock repurchase program does not have an expiration date.</w:t>
      </w:r>
    </w:p>
    <w:p>
      <w:pPr>
        <w:spacing w:after="0" w:line="17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6891"/>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6811"/>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9"/>
          </w:cols>
          <w:pgMar w:left="1311" w:top="121" w:right="1299" w:bottom="1440" w:gutter="0" w:footer="0" w:header="0"/>
        </w:sectPr>
      </w:pPr>
    </w:p>
    <w:bookmarkStart w:id="20" w:name="page21"/>
    <w:bookmarkEnd w:id="20"/>
    <w:p>
      <w:pPr>
        <w:ind w:left="9"/>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0" w:lineRule="exact"/>
        <w:rPr>
          <w:sz w:val="20"/>
          <w:szCs w:val="20"/>
          <w:color w:val="auto"/>
        </w:rPr>
      </w:pPr>
    </w:p>
    <w:tbl>
      <w:tblPr>
        <w:tblLayout w:type="fixed"/>
        <w:tblInd w:w="49"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80" w:type="dxa"/>
            <w:vAlign w:val="bottom"/>
            <w:gridSpan w:val="1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Third Amended and Restated Certificate of Incorporation (incorporated by reference to Exhibit 3.1 to the</w:t>
              </w:r>
            </w:hyperlink>
          </w:p>
        </w:tc>
      </w:tr>
      <w:tr>
        <w:trPr>
          <w:trHeight w:val="183"/>
        </w:trPr>
        <w:tc>
          <w:tcPr>
            <w:tcW w:w="1000" w:type="dxa"/>
            <w:vAlign w:val="bottom"/>
          </w:tcPr>
          <w:p>
            <w:pPr>
              <w:spacing w:after="0"/>
              <w:rPr>
                <w:sz w:val="15"/>
                <w:szCs w:val="15"/>
                <w:color w:val="auto"/>
              </w:rPr>
            </w:pPr>
          </w:p>
        </w:tc>
        <w:tc>
          <w:tcPr>
            <w:tcW w:w="7560" w:type="dxa"/>
            <w:vAlign w:val="bottom"/>
            <w:tcBorders>
              <w:top w:val="single" w:sz="8" w:color="0000EE"/>
            </w:tcBorders>
            <w:gridSpan w:val="8"/>
          </w:tcPr>
          <w:p>
            <w:pPr>
              <w:spacing w:after="0" w:line="182"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Company’s Current Report on Form 8-K filed with the SEC on June 7, 2018)</w:t>
              </w:r>
              <w:r>
                <w:rPr>
                  <w:rFonts w:ascii="Times New Roman" w:cs="Times New Roman" w:eastAsia="Times New Roman" w:hAnsi="Times New Roman"/>
                  <w:sz w:val="18"/>
                  <w:szCs w:val="18"/>
                  <w:color w:val="000000"/>
                </w:rPr>
                <w:t>.</w:t>
              </w:r>
            </w:hyperlink>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180" w:type="dxa"/>
            <w:vAlign w:val="bottom"/>
            <w:gridSpan w:val="12"/>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Agreement dated April 11, 2019 by and among Citi Trends, Inc., Macellum SPV III, LP, Macellum Management,</w:t>
              </w:r>
            </w:hyperlink>
          </w:p>
        </w:tc>
      </w:tr>
      <w:tr>
        <w:trPr>
          <w:trHeight w:val="183"/>
        </w:trPr>
        <w:tc>
          <w:tcPr>
            <w:tcW w:w="1000" w:type="dxa"/>
            <w:vAlign w:val="bottom"/>
          </w:tcPr>
          <w:p>
            <w:pPr>
              <w:spacing w:after="0"/>
              <w:rPr>
                <w:sz w:val="15"/>
                <w:szCs w:val="15"/>
                <w:color w:val="auto"/>
              </w:rPr>
            </w:pPr>
          </w:p>
        </w:tc>
        <w:tc>
          <w:tcPr>
            <w:tcW w:w="816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LP, Macellum Advisors GP, LLC, and Jonathan Duskin (incorporated by reference to Exhibit 10.1 to the</w:t>
              </w:r>
            </w:hyperlink>
          </w:p>
        </w:tc>
        <w:tc>
          <w:tcPr>
            <w:tcW w:w="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574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Company’s Current Report on Form 8-K filed with the SEC on April 11, 2019).</w:t>
              </w:r>
            </w:hyperlink>
          </w:p>
        </w:tc>
        <w:tc>
          <w:tcPr>
            <w:tcW w:w="1760" w:type="dxa"/>
            <w:vAlign w:val="bottom"/>
            <w:tcBorders>
              <w:top w:val="single" w:sz="8" w:color="0000EE"/>
            </w:tcBorders>
            <w:gridSpan w:val="4"/>
          </w:tcPr>
          <w:p>
            <w:pPr>
              <w:spacing w:after="0"/>
              <w:rPr>
                <w:sz w:val="15"/>
                <w:szCs w:val="15"/>
                <w:color w:val="auto"/>
              </w:rPr>
            </w:pPr>
          </w:p>
        </w:tc>
        <w:tc>
          <w:tcPr>
            <w:tcW w:w="6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180" w:type="dxa"/>
            <w:vAlign w:val="bottom"/>
            <w:gridSpan w:val="12"/>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Certification of Bruce D. Smith, Chief Executive Officer, Pursuant to Rule 13a-14(a) of the Securities Exchange</w:t>
              </w:r>
            </w:hyperlink>
          </w:p>
        </w:tc>
      </w:tr>
      <w:tr>
        <w:trPr>
          <w:trHeight w:val="183"/>
        </w:trPr>
        <w:tc>
          <w:tcPr>
            <w:tcW w:w="1000" w:type="dxa"/>
            <w:vAlign w:val="bottom"/>
          </w:tcPr>
          <w:p>
            <w:pPr>
              <w:spacing w:after="0"/>
              <w:rPr>
                <w:sz w:val="15"/>
                <w:szCs w:val="15"/>
                <w:color w:val="auto"/>
              </w:rPr>
            </w:pPr>
          </w:p>
        </w:tc>
        <w:tc>
          <w:tcPr>
            <w:tcW w:w="602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Act of 1934, Adopted Pursuant to Section 302 of the Sarbanes-Oxley Act of 2002.*</w:t>
              </w:r>
            </w:hyperlink>
          </w:p>
        </w:tc>
        <w:tc>
          <w:tcPr>
            <w:tcW w:w="210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180" w:type="dxa"/>
            <w:vAlign w:val="bottom"/>
            <w:gridSpan w:val="1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Certification of Stuart C. Clifford, Chief Financial Officer, Pursuant to Rule 13a-14(a) of the Securities</w:t>
              </w:r>
            </w:hyperlink>
          </w:p>
        </w:tc>
      </w:tr>
      <w:tr>
        <w:trPr>
          <w:trHeight w:val="183"/>
        </w:trPr>
        <w:tc>
          <w:tcPr>
            <w:tcW w:w="1000" w:type="dxa"/>
            <w:vAlign w:val="bottom"/>
          </w:tcPr>
          <w:p>
            <w:pPr>
              <w:spacing w:after="0"/>
              <w:rPr>
                <w:sz w:val="15"/>
                <w:szCs w:val="15"/>
                <w:color w:val="auto"/>
              </w:rPr>
            </w:pPr>
          </w:p>
        </w:tc>
        <w:tc>
          <w:tcPr>
            <w:tcW w:w="678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Exchange Act of 1934, Adopted Pursuant to Section 302 of the Sarbanes-Oxley Act of 2002.*</w:t>
              </w:r>
            </w:hyperlink>
          </w:p>
        </w:tc>
        <w:tc>
          <w:tcPr>
            <w:tcW w:w="680" w:type="dxa"/>
            <w:vAlign w:val="bottom"/>
            <w:tcBorders>
              <w:top w:val="single" w:sz="8" w:color="0000EE"/>
            </w:tcBorders>
          </w:tcPr>
          <w:p>
            <w:pPr>
              <w:spacing w:after="0"/>
              <w:rPr>
                <w:sz w:val="15"/>
                <w:szCs w:val="15"/>
                <w:color w:val="auto"/>
              </w:rPr>
            </w:pPr>
          </w:p>
        </w:tc>
        <w:tc>
          <w:tcPr>
            <w:tcW w:w="6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180" w:type="dxa"/>
            <w:vAlign w:val="bottom"/>
            <w:gridSpan w:val="12"/>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Certifications Pursuant to 18 U.S.C. Section 1350, as adopted pursuant to Section 906 of the Sarbanes-Oxley Act</w:t>
              </w:r>
            </w:hyperlink>
          </w:p>
        </w:tc>
      </w:tr>
      <w:tr>
        <w:trPr>
          <w:trHeight w:val="183"/>
        </w:trPr>
        <w:tc>
          <w:tcPr>
            <w:tcW w:w="1000" w:type="dxa"/>
            <w:vAlign w:val="bottom"/>
          </w:tcPr>
          <w:p>
            <w:pPr>
              <w:spacing w:after="0"/>
              <w:rPr>
                <w:sz w:val="15"/>
                <w:szCs w:val="15"/>
                <w:color w:val="auto"/>
              </w:rPr>
            </w:pPr>
          </w:p>
        </w:tc>
        <w:tc>
          <w:tcPr>
            <w:tcW w:w="82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6"/>
              </w:rPr>
            </w:pPr>
            <w:hyperlink w:anchor="page25">
              <w:r>
                <w:rPr>
                  <w:rFonts w:ascii="Times New Roman" w:cs="Times New Roman" w:eastAsia="Times New Roman" w:hAnsi="Times New Roman"/>
                  <w:sz w:val="18"/>
                  <w:szCs w:val="18"/>
                  <w:color w:val="0000EE"/>
                  <w:w w:val="96"/>
                </w:rPr>
                <w:t>of 2002.* †</w:t>
              </w:r>
            </w:hyperlink>
          </w:p>
        </w:tc>
        <w:tc>
          <w:tcPr>
            <w:tcW w:w="7320" w:type="dxa"/>
            <w:vAlign w:val="bottom"/>
            <w:tcBorders>
              <w:top w:val="single" w:sz="8" w:color="0000EE"/>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r>
    </w:tbl>
    <w:p>
      <w:pPr>
        <w:spacing w:after="0" w:line="171" w:lineRule="exact"/>
        <w:rPr>
          <w:sz w:val="20"/>
          <w:szCs w:val="20"/>
          <w:color w:val="auto"/>
        </w:rPr>
      </w:pPr>
    </w:p>
    <w:p>
      <w:pPr>
        <w:ind w:left="1049" w:right="140" w:hanging="1005"/>
        <w:spacing w:after="0" w:line="241" w:lineRule="auto"/>
        <w:tabs>
          <w:tab w:leader="none" w:pos="104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Citi Trends, Inc.’s Quarterly Report on Form 10-Q for the quarter ended May 4, 2019, formatted in Extensible Business Reporting Language (XBRL): (i) the Condensed Consolidated Balance Sheets as of May 4, 2019 and February 2, 2019, (ii) the Condensed Consolidated Statements of Income for the thirteen week periods ended May 4, 2019 and May 5, 2018, (iii) the Condensed Consolidated Statements of Cash Flows for the thirteen week periods ended May 4, 2019 and May 5, 2018, and (iv) Notes to the Condensed Consolidated Financial Statements.*</w:t>
      </w:r>
    </w:p>
    <w:p>
      <w:pPr>
        <w:spacing w:after="0" w:line="197" w:lineRule="exact"/>
        <w:rPr>
          <w:rFonts w:ascii="Times New Roman" w:cs="Times New Roman" w:eastAsia="Times New Roman" w:hAnsi="Times New Roman"/>
          <w:sz w:val="18"/>
          <w:szCs w:val="18"/>
          <w:color w:val="auto"/>
        </w:rPr>
      </w:pPr>
    </w:p>
    <w:p>
      <w:pPr>
        <w:ind w:left="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-196215</wp:posOffset>
            </wp:positionV>
            <wp:extent cx="14751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05" w:lineRule="exact"/>
        <w:rPr>
          <w:sz w:val="20"/>
          <w:szCs w:val="20"/>
          <w:color w:val="auto"/>
        </w:rPr>
      </w:pPr>
    </w:p>
    <w:p>
      <w:pPr>
        <w:ind w:left="9" w:right="60" w:hanging="9"/>
        <w:spacing w:after="0" w:line="258" w:lineRule="auto"/>
        <w:tabs>
          <w:tab w:leader="none" w:pos="3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400"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589153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09"/>
          </w:cols>
          <w:pgMar w:left="1311" w:top="121" w:right="13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2E74B5"/>
        </w:rPr>
      </w:pPr>
      <w:hyperlink w:anchor="page2">
        <w:r>
          <w:rPr>
            <w:rFonts w:ascii="Times New Roman" w:cs="Times New Roman" w:eastAsia="Times New Roman" w:hAnsi="Times New Roman"/>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the undersigned also has signed this report in his capacity as the Registrant’s Chief Financial Officer (Principal Financial and Accounting Officer).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8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CITI TRENDS, INC.</w:t>
            </w:r>
          </w:p>
        </w:tc>
      </w:tr>
      <w:tr>
        <w:trPr>
          <w:trHeight w:val="405"/>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2019</w:t>
            </w:r>
          </w:p>
        </w:tc>
        <w:tc>
          <w:tcPr>
            <w:tcW w:w="3960" w:type="dxa"/>
            <w:vAlign w:val="bottom"/>
          </w:tcPr>
          <w:p>
            <w:pPr>
              <w:spacing w:after="0"/>
              <w:rPr>
                <w:sz w:val="24"/>
                <w:szCs w:val="24"/>
                <w:color w:val="auto"/>
              </w:rPr>
            </w:pPr>
          </w:p>
        </w:tc>
      </w:tr>
      <w:tr>
        <w:trPr>
          <w:trHeight w:val="392"/>
        </w:trPr>
        <w:tc>
          <w:tcPr>
            <w:tcW w:w="532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C. Clifford</w:t>
            </w:r>
          </w:p>
        </w:tc>
      </w:tr>
      <w:tr>
        <w:trPr>
          <w:trHeight w:val="178"/>
        </w:trPr>
        <w:tc>
          <w:tcPr>
            <w:tcW w:w="5320" w:type="dxa"/>
            <w:vAlign w:val="bottom"/>
          </w:tcPr>
          <w:p>
            <w:pPr>
              <w:ind w:left="464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Stuart C. Clifford</w:t>
            </w:r>
          </w:p>
        </w:tc>
      </w:tr>
      <w:tr>
        <w:trPr>
          <w:trHeight w:val="234"/>
        </w:trPr>
        <w:tc>
          <w:tcPr>
            <w:tcW w:w="532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851"/>
        </w:trPr>
        <w:tc>
          <w:tcPr>
            <w:tcW w:w="532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22</w:t>
            </w:r>
          </w:p>
        </w:tc>
        <w:tc>
          <w:tcPr>
            <w:tcW w:w="3960" w:type="dxa"/>
            <w:vAlign w:val="bottom"/>
          </w:tcPr>
          <w:p>
            <w:pPr>
              <w:spacing w:after="0"/>
              <w:rPr>
                <w:sz w:val="24"/>
                <w:szCs w:val="24"/>
                <w:color w:val="auto"/>
              </w:rPr>
            </w:pPr>
          </w:p>
        </w:tc>
      </w:tr>
      <w:tr>
        <w:trPr>
          <w:trHeight w:val="561"/>
        </w:trPr>
        <w:tc>
          <w:tcPr>
            <w:tcW w:w="5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9280"/>
          </w:cols>
          <w:pgMar w:left="1320" w:top="121" w:right="12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Bruce D. Smith, certify that:</w:t>
      </w:r>
    </w:p>
    <w:p>
      <w:pPr>
        <w:spacing w:after="0" w:line="144" w:lineRule="exact"/>
        <w:rPr>
          <w:sz w:val="20"/>
          <w:szCs w:val="20"/>
          <w:color w:val="auto"/>
        </w:rPr>
      </w:pPr>
    </w:p>
    <w:p>
      <w:pPr>
        <w:ind w:left="680" w:hanging="677"/>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May 4, 2019 of Citi Trends, Inc.;</w:t>
      </w:r>
    </w:p>
    <w:p>
      <w:pPr>
        <w:spacing w:after="0" w:line="144" w:lineRule="exact"/>
        <w:rPr>
          <w:rFonts w:ascii="Times New Roman" w:cs="Times New Roman" w:eastAsia="Times New Roman" w:hAnsi="Times New Roman"/>
          <w:sz w:val="18"/>
          <w:szCs w:val="18"/>
          <w:color w:val="auto"/>
        </w:rPr>
      </w:pPr>
    </w:p>
    <w:p>
      <w:pPr>
        <w:ind w:left="660" w:right="380" w:hanging="657"/>
        <w:spacing w:after="0" w:line="226" w:lineRule="auto"/>
        <w:tabs>
          <w:tab w:leader="none" w:pos="6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60" w:right="280" w:hanging="657"/>
        <w:spacing w:after="0" w:line="226" w:lineRule="auto"/>
        <w:tabs>
          <w:tab w:leader="none" w:pos="6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60" w:right="260" w:hanging="657"/>
        <w:spacing w:after="0" w:line="226" w:lineRule="auto"/>
        <w:tabs>
          <w:tab w:leader="none" w:pos="6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300" w:right="80" w:hanging="649"/>
        <w:spacing w:after="0" w:line="220" w:lineRule="auto"/>
        <w:tabs>
          <w:tab w:leader="none" w:pos="133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300" w:right="80" w:hanging="649"/>
        <w:spacing w:after="0" w:line="220" w:lineRule="auto"/>
        <w:tabs>
          <w:tab w:leader="none" w:pos="134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1300" w:hanging="649"/>
        <w:spacing w:after="0" w:line="226" w:lineRule="auto"/>
        <w:tabs>
          <w:tab w:leader="none" w:pos="133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300" w:right="40" w:hanging="649"/>
        <w:spacing w:after="0" w:line="220" w:lineRule="auto"/>
        <w:tabs>
          <w:tab w:leader="none" w:pos="134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jc w:val="both"/>
        <w:ind w:left="660" w:right="40" w:hanging="657"/>
        <w:spacing w:after="0" w:line="226" w:lineRule="auto"/>
        <w:tabs>
          <w:tab w:leader="none" w:pos="6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00" w:right="40" w:hanging="649"/>
        <w:spacing w:after="0" w:line="226" w:lineRule="auto"/>
        <w:tabs>
          <w:tab w:leader="none" w:pos="133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300" w:right="180" w:hanging="649"/>
        <w:spacing w:after="0" w:line="237" w:lineRule="auto"/>
        <w:tabs>
          <w:tab w:leader="none" w:pos="134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3095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Bruce D. Smith</w:t>
      </w:r>
    </w:p>
    <w:p>
      <w:pPr>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Stuart C. Clifford, certify that:</w:t>
      </w:r>
    </w:p>
    <w:p>
      <w:pPr>
        <w:spacing w:after="0" w:line="144" w:lineRule="exact"/>
        <w:rPr>
          <w:sz w:val="20"/>
          <w:szCs w:val="20"/>
          <w:color w:val="auto"/>
        </w:rPr>
      </w:pPr>
    </w:p>
    <w:p>
      <w:pPr>
        <w:ind w:left="680" w:hanging="677"/>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May 4, 2019 of Citi Trends, Inc.;</w:t>
      </w:r>
    </w:p>
    <w:p>
      <w:pPr>
        <w:spacing w:after="0" w:line="144" w:lineRule="exact"/>
        <w:rPr>
          <w:rFonts w:ascii="Times New Roman" w:cs="Times New Roman" w:eastAsia="Times New Roman" w:hAnsi="Times New Roman"/>
          <w:sz w:val="18"/>
          <w:szCs w:val="18"/>
          <w:color w:val="auto"/>
        </w:rPr>
      </w:pPr>
    </w:p>
    <w:p>
      <w:pPr>
        <w:ind w:left="660" w:right="380" w:hanging="657"/>
        <w:spacing w:after="0" w:line="226" w:lineRule="auto"/>
        <w:tabs>
          <w:tab w:leader="none" w:pos="6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60" w:right="280" w:hanging="657"/>
        <w:spacing w:after="0" w:line="226" w:lineRule="auto"/>
        <w:tabs>
          <w:tab w:leader="none" w:pos="6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60" w:right="260" w:hanging="657"/>
        <w:spacing w:after="0" w:line="226" w:lineRule="auto"/>
        <w:tabs>
          <w:tab w:leader="none" w:pos="6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300" w:right="80" w:hanging="649"/>
        <w:spacing w:after="0" w:line="220" w:lineRule="auto"/>
        <w:tabs>
          <w:tab w:leader="none" w:pos="133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300" w:right="80" w:hanging="649"/>
        <w:spacing w:after="0" w:line="220" w:lineRule="auto"/>
        <w:tabs>
          <w:tab w:leader="none" w:pos="134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1300" w:hanging="649"/>
        <w:spacing w:after="0" w:line="226" w:lineRule="auto"/>
        <w:tabs>
          <w:tab w:leader="none" w:pos="133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300" w:right="40" w:hanging="649"/>
        <w:spacing w:after="0" w:line="220" w:lineRule="auto"/>
        <w:tabs>
          <w:tab w:leader="none" w:pos="134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jc w:val="both"/>
        <w:ind w:left="660" w:right="40" w:hanging="657"/>
        <w:spacing w:after="0" w:line="226" w:lineRule="auto"/>
        <w:tabs>
          <w:tab w:leader="none" w:pos="6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00" w:right="40" w:hanging="649"/>
        <w:spacing w:after="0" w:line="226" w:lineRule="auto"/>
        <w:tabs>
          <w:tab w:leader="none" w:pos="133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300" w:right="180" w:hanging="649"/>
        <w:spacing w:after="0" w:line="237" w:lineRule="auto"/>
        <w:tabs>
          <w:tab w:leader="none" w:pos="134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0873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231F20"/>
        </w:rPr>
        <w:t>Stuart C. Clifford</w:t>
      </w:r>
    </w:p>
    <w:p>
      <w:pPr>
        <w:spacing w:after="0" w:line="219" w:lineRule="auto"/>
        <w:rPr>
          <w:sz w:val="20"/>
          <w:szCs w:val="20"/>
          <w:color w:val="auto"/>
        </w:rPr>
      </w:pPr>
      <w:r>
        <w:rPr>
          <w:rFonts w:ascii="Times New Roman" w:cs="Times New Roman" w:eastAsia="Times New Roman" w:hAnsi="Times New Roman"/>
          <w:sz w:val="18"/>
          <w:szCs w:val="18"/>
          <w:color w:val="231F20"/>
        </w:rPr>
        <w:t>Senior Vice President and Chief Financial Officer</w:t>
      </w:r>
    </w:p>
    <w:p>
      <w:pPr>
        <w:spacing w:after="0"/>
        <w:rPr>
          <w:sz w:val="20"/>
          <w:szCs w:val="20"/>
          <w:color w:val="auto"/>
        </w:rPr>
      </w:pPr>
      <w:r>
        <w:rPr>
          <w:rFonts w:ascii="Times New Roman" w:cs="Times New Roman" w:eastAsia="Times New Roman" w:hAnsi="Times New Roman"/>
          <w:sz w:val="18"/>
          <w:szCs w:val="18"/>
          <w:color w:val="231F20"/>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Certifications pursuant to Section 906 of the Sarbanes-Oxley Act of 2002 (18 U.S.C. § 1350, as adopted).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D. Smith, President and Chief Executive Officer of Citi Trends,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Stuart C. Clifford, Senior Vice President and Chief Financial Officer of Citi Trends, Inc., certify that:</w:t>
      </w:r>
    </w:p>
    <w:p>
      <w:pPr>
        <w:spacing w:after="0" w:line="144" w:lineRule="exact"/>
        <w:rPr>
          <w:sz w:val="20"/>
          <w:szCs w:val="20"/>
          <w:color w:val="auto"/>
        </w:rPr>
      </w:pPr>
    </w:p>
    <w:p>
      <w:pPr>
        <w:ind w:left="180" w:hanging="177"/>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reviewed this quarterly report on Form 10-Q of Citi Trends, Inc. for the period ended May 4, 2019;</w:t>
      </w:r>
    </w:p>
    <w:p>
      <w:pPr>
        <w:spacing w:after="0" w:line="144" w:lineRule="exact"/>
        <w:rPr>
          <w:rFonts w:ascii="Times New Roman" w:cs="Times New Roman" w:eastAsia="Times New Roman" w:hAnsi="Times New Roman"/>
          <w:sz w:val="18"/>
          <w:szCs w:val="18"/>
          <w:color w:val="auto"/>
        </w:rPr>
      </w:pPr>
    </w:p>
    <w:p>
      <w:pPr>
        <w:ind w:firstLine="3"/>
        <w:spacing w:after="0" w:line="237"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knowledge, this quarterly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right="80" w:firstLine="3"/>
        <w:spacing w:after="0" w:line="22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2019</w:t>
      </w:r>
    </w:p>
    <w:p>
      <w:pPr>
        <w:spacing w:after="0" w:line="3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0</wp:posOffset>
            </wp:positionV>
            <wp:extent cx="3035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05" w:lineRule="auto"/>
        <w:rPr>
          <w:sz w:val="20"/>
          <w:szCs w:val="20"/>
          <w:color w:val="auto"/>
        </w:rPr>
      </w:pPr>
      <w:r>
        <w:rPr>
          <w:rFonts w:ascii="Times New Roman" w:cs="Times New Roman" w:eastAsia="Times New Roman" w:hAnsi="Times New Roman"/>
          <w:sz w:val="18"/>
          <w:szCs w:val="18"/>
          <w:color w:val="auto"/>
        </w:rPr>
        <w:t>Bruce D. Smith</w:t>
      </w:r>
    </w:p>
    <w:p>
      <w:pPr>
        <w:ind w:left="428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4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2019</w:t>
      </w:r>
    </w:p>
    <w:p>
      <w:pPr>
        <w:spacing w:after="0" w:line="3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0</wp:posOffset>
            </wp:positionV>
            <wp:extent cx="30359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05" w:lineRule="auto"/>
        <w:rPr>
          <w:sz w:val="20"/>
          <w:szCs w:val="20"/>
          <w:color w:val="auto"/>
        </w:rPr>
      </w:pPr>
      <w:r>
        <w:rPr>
          <w:rFonts w:ascii="Times New Roman" w:cs="Times New Roman" w:eastAsia="Times New Roman" w:hAnsi="Times New Roman"/>
          <w:sz w:val="18"/>
          <w:szCs w:val="18"/>
          <w:color w:val="auto"/>
        </w:rPr>
        <w:t>Stuart C. Clifford</w:t>
      </w:r>
    </w:p>
    <w:p>
      <w:pPr>
        <w:ind w:left="4280"/>
        <w:spacing w:after="0" w:line="204" w:lineRule="auto"/>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4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0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549910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decimal"/>
      <w:start w:val="13"/>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lvl w:ilvl="1">
      <w:lvlJc w:val="left"/>
      <w:lvlText w:val="%2"/>
      <w:numFmt w:val="decimal"/>
      <w:start w:val="10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33" Type="http://schemas.openxmlformats.org/officeDocument/2006/relationships/hyperlink" Target="http://www.sec.gov/Archives/edgar/data/1318484/000110465918038871/a18-15022_1ex3d1.htm" TargetMode="External"/><Relationship Id="rId34" Type="http://schemas.openxmlformats.org/officeDocument/2006/relationships/hyperlink" Target="http://www.sec.gov/Archives/edgar/data/1318484/000110465919020899/a19-8207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2019-12-28T11:09:43Z</dcterms:created>
  <dcterms:modified xsi:type="dcterms:W3CDTF">2019-12-28T11:09:43Z</dcterms:modified>
</cp:coreProperties>
</file>