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trn-20250503x10q.htm"/>
        <w:bookmarkStart w:id="1" w:name="ksctrn20250503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center"/>
        <w:rPr/>
      </w:pPr>
      <w:bookmarkStart w:id="2" w:name="_3623bbbb_7712_4055_88c3_6292ad62bdf2"/>
      <w:bookmarkEnd w:id="2"/>
      <w:r>
        <w:rPr/>
        <w:t>​</w:t>
      </w:r>
    </w:p>
    <w:p>
      <w:pPr>
        <w:pStyle w:val="TextBody"/>
        <w:bidi w:val="0"/>
        <w:spacing w:before="0" w:after="0"/>
        <w:ind w:left="0" w:right="0" w:hanging="0"/>
        <w:jc w:val="center"/>
        <w:rPr>
          <w:rFonts w:ascii="Helvetica" w:hAnsi="Helvetica"/>
          <w:b/>
          <w:sz w:val="20"/>
        </w:rPr>
      </w:pPr>
      <w:r>
        <w:rPr>
          <w:rFonts w:ascii="Helvetica" w:hAnsi="Helvetica"/>
          <w:b/>
          <w:sz w:val="20"/>
        </w:rPr>
        <w:t>UNITED STATES</w:t>
      </w:r>
    </w:p>
    <w:p>
      <w:pPr>
        <w:pStyle w:val="TextBody"/>
        <w:bidi w:val="0"/>
        <w:spacing w:before="0" w:after="0"/>
        <w:ind w:left="0" w:right="0" w:hanging="0"/>
        <w:jc w:val="center"/>
        <w:rPr>
          <w:rFonts w:ascii="Helvetica" w:hAnsi="Helvetica"/>
          <w:b/>
          <w:sz w:val="20"/>
        </w:rPr>
      </w:pPr>
      <w:r>
        <w:rPr>
          <w:rFonts w:ascii="Helvetica" w:hAnsi="Helvetica"/>
          <w:b/>
          <w:sz w:val="20"/>
        </w:rPr>
        <w:t>SECURITIES AND EXCHANGE COMMISSION</w:t>
      </w:r>
    </w:p>
    <w:p>
      <w:pPr>
        <w:pStyle w:val="TextBody"/>
        <w:bidi w:val="0"/>
        <w:spacing w:before="0" w:after="0"/>
        <w:ind w:left="0" w:right="0" w:hanging="0"/>
        <w:jc w:val="center"/>
        <w:rPr>
          <w:rFonts w:ascii="Helvetica" w:hAnsi="Helvetica"/>
          <w:b/>
          <w:sz w:val="18"/>
        </w:rPr>
      </w:pPr>
      <w:r>
        <w:rPr>
          <w:rFonts w:ascii="Helvetica" w:hAnsi="Helvetica"/>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20"/>
        </w:rPr>
      </w:pPr>
      <w:r>
        <w:rPr>
          <w:rFonts w:ascii="Helvetica" w:hAnsi="Helvetica"/>
          <w:b/>
          <w:sz w:val="20"/>
        </w:rPr>
        <w:t>Form 10-Q</w:t>
      </w:r>
    </w:p>
    <w:p>
      <w:pPr>
        <w:pStyle w:val="TextBody"/>
        <w:bidi w:val="0"/>
        <w:spacing w:before="0" w:after="0"/>
        <w:ind w:left="0" w:right="0" w:hanging="0"/>
        <w:jc w:val="left"/>
        <w:rPr>
          <w:rFonts w:ascii="Helvetica" w:hAnsi="Helvetica"/>
          <w:b/>
          <w:sz w:val="18"/>
        </w:rPr>
      </w:pPr>
      <w:r>
        <w:rPr>
          <w:rFonts w:ascii="Helvetica" w:hAnsi="Helvetica"/>
          <w:b/>
          <w:sz w:val="18"/>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ZCWg3G6iR0yrrruXSNuK8w_1_1"/>
      <w:bookmarkStart w:id="4" w:name="_b35796e0_5a5d_4c14_87ac_3125bc6b9f9a"/>
      <w:bookmarkStart w:id="5" w:name="Tc_ZCWg3G6iR0yrrruXSNuK8w_1_1"/>
      <w:bookmarkStart w:id="6" w:name="_b35796e0_5a5d_4c14_87ac_3125bc6b9f9a"/>
      <w:bookmarkEnd w:id="5"/>
      <w:bookmarkEnd w:id="6"/>
    </w:p>
    <w:tbl>
      <w:tblPr>
        <w:tblW w:w="9707" w:type="dxa"/>
        <w:jc w:val="left"/>
        <w:tblInd w:w="0" w:type="dxa"/>
        <w:tblLayout w:type="fixed"/>
        <w:tblCellMar>
          <w:top w:w="0" w:type="dxa"/>
          <w:left w:w="0" w:type="dxa"/>
          <w:bottom w:w="0" w:type="dxa"/>
          <w:right w:w="0" w:type="dxa"/>
        </w:tblCellMar>
      </w:tblPr>
      <w:tblGrid>
        <w:gridCol w:w="331"/>
        <w:gridCol w:w="9376"/>
      </w:tblGrid>
      <w:tr>
        <w:trPr/>
        <w:tc>
          <w:tcPr>
            <w:tcW w:w="331"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376" w:type="dxa"/>
            <w:tcBorders/>
            <w:vAlign w:val="center"/>
          </w:tcPr>
          <w:p>
            <w:pPr>
              <w:pStyle w:val="TableContents"/>
              <w:bidi w:val="0"/>
              <w:spacing w:before="0" w:after="0"/>
              <w:ind w:left="0" w:right="0" w:hanging="0"/>
              <w:jc w:val="left"/>
              <w:rPr>
                <w:rFonts w:ascii="Helvetica" w:hAnsi="Helvetica"/>
                <w:b/>
                <w:sz w:val="18"/>
              </w:rPr>
            </w:pPr>
            <w:r>
              <w:rPr>
                <w:rFonts w:ascii="Helvetica" w:hAnsi="Helvetica"/>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For the quarterly period ended May 3, 2025</w:t>
      </w:r>
    </w:p>
    <w:p>
      <w:pPr>
        <w:pStyle w:val="TextBody"/>
        <w:bidi w:val="0"/>
        <w:spacing w:before="0" w:after="0"/>
        <w:ind w:left="0" w:right="0" w:hanging="0"/>
        <w:jc w:val="center"/>
        <w:rPr>
          <w:rFonts w:ascii="Helvetica" w:hAnsi="Helvetica"/>
          <w:b/>
          <w:sz w:val="18"/>
        </w:rPr>
      </w:pPr>
      <w:r>
        <w:rPr>
          <w:rFonts w:ascii="Helvetica" w:hAnsi="Helvetica"/>
          <w:b/>
          <w:sz w:val="18"/>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Gd0q8QKpB0SFWhNlkRQCzw_2_1"/>
      <w:bookmarkStart w:id="8" w:name="_74b19ad9_de93_4c0c_bb9b_275dcaa4f011"/>
      <w:bookmarkStart w:id="9" w:name="Tc_Gd0q8QKpB0SFWhNlkRQCzw_2_1"/>
      <w:bookmarkStart w:id="10" w:name="_74b19ad9_de93_4c0c_bb9b_275dcaa4f011"/>
      <w:bookmarkEnd w:id="9"/>
      <w:bookmarkEnd w:id="10"/>
    </w:p>
    <w:tbl>
      <w:tblPr>
        <w:tblW w:w="9677" w:type="dxa"/>
        <w:jc w:val="left"/>
        <w:tblInd w:w="0" w:type="dxa"/>
        <w:tblLayout w:type="fixed"/>
        <w:tblCellMar>
          <w:top w:w="0" w:type="dxa"/>
          <w:left w:w="0" w:type="dxa"/>
          <w:bottom w:w="0" w:type="dxa"/>
          <w:right w:w="0" w:type="dxa"/>
        </w:tblCellMar>
      </w:tblPr>
      <w:tblGrid>
        <w:gridCol w:w="331"/>
        <w:gridCol w:w="9346"/>
      </w:tblGrid>
      <w:tr>
        <w:trPr/>
        <w:tc>
          <w:tcPr>
            <w:tcW w:w="331"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346" w:type="dxa"/>
            <w:tcBorders/>
            <w:vAlign w:val="center"/>
          </w:tcPr>
          <w:p>
            <w:pPr>
              <w:pStyle w:val="TableContents"/>
              <w:bidi w:val="0"/>
              <w:spacing w:before="0" w:after="0"/>
              <w:ind w:left="0" w:right="0" w:hanging="0"/>
              <w:jc w:val="left"/>
              <w:rPr>
                <w:rFonts w:ascii="Helvetica" w:hAnsi="Helvetica"/>
                <w:b/>
                <w:sz w:val="18"/>
              </w:rPr>
            </w:pPr>
            <w:r>
              <w:rPr>
                <w:rFonts w:ascii="Helvetica" w:hAnsi="Helvetica"/>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Commission File Number 000-41886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CITI TRENDS, INC.</w:t>
      </w:r>
    </w:p>
    <w:p>
      <w:pPr>
        <w:pStyle w:val="TextBody"/>
        <w:bidi w:val="0"/>
        <w:spacing w:before="0" w:after="0"/>
        <w:ind w:left="0" w:right="0" w:hanging="0"/>
        <w:jc w:val="center"/>
        <w:rPr>
          <w:rFonts w:ascii="Helvetica" w:hAnsi="Helvetica"/>
          <w:sz w:val="18"/>
        </w:rPr>
      </w:pPr>
      <w:r>
        <w:rPr>
          <w:rFonts w:ascii="Helvetica" w:hAnsi="Helvetica"/>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DUdN56604EuwP5VufRsjQw_3_2"/>
      <w:bookmarkStart w:id="12" w:name="Tc_Sk3j0Lt4BUidxqT0YCJnBg_3_0"/>
      <w:bookmarkStart w:id="13" w:name="Tc_KxieSidD8EauucMzDnVbUQ_2_2"/>
      <w:bookmarkStart w:id="14" w:name="Tc_y0OcVax8Akuo3LKuBWHbdA_2_0"/>
      <w:bookmarkStart w:id="15" w:name="_ed396a7e_604d_4b7f_a98d_98f999030624"/>
      <w:bookmarkStart w:id="16" w:name="Tc_DUdN56604EuwP5VufRsjQw_3_2"/>
      <w:bookmarkStart w:id="17" w:name="Tc_Sk3j0Lt4BUidxqT0YCJnBg_3_0"/>
      <w:bookmarkStart w:id="18" w:name="Tc_KxieSidD8EauucMzDnVbUQ_2_2"/>
      <w:bookmarkStart w:id="19" w:name="Tc_y0OcVax8Akuo3LKuBWHbdA_2_0"/>
      <w:bookmarkStart w:id="20" w:name="_ed396a7e_604d_4b7f_a98d_98f999030624"/>
      <w:bookmarkEnd w:id="16"/>
      <w:bookmarkEnd w:id="17"/>
      <w:bookmarkEnd w:id="18"/>
      <w:bookmarkEnd w:id="19"/>
      <w:bookmarkEnd w:id="20"/>
    </w:p>
    <w:tbl>
      <w:tblPr>
        <w:tblW w:w="4221" w:type="dxa"/>
        <w:jc w:val="left"/>
        <w:tblInd w:w="0" w:type="dxa"/>
        <w:tblLayout w:type="fixed"/>
        <w:tblCellMar>
          <w:top w:w="0" w:type="dxa"/>
          <w:left w:w="0" w:type="dxa"/>
          <w:bottom w:w="0" w:type="dxa"/>
          <w:right w:w="0" w:type="dxa"/>
        </w:tblCellMar>
      </w:tblPr>
      <w:tblGrid>
        <w:gridCol w:w="2536"/>
        <w:gridCol w:w="109"/>
        <w:gridCol w:w="1576"/>
      </w:tblGrid>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Delaware</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52-2150697</w:t>
            </w:r>
          </w:p>
        </w:tc>
      </w:tr>
      <w:tr>
        <w:trPr/>
        <w:tc>
          <w:tcPr>
            <w:tcW w:w="253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(State or other jurisdiction of</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(I.R.S. Employer</w:t>
            </w:r>
          </w:p>
        </w:tc>
      </w:tr>
      <w:tr>
        <w:trPr/>
        <w:tc>
          <w:tcPr>
            <w:tcW w:w="253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incorporation or organization)</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wXUAoUfgD06CdLVWKyYjFg_3_2"/>
      <w:bookmarkStart w:id="22" w:name="Tc_5lU6qR1_Ok2dBMeFX09B4A_3_0"/>
      <w:bookmarkStart w:id="23" w:name="Tc_nv1gcijj5EaPjq3CfmItNQ_2_0"/>
      <w:bookmarkStart w:id="24" w:name="_bacd32f5_6b13_4772_8d08_7c061d16cc03"/>
      <w:bookmarkStart w:id="25" w:name="Tc_wXUAoUfgD06CdLVWKyYjFg_3_2"/>
      <w:bookmarkStart w:id="26" w:name="Tc_5lU6qR1_Ok2dBMeFX09B4A_3_0"/>
      <w:bookmarkStart w:id="27" w:name="Tc_nv1gcijj5EaPjq3CfmItNQ_2_0"/>
      <w:bookmarkStart w:id="28" w:name="_bacd32f5_6b13_4772_8d08_7c061d16cc03"/>
      <w:bookmarkEnd w:id="25"/>
      <w:bookmarkEnd w:id="26"/>
      <w:bookmarkEnd w:id="27"/>
      <w:bookmarkEnd w:id="28"/>
    </w:p>
    <w:tbl>
      <w:tblPr>
        <w:tblW w:w="4386" w:type="dxa"/>
        <w:jc w:val="left"/>
        <w:tblInd w:w="0" w:type="dxa"/>
        <w:tblLayout w:type="fixed"/>
        <w:tblCellMar>
          <w:top w:w="0" w:type="dxa"/>
          <w:left w:w="0" w:type="dxa"/>
          <w:bottom w:w="0" w:type="dxa"/>
          <w:right w:w="0" w:type="dxa"/>
        </w:tblCellMar>
      </w:tblPr>
      <w:tblGrid>
        <w:gridCol w:w="3256"/>
        <w:gridCol w:w="109"/>
        <w:gridCol w:w="1021"/>
      </w:tblGrid>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104 Coleman Boulevard</w:t>
            </w:r>
          </w:p>
        </w:tc>
        <w:tc>
          <w:tcPr>
            <w:tcW w:w="10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Savannah, Georgia</w:t>
            </w:r>
          </w:p>
        </w:tc>
        <w:tc>
          <w:tcPr>
            <w:tcW w:w="10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31408</w:t>
            </w:r>
          </w:p>
        </w:tc>
      </w:tr>
      <w:tr>
        <w:trPr/>
        <w:tc>
          <w:tcPr>
            <w:tcW w:w="325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Helvetica" w:hAnsi="Helvetica"/>
          <w:sz w:val="18"/>
        </w:rPr>
        <w:t>Registrant</w:t>
      </w:r>
      <w:r>
        <w:rPr>
          <w:rFonts w:ascii="Times New Roman;Times;serif" w:hAnsi="Times New Roman;Times;serif"/>
          <w:sz w:val="20"/>
        </w:rPr>
        <w:t>’</w:t>
      </w:r>
      <w:r>
        <w:rPr>
          <w:rFonts w:ascii="Helvetica" w:hAnsi="Helvetica"/>
          <w:sz w:val="18"/>
        </w:rPr>
        <w:t>s telephone number, including area code (</w:t>
      </w:r>
      <w:r>
        <w:rPr>
          <w:rFonts w:ascii="Helvetica" w:hAnsi="Helvetica"/>
          <w:b/>
          <w:sz w:val="18"/>
        </w:rPr>
        <w:t>912) 236-1561</w:t>
      </w:r>
    </w:p>
    <w:p>
      <w:pPr>
        <w:pStyle w:val="TextBody"/>
        <w:bidi w:val="0"/>
        <w:spacing w:before="0" w:after="0"/>
        <w:ind w:left="0" w:right="0" w:hanging="0"/>
        <w:jc w:val="center"/>
        <w:rPr/>
      </w:pPr>
      <w:r>
        <w:rPr/>
        <w:t>​</w:t>
      </w:r>
    </w:p>
    <w:p>
      <w:pPr>
        <w:pStyle w:val="TextBody"/>
        <w:bidi w:val="0"/>
        <w:spacing w:before="0" w:after="0"/>
        <w:ind w:left="0" w:right="0" w:hanging="0"/>
        <w:jc w:val="left"/>
        <w:rPr>
          <w:rFonts w:ascii="Helvetica" w:hAnsi="Helvetica"/>
          <w:sz w:val="18"/>
        </w:rPr>
      </w:pPr>
      <w:r>
        <w:rPr>
          <w:rFonts w:ascii="Helvetica" w:hAnsi="Helvetica"/>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v2SNASGttUSJB3fnv054bg_0_4"/>
      <w:bookmarkStart w:id="30" w:name="Tc_PBVQdot40U69mnocBZhUZg_0_2"/>
      <w:bookmarkStart w:id="31" w:name="Tc_8V8t0DRu5Eq14-vUENW-hA_0_0"/>
      <w:bookmarkStart w:id="32" w:name="_da55ab44_a7bf_4521_a3ef_5ba35fe987fd"/>
      <w:bookmarkStart w:id="33" w:name="Tc_v2SNASGttUSJB3fnv054bg_0_4"/>
      <w:bookmarkStart w:id="34" w:name="Tc_PBVQdot40U69mnocBZhUZg_0_2"/>
      <w:bookmarkStart w:id="35" w:name="Tc_8V8t0DRu5Eq14-vUENW-hA_0_0"/>
      <w:bookmarkStart w:id="36" w:name="_da55ab44_a7bf_4521_a3ef_5ba35fe987fd"/>
      <w:bookmarkEnd w:id="33"/>
      <w:bookmarkEnd w:id="34"/>
      <w:bookmarkEnd w:id="35"/>
      <w:bookmarkEnd w:id="36"/>
    </w:p>
    <w:tbl>
      <w:tblPr>
        <w:tblW w:w="8321" w:type="dxa"/>
        <w:jc w:val="left"/>
        <w:tblInd w:w="0" w:type="dxa"/>
        <w:tblLayout w:type="fixed"/>
        <w:tblCellMar>
          <w:top w:w="28" w:type="dxa"/>
          <w:left w:w="28" w:type="dxa"/>
          <w:bottom w:w="28" w:type="dxa"/>
          <w:right w:w="0" w:type="dxa"/>
        </w:tblCellMar>
      </w:tblPr>
      <w:tblGrid>
        <w:gridCol w:w="2731"/>
        <w:gridCol w:w="109"/>
        <w:gridCol w:w="1426"/>
        <w:gridCol w:w="109"/>
        <w:gridCol w:w="3946"/>
      </w:tblGrid>
      <w:tr>
        <w:trPr/>
        <w:tc>
          <w:tcPr>
            <w:tcW w:w="27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Title of each class</w:t>
            </w:r>
          </w:p>
        </w:tc>
        <w:tc>
          <w:tcPr>
            <w:tcW w:w="109" w:type="dxa"/>
            <w:tcBorders>
              <w:top w:val="single" w:sz="2" w:space="0" w:color="000000"/>
            </w:tcBorders>
            <w:tcMar>
              <w:left w:w="0" w:type="dxa"/>
              <w:bottom w:w="0" w:type="dxa"/>
            </w:tcMar>
            <w:vAlign w:val="center"/>
          </w:tcPr>
          <w:p>
            <w:pPr>
              <w:pStyle w:val="TableContents"/>
              <w:bidi w:val="0"/>
              <w:spacing w:before="0" w:after="0"/>
              <w:ind w:left="0" w:right="0" w:hanging="0"/>
              <w:jc w:val="center"/>
              <w:rPr/>
            </w:pPr>
            <w:r>
              <w:rPr/>
              <w:t>​</w:t>
            </w:r>
          </w:p>
        </w:tc>
        <w:tc>
          <w:tcPr>
            <w:tcW w:w="14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Trading symbol</w:t>
            </w:r>
          </w:p>
        </w:tc>
        <w:tc>
          <w:tcPr>
            <w:tcW w:w="109"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pPr>
            <w:r>
              <w:rPr/>
              <w:t>​</w:t>
            </w:r>
          </w:p>
        </w:tc>
        <w:tc>
          <w:tcPr>
            <w:tcW w:w="394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Name of each exchange on which registered</w:t>
            </w:r>
          </w:p>
        </w:tc>
      </w:tr>
      <w:tr>
        <w:trPr/>
        <w:tc>
          <w:tcPr>
            <w:tcW w:w="273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Common Stock, $0.01 par value</w:t>
            </w:r>
          </w:p>
        </w:tc>
        <w:tc>
          <w:tcPr>
            <w:tcW w:w="109" w:type="dxa"/>
            <w:tcBorders>
              <w:bottom w:val="single" w:sz="2" w:space="0" w:color="000000"/>
            </w:tcBorders>
            <w:tcMar>
              <w:top w:w="0" w:type="dxa"/>
              <w:left w:w="0" w:type="dxa"/>
            </w:tcMar>
            <w:vAlign w:val="center"/>
          </w:tcPr>
          <w:p>
            <w:pPr>
              <w:pStyle w:val="TableContents"/>
              <w:bidi w:val="0"/>
              <w:spacing w:before="0" w:after="0"/>
              <w:ind w:left="0" w:right="0" w:hanging="0"/>
              <w:jc w:val="center"/>
              <w:rPr/>
            </w:pPr>
            <w:r>
              <w:rPr/>
              <w:t>​</w:t>
            </w:r>
          </w:p>
        </w:tc>
        <w:tc>
          <w:tcPr>
            <w:tcW w:w="1426"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CTRN</w:t>
            </w:r>
          </w:p>
        </w:tc>
        <w:tc>
          <w:tcPr>
            <w:tcW w:w="109" w:type="dxa"/>
            <w:tcBorders>
              <w:bottom w:val="single" w:sz="2" w:space="0" w:color="000000"/>
            </w:tcBorders>
            <w:tcMar>
              <w:top w:w="0" w:type="dxa"/>
              <w:left w:w="0" w:type="dxa"/>
            </w:tcMar>
            <w:vAlign w:val="center"/>
          </w:tcPr>
          <w:p>
            <w:pPr>
              <w:pStyle w:val="TableContents"/>
              <w:bidi w:val="0"/>
              <w:spacing w:before="0" w:after="0"/>
              <w:ind w:left="0" w:right="0" w:hanging="0"/>
              <w:jc w:val="left"/>
              <w:rPr/>
            </w:pPr>
            <w:r>
              <w:rPr/>
              <w:t>​</w:t>
            </w:r>
          </w:p>
        </w:tc>
        <w:tc>
          <w:tcPr>
            <w:tcW w:w="3946"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NASDAQ Stock Market</w:t>
            </w:r>
          </w:p>
        </w:tc>
      </w:tr>
    </w:tbl>
    <w:p>
      <w:pPr>
        <w:pStyle w:val="TextBody"/>
        <w:bidi w:val="0"/>
        <w:spacing w:before="0" w:after="0"/>
        <w:ind w:left="1" w:right="0" w:hanging="0"/>
        <w:jc w:val="left"/>
        <w:rPr/>
      </w:pPr>
      <w:r>
        <w:rPr/>
        <w:t>​</w:t>
      </w:r>
    </w:p>
    <w:p>
      <w:pPr>
        <w:pStyle w:val="TextBody"/>
        <w:bidi w:val="0"/>
        <w:spacing w:before="0" w:after="0"/>
        <w:ind w:left="1" w:right="0" w:hanging="0"/>
        <w:jc w:val="left"/>
        <w:rPr>
          <w:rFonts w:ascii="Times New Roman;Times;serif" w:hAnsi="Times New Roman;Times;serif"/>
          <w:sz w:val="20"/>
        </w:rPr>
      </w:pPr>
      <w:r>
        <w:rPr>
          <w:rFonts w:ascii="Helvetica" w:hAnsi="Helvetica"/>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Helvetica" w:hAnsi="Helvetica"/>
          <w:sz w:val="18"/>
        </w:rPr>
        <w:t xml:space="preserve">No </w:t>
      </w:r>
      <w:r>
        <w:rPr>
          <w:rFonts w:ascii="Times New Roman;Times;serif" w:hAnsi="Times New Roman;Times;serif"/>
          <w:sz w:val="20"/>
        </w:rPr>
        <w:t>☐</w:t>
      </w:r>
    </w:p>
    <w:p>
      <w:pPr>
        <w:pStyle w:val="TextBody"/>
        <w:bidi w:val="0"/>
        <w:spacing w:before="0" w:after="0"/>
        <w:ind w:left="1"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Helvetica" w:hAnsi="Helvetica"/>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Helvetica" w:hAnsi="Helvetica"/>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Helvetica" w:hAnsi="Helvetica"/>
          <w:sz w:val="18"/>
        </w:rPr>
        <w:t xml:space="preserve">Indicate by check mark whether the registrant is a large accelerated filer, an accelerated filer, a non-accelerated filer, a smaller reporting company, or an emerging growth company. See the definitions of </w:t>
      </w:r>
      <w:r>
        <w:rPr>
          <w:rFonts w:ascii="Times New Roman;Times;serif" w:hAnsi="Times New Roman;Times;serif"/>
          <w:sz w:val="18"/>
        </w:rPr>
        <w:t>“</w:t>
      </w:r>
      <w:r>
        <w:rPr>
          <w:rFonts w:ascii="Helvetica" w:hAnsi="Helvetica"/>
          <w:sz w:val="18"/>
        </w:rPr>
        <w:t>large accelerated filer,</w:t>
      </w:r>
      <w:r>
        <w:rPr>
          <w:rFonts w:ascii="Times New Roman;Times;serif" w:hAnsi="Times New Roman;Times;serif"/>
          <w:sz w:val="18"/>
        </w:rPr>
        <w:t>” “</w:t>
      </w:r>
      <w:r>
        <w:rPr>
          <w:rFonts w:ascii="Helvetica" w:hAnsi="Helvetica"/>
          <w:sz w:val="18"/>
        </w:rPr>
        <w:t>accelerated filer,</w:t>
      </w:r>
      <w:r>
        <w:rPr>
          <w:rFonts w:ascii="Times New Roman;Times;serif" w:hAnsi="Times New Roman;Times;serif"/>
          <w:sz w:val="18"/>
        </w:rPr>
        <w:t>” “</w:t>
      </w:r>
      <w:r>
        <w:rPr>
          <w:rFonts w:ascii="Helvetica" w:hAnsi="Helvetica"/>
          <w:sz w:val="18"/>
        </w:rPr>
        <w:t>smaller reporting company</w:t>
      </w:r>
      <w:r>
        <w:rPr>
          <w:rFonts w:ascii="Times New Roman;Times;serif" w:hAnsi="Times New Roman;Times;serif"/>
          <w:sz w:val="18"/>
        </w:rPr>
        <w:t xml:space="preserve">” </w:t>
      </w:r>
      <w:r>
        <w:rPr>
          <w:rFonts w:ascii="Helvetica" w:hAnsi="Helvetica"/>
          <w:sz w:val="18"/>
        </w:rPr>
        <w:t xml:space="preserve">and </w:t>
      </w:r>
      <w:r>
        <w:rPr>
          <w:rFonts w:ascii="Times New Roman;Times;serif" w:hAnsi="Times New Roman;Times;serif"/>
          <w:sz w:val="18"/>
        </w:rPr>
        <w:t>“</w:t>
      </w:r>
      <w:r>
        <w:rPr>
          <w:rFonts w:ascii="Helvetica" w:hAnsi="Helvetica"/>
          <w:sz w:val="18"/>
        </w:rPr>
        <w:t>emerging growth company</w:t>
      </w:r>
      <w:r>
        <w:rPr>
          <w:rFonts w:ascii="Times New Roman;Times;serif" w:hAnsi="Times New Roman;Times;serif"/>
          <w:sz w:val="18"/>
        </w:rPr>
        <w:t xml:space="preserve">” </w:t>
      </w:r>
      <w:r>
        <w:rPr>
          <w:rFonts w:ascii="Helvetica" w:hAnsi="Helvetica"/>
          <w:sz w:val="18"/>
        </w:rPr>
        <w:t>in Rule 12b-2 of the Exchange Act.</w:t>
      </w:r>
    </w:p>
    <w:tbl>
      <w:tblPr>
        <w:tblW w:w="6651" w:type="dxa"/>
        <w:jc w:val="left"/>
        <w:tblInd w:w="0" w:type="dxa"/>
        <w:tblLayout w:type="fixed"/>
        <w:tblCellMar>
          <w:top w:w="0" w:type="dxa"/>
          <w:left w:w="0" w:type="dxa"/>
          <w:bottom w:w="0" w:type="dxa"/>
          <w:right w:w="0" w:type="dxa"/>
        </w:tblCellMar>
      </w:tblPr>
      <w:tblGrid>
        <w:gridCol w:w="3901"/>
        <w:gridCol w:w="109"/>
        <w:gridCol w:w="2641"/>
      </w:tblGrid>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Large Accelerated Filer </w:t>
            </w:r>
            <w:r>
              <w:rPr>
                <w:rFonts w:ascii="Times New Roman;Times;serif" w:hAnsi="Times New Roman;Times;serif"/>
                <w:sz w:val="20"/>
              </w:rPr>
              <w:t xml:space="preserve">☐ </w:t>
            </w:r>
            <w:r>
              <w:rPr>
                <w:rFonts w:ascii="Helvetica" w:hAnsi="Helvetica"/>
                <w:sz w:val="18"/>
              </w:rPr>
              <w:t>Accelerated Filer</w:t>
            </w:r>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Non-Accelerated Filer </w:t>
            </w:r>
            <w:r>
              <w:rPr>
                <w:rFonts w:ascii="Times New Roman;Times;serif" w:hAnsi="Times New Roman;Times;serif"/>
                <w:sz w:val="18"/>
              </w:rPr>
              <w:t xml:space="preserve">☐ </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Smaller Reporting Company </w:t>
            </w: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Helvetica" w:hAnsi="Helvetica"/>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Helvetica" w:hAnsi="Helvetica"/>
          <w:sz w:val="18"/>
        </w:rPr>
        <w:t>Indicate by check mark whether the registrant is a shell company (as defined in Rule 12b-2 of the Exchange Act). Yes  </w:t>
      </w:r>
      <w:r>
        <w:rPr>
          <w:rFonts w:ascii="Times New Roman;Times;serif" w:hAnsi="Times New Roman;Times;serif"/>
          <w:sz w:val="20"/>
        </w:rPr>
        <w:t>☐  </w:t>
      </w:r>
      <w:r>
        <w:rPr>
          <w:rFonts w:ascii="Helvetica" w:hAnsi="Helvetica"/>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Helvetica" w:hAnsi="Helvetica"/>
          <w:sz w:val="18"/>
        </w:rPr>
        <w:t>As of May 23, 2025, the registrant had 8,294,051</w:t>
      </w:r>
      <w:r>
        <w:rPr>
          <w:rFonts w:ascii="Times New Roman;Times;serif" w:hAnsi="Times New Roman;Times;serif"/>
          <w:sz w:val="18"/>
        </w:rPr>
        <w:t xml:space="preserve"> </w:t>
      </w:r>
      <w:r>
        <w:rPr>
          <w:rFonts w:ascii="Helvetica" w:hAnsi="Helvetica"/>
          <w:sz w:val="18"/>
        </w:rPr>
        <w:t>outstanding shares of common stock, $0.01 par value per share.</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Helvetica" w:hAnsi="Helvetica"/>
          <w:b/>
          <w:sz w:val="18"/>
        </w:rPr>
      </w:pPr>
      <w:bookmarkStart w:id="37" w:name="_cb8311e4_5a6c_4dce_bd83_b0ac06bf9f10"/>
      <w:bookmarkEnd w:id="37"/>
      <w:r>
        <w:rPr>
          <w:rFonts w:ascii="Helvetica" w:hAnsi="Helvetica"/>
          <w:b/>
          <w:sz w:val="18"/>
        </w:rPr>
        <w:t>CITI TRENDS, INC.</w:t>
      </w:r>
    </w:p>
    <w:p>
      <w:pPr>
        <w:pStyle w:val="TextBody"/>
        <w:bidi w:val="0"/>
        <w:spacing w:before="0" w:after="22"/>
        <w:ind w:left="0" w:right="0" w:hanging="0"/>
        <w:jc w:val="center"/>
        <w:rPr>
          <w:rFonts w:ascii="Helvetica" w:hAnsi="Helvetica"/>
          <w:b/>
          <w:sz w:val="18"/>
        </w:rPr>
      </w:pPr>
      <w:r>
        <w:rPr>
          <w:rFonts w:ascii="Helvetica" w:hAnsi="Helvetica"/>
          <w:b/>
          <w:sz w:val="18"/>
        </w:rPr>
        <w:t>FORM 10-Q</w:t>
      </w:r>
    </w:p>
    <w:p>
      <w:pPr>
        <w:pStyle w:val="TextBody"/>
        <w:bidi w:val="0"/>
        <w:spacing w:before="0" w:after="22"/>
        <w:ind w:left="0" w:right="0" w:hanging="0"/>
        <w:jc w:val="center"/>
        <w:rPr>
          <w:rFonts w:ascii="Times New Roman;Times;serif" w:hAnsi="Times New Roman;Times;serif"/>
          <w:sz w:val="18"/>
        </w:rPr>
      </w:pPr>
      <w:bookmarkStart w:id="38" w:name="TOC"/>
      <w:bookmarkEnd w:id="38"/>
      <w:r>
        <w:rPr>
          <w:rFonts w:ascii="Helvetica" w:hAnsi="Helvetica"/>
          <w:b/>
          <w:sz w:val="18"/>
        </w:rPr>
        <w:t>TABLE OF</w:t>
      </w:r>
      <w:r>
        <w:rPr>
          <w:rFonts w:ascii="Times New Roman;Times;serif" w:hAnsi="Times New Roman;Times;serif"/>
          <w:sz w:val="18"/>
        </w:rPr>
        <w:t xml:space="preserve"> </w:t>
      </w:r>
      <w:r>
        <w:rPr>
          <w:rFonts w:ascii="Helvetica" w:hAnsi="Helvetica"/>
          <w:b/>
          <w:sz w:val="18"/>
        </w:rPr>
        <w:t>CONTENTS</w:t>
      </w:r>
    </w:p>
    <w:tbl>
      <w:tblPr>
        <w:tblW w:w="9048" w:type="dxa"/>
        <w:jc w:val="left"/>
        <w:tblInd w:w="0" w:type="dxa"/>
        <w:tblLayout w:type="fixed"/>
        <w:tblCellMar>
          <w:top w:w="0" w:type="dxa"/>
          <w:left w:w="0" w:type="dxa"/>
          <w:bottom w:w="0" w:type="dxa"/>
          <w:right w:w="0" w:type="dxa"/>
        </w:tblCellMar>
      </w:tblPr>
      <w:tblGrid>
        <w:gridCol w:w="736"/>
        <w:gridCol w:w="7351"/>
        <w:gridCol w:w="961"/>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7360" cy="175260"/>
                      <wp:effectExtent l="0" t="0" r="0" b="0"/>
                      <wp:wrapNone/>
                      <wp:docPr id="1" name="Frame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c>
          <w:tcPr>
            <w:tcW w:w="7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67885" cy="175260"/>
                      <wp:effectExtent l="0" t="0" r="0" b="0"/>
                      <wp:wrapNone/>
                      <wp:docPr id="2" name="Frame2"/>
                      <a:graphic xmlns:a="http://schemas.openxmlformats.org/drawingml/2006/main">
                        <a:graphicData uri="http://schemas.microsoft.com/office/word/2010/wordprocessingShape">
                          <wps:wsp>
                            <wps:cNvSpPr txBox="1"/>
                            <wps:spPr>
                              <a:xfrm>
                                <a:off x="0" y="0"/>
                                <a:ext cx="4667885"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10235" cy="29210"/>
                      <wp:effectExtent l="0" t="0" r="0" b="0"/>
                      <wp:wrapNone/>
                      <wp:docPr id="3" name="Frame3"/>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center"/>
              <w:rPr/>
            </w:pPr>
            <w:r>
              <w:rPr/>
              <w:t>​</w:t>
            </w:r>
          </w:p>
        </w:tc>
        <w:tc>
          <w:tcPr>
            <w:tcW w:w="961" w:type="dxa"/>
            <w:tcBorders/>
            <w:vAlign w:val="center"/>
          </w:tcPr>
          <w:p>
            <w:pPr>
              <w:pStyle w:val="TableContents"/>
              <w:bidi w:val="0"/>
              <w:spacing w:lineRule="auto" w:line="328" w:before="0" w:after="22"/>
              <w:ind w:left="0" w:right="0" w:hanging="0"/>
              <w:jc w:val="center"/>
              <w:rPr>
                <w:rFonts w:ascii="Helvetica" w:hAnsi="Helvetica"/>
                <w:b/>
                <w:sz w:val="18"/>
              </w:rPr>
            </w:pPr>
            <w:r>
              <w:rPr>
                <w:rFonts w:ascii="Helvetica" w:hAnsi="Helvetica"/>
                <w:b/>
                <w:sz w:val="18"/>
              </w:rPr>
              <w:t>PAGE</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328" w:before="0" w:after="22"/>
              <w:ind w:left="0" w:right="0" w:hanging="0"/>
              <w:jc w:val="center"/>
              <w:rPr>
                <w:rFonts w:ascii="Helvetica" w:hAnsi="Helvetica"/>
                <w:b/>
                <w:sz w:val="18"/>
              </w:rPr>
            </w:pPr>
            <w:r>
              <w:rPr>
                <w:rFonts w:ascii="Helvetica" w:hAnsi="Helvetica"/>
                <w:b/>
                <w:sz w:val="18"/>
              </w:rPr>
              <w:t>NUMBER</w:t>
            </w:r>
          </w:p>
        </w:tc>
      </w:tr>
      <w:tr>
        <w:trPr/>
        <w:tc>
          <w:tcPr>
            <w:tcW w:w="736" w:type="dxa"/>
            <w:tcBorders/>
            <w:vAlign w:val="center"/>
          </w:tcPr>
          <w:p>
            <w:pPr>
              <w:pStyle w:val="TableContents"/>
              <w:pBdr/>
              <w:bidi w:val="0"/>
              <w:spacing w:lineRule="auto" w:line="328" w:before="0" w:after="22"/>
              <w:ind w:left="0" w:right="0" w:hanging="0"/>
              <w:jc w:val="left"/>
              <w:rPr/>
            </w:pPr>
            <w:hyperlink w:anchor="PARTIFINANCIALINFORMATION_451939">
              <w:r>
                <w:rPr>
                  <w:rStyle w:val="InternetLink"/>
                  <w:rFonts w:ascii="Helvetica" w:hAnsi="Helvetica"/>
                  <w:b w:val="false"/>
                  <w:i w:val="false"/>
                  <w:caps w:val="false"/>
                  <w:smallCaps w:val="false"/>
                  <w:sz w:val="18"/>
                </w:rPr>
                <w:t>PART I</w:t>
              </w:r>
            </w:hyperlink>
          </w:p>
        </w:tc>
        <w:tc>
          <w:tcPr>
            <w:tcW w:w="7351" w:type="dxa"/>
            <w:tcBorders/>
            <w:vAlign w:val="center"/>
          </w:tcPr>
          <w:p>
            <w:pPr>
              <w:pStyle w:val="TableContents"/>
              <w:bidi w:val="0"/>
              <w:spacing w:lineRule="auto" w:line="328" w:before="0" w:after="22"/>
              <w:ind w:left="0" w:right="0" w:hanging="0"/>
              <w:jc w:val="left"/>
              <w:rPr/>
            </w:pPr>
            <w:hyperlink w:anchor="PARTIFINANCIALINFORMATION_451939">
              <w:r>
                <w:rPr>
                  <w:rStyle w:val="InternetLink"/>
                  <w:rFonts w:ascii="Helvetica" w:hAnsi="Helvetica"/>
                  <w:b w:val="false"/>
                  <w:i w:val="false"/>
                  <w:caps w:val="false"/>
                  <w:smallCaps w:val="false"/>
                  <w:sz w:val="18"/>
                </w:rPr>
                <w:t>FINANCIAL INFORMATION</w:t>
              </w:r>
            </w:hyperlink>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1FinancialStatements_412105">
              <w:r>
                <w:rPr>
                  <w:rStyle w:val="InternetLink"/>
                  <w:rFonts w:ascii="Helvetica" w:hAnsi="Helvetica"/>
                  <w:b w:val="false"/>
                  <w:i w:val="false"/>
                  <w:caps w:val="false"/>
                  <w:smallCaps w:val="false"/>
                  <w:sz w:val="18"/>
                </w:rPr>
                <w:t>Item 1</w:t>
              </w:r>
            </w:hyperlink>
          </w:p>
        </w:tc>
        <w:tc>
          <w:tcPr>
            <w:tcW w:w="7351" w:type="dxa"/>
            <w:tcBorders/>
            <w:vAlign w:val="center"/>
          </w:tcPr>
          <w:p>
            <w:pPr>
              <w:pStyle w:val="TableContents"/>
              <w:bidi w:val="0"/>
              <w:spacing w:lineRule="auto" w:line="328" w:before="0" w:after="22"/>
              <w:ind w:left="0" w:right="0" w:hanging="0"/>
              <w:jc w:val="left"/>
              <w:rPr/>
            </w:pPr>
            <w:hyperlink w:anchor="Item1FinancialStatements_412105">
              <w:r>
                <w:rPr>
                  <w:rStyle w:val="InternetLink"/>
                  <w:rFonts w:ascii="Helvetica" w:hAnsi="Helvetica"/>
                  <w:b w:val="false"/>
                  <w:i w:val="false"/>
                  <w:caps w:val="false"/>
                  <w:smallCaps w:val="false"/>
                  <w:sz w:val="18"/>
                </w:rPr>
                <w:t>Financial Statements (unaudited)</w:t>
              </w:r>
            </w:hyperlink>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hyperlink w:anchor="BalanceSheets_323752">
              <w:r>
                <w:rPr>
                  <w:rStyle w:val="InternetLink"/>
                  <w:rFonts w:ascii="Helvetica" w:hAnsi="Helvetica"/>
                  <w:b w:val="false"/>
                  <w:i w:val="false"/>
                  <w:caps w:val="false"/>
                  <w:smallCaps w:val="false"/>
                  <w:sz w:val="18"/>
                </w:rPr>
                <w:t xml:space="preserve">Condensed Consolidated Balance Sheets </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3</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pBdr/>
              <w:bidi w:val="0"/>
              <w:spacing w:lineRule="auto" w:line="328" w:before="0" w:after="22"/>
              <w:ind w:left="0" w:right="0" w:hanging="0"/>
              <w:jc w:val="left"/>
              <w:rPr/>
            </w:pPr>
            <w:hyperlink w:anchor="Operations_264272">
              <w:r>
                <w:rPr>
                  <w:rStyle w:val="InternetLink"/>
                  <w:rFonts w:ascii="Helvetica" w:hAnsi="Helvetica"/>
                  <w:b w:val="false"/>
                  <w:i w:val="false"/>
                  <w:caps w:val="false"/>
                  <w:smallCaps w:val="false"/>
                  <w:sz w:val="18"/>
                </w:rPr>
                <w:t xml:space="preserve">Condensed Consolidated Statements of Operations </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4</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hyperlink w:anchor="CashFlows_340602">
              <w:r>
                <w:rPr>
                  <w:rStyle w:val="InternetLink"/>
                  <w:rFonts w:ascii="Helvetica" w:hAnsi="Helvetica"/>
                  <w:b w:val="false"/>
                  <w:i w:val="false"/>
                  <w:caps w:val="false"/>
                  <w:smallCaps w:val="false"/>
                  <w:sz w:val="18"/>
                </w:rPr>
                <w:t>Condensed Consolidated Statements of Cash Flows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5</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hyperlink w:anchor="StatementofStockholdersEquity10Q">
              <w:r>
                <w:rPr>
                  <w:rStyle w:val="InternetLink"/>
                  <w:rFonts w:ascii="Helvetica" w:hAnsi="Helvetica"/>
                  <w:b w:val="false"/>
                  <w:i w:val="false"/>
                  <w:caps w:val="false"/>
                  <w:smallCaps w:val="false"/>
                  <w:sz w:val="18"/>
                </w:rPr>
                <w:t>Condensed Consolidated Statements of Stockholders</w:t>
              </w:r>
            </w:hyperlink>
            <w:hyperlink w:anchor="StatementofStockholdersEquity10Q">
              <w:r>
                <w:rPr>
                  <w:rStyle w:val="InternetLink"/>
                  <w:rFonts w:ascii="Helvetica" w:hAnsi="Helvetica"/>
                  <w:caps w:val="false"/>
                  <w:smallCaps w:val="false"/>
                  <w:sz w:val="18"/>
                </w:rPr>
                <w:t xml:space="preserve">’ </w:t>
              </w:r>
            </w:hyperlink>
            <w:hyperlink w:anchor="StatementofStockholdersEquity10Q">
              <w:r>
                <w:rPr>
                  <w:rStyle w:val="InternetLink"/>
                  <w:rFonts w:ascii="Helvetica" w:hAnsi="Helvetica"/>
                  <w:b w:val="false"/>
                  <w:i w:val="false"/>
                  <w:caps w:val="false"/>
                  <w:smallCaps w:val="false"/>
                  <w:sz w:val="18"/>
                </w:rPr>
                <w:t>Equity</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6</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hyperlink w:anchor="Notes_435113">
              <w:r>
                <w:rPr>
                  <w:rStyle w:val="InternetLink"/>
                  <w:rFonts w:ascii="Helvetica" w:hAnsi="Helvetica"/>
                  <w:b w:val="false"/>
                  <w:i w:val="false"/>
                  <w:caps w:val="false"/>
                  <w:smallCaps w:val="false"/>
                  <w:sz w:val="18"/>
                </w:rPr>
                <w:t xml:space="preserve">Notes to the Condensed Consolidated Financial Statements </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7</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2ManagementsDiscussionandAnalysis_36">
              <w:r>
                <w:rPr>
                  <w:rStyle w:val="InternetLink"/>
                  <w:rFonts w:ascii="Helvetica" w:hAnsi="Helvetica"/>
                  <w:b w:val="false"/>
                  <w:i w:val="false"/>
                  <w:caps w:val="false"/>
                  <w:smallCaps w:val="false"/>
                  <w:sz w:val="18"/>
                </w:rPr>
                <w:t>Item 2</w:t>
              </w:r>
            </w:hyperlink>
          </w:p>
        </w:tc>
        <w:tc>
          <w:tcPr>
            <w:tcW w:w="7351" w:type="dxa"/>
            <w:tcBorders/>
            <w:vAlign w:val="center"/>
          </w:tcPr>
          <w:p>
            <w:pPr>
              <w:pStyle w:val="TableContents"/>
              <w:bidi w:val="0"/>
              <w:spacing w:lineRule="auto" w:line="328" w:before="0" w:after="22"/>
              <w:ind w:left="0" w:right="0" w:hanging="0"/>
              <w:jc w:val="left"/>
              <w:rPr/>
            </w:pPr>
            <w:hyperlink w:anchor="Item2ManagementsDiscussionandAnalysis_36">
              <w:r>
                <w:rPr>
                  <w:rStyle w:val="InternetLink"/>
                  <w:rFonts w:ascii="Helvetica" w:hAnsi="Helvetica"/>
                  <w:b w:val="false"/>
                  <w:i w:val="false"/>
                  <w:caps w:val="false"/>
                  <w:smallCaps w:val="false"/>
                  <w:sz w:val="18"/>
                </w:rPr>
                <w:t>Management</w:t>
              </w:r>
            </w:hyperlink>
            <w:hyperlink w:anchor="Item2ManagementsDiscussionandAnalysis_36">
              <w:r>
                <w:rPr>
                  <w:rStyle w:val="InternetLink"/>
                  <w:rFonts w:ascii="Helvetica" w:hAnsi="Helvetica"/>
                  <w:caps w:val="false"/>
                  <w:smallCaps w:val="false"/>
                  <w:sz w:val="18"/>
                </w:rPr>
                <w:t>’</w:t>
              </w:r>
            </w:hyperlink>
            <w:hyperlink w:anchor="Item2ManagementsDiscussionandAnalysis_36">
              <w:r>
                <w:rPr>
                  <w:rStyle w:val="InternetLink"/>
                  <w:rFonts w:ascii="Helvetica" w:hAnsi="Helvetica"/>
                  <w:b w:val="false"/>
                  <w:i w:val="false"/>
                  <w:caps w:val="false"/>
                  <w:smallCaps w:val="false"/>
                  <w:sz w:val="18"/>
                </w:rPr>
                <w:t>s Discussion and Analysis of Financial Condition and Results of Operations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12</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3Quantitative_526205">
              <w:r>
                <w:rPr>
                  <w:rStyle w:val="InternetLink"/>
                  <w:rFonts w:ascii="Helvetica" w:hAnsi="Helvetica"/>
                  <w:b w:val="false"/>
                  <w:i w:val="false"/>
                  <w:caps w:val="false"/>
                  <w:smallCaps w:val="false"/>
                  <w:sz w:val="18"/>
                </w:rPr>
                <w:t>Item 3</w:t>
              </w:r>
            </w:hyperlink>
          </w:p>
        </w:tc>
        <w:tc>
          <w:tcPr>
            <w:tcW w:w="7351" w:type="dxa"/>
            <w:tcBorders/>
            <w:vAlign w:val="center"/>
          </w:tcPr>
          <w:p>
            <w:pPr>
              <w:pStyle w:val="TableContents"/>
              <w:bidi w:val="0"/>
              <w:spacing w:lineRule="auto" w:line="328" w:before="0" w:after="22"/>
              <w:ind w:left="0" w:right="0" w:hanging="0"/>
              <w:jc w:val="left"/>
              <w:rPr/>
            </w:pPr>
            <w:hyperlink w:anchor="Item3Quantitative_526205">
              <w:r>
                <w:rPr>
                  <w:rStyle w:val="InternetLink"/>
                  <w:rFonts w:ascii="Helvetica" w:hAnsi="Helvetica"/>
                  <w:b w:val="false"/>
                  <w:i w:val="false"/>
                  <w:caps w:val="false"/>
                  <w:smallCaps w:val="false"/>
                  <w:sz w:val="18"/>
                </w:rPr>
                <w:t>Quantitative and Qualitative Disclosures About Market Risk</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15</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4ControlsandProcedures_109413">
              <w:r>
                <w:rPr>
                  <w:rStyle w:val="InternetLink"/>
                  <w:rFonts w:ascii="Helvetica" w:hAnsi="Helvetica"/>
                  <w:b w:val="false"/>
                  <w:i w:val="false"/>
                  <w:caps w:val="false"/>
                  <w:smallCaps w:val="false"/>
                  <w:sz w:val="18"/>
                </w:rPr>
                <w:t>Item 4</w:t>
              </w:r>
            </w:hyperlink>
          </w:p>
        </w:tc>
        <w:tc>
          <w:tcPr>
            <w:tcW w:w="7351" w:type="dxa"/>
            <w:tcBorders/>
            <w:vAlign w:val="center"/>
          </w:tcPr>
          <w:p>
            <w:pPr>
              <w:pStyle w:val="TableContents"/>
              <w:bidi w:val="0"/>
              <w:spacing w:lineRule="auto" w:line="328" w:before="0" w:after="22"/>
              <w:ind w:left="0" w:right="0" w:hanging="0"/>
              <w:jc w:val="left"/>
              <w:rPr/>
            </w:pPr>
            <w:hyperlink w:anchor="Item4ControlsandProcedures_109413">
              <w:r>
                <w:rPr>
                  <w:rStyle w:val="InternetLink"/>
                  <w:rFonts w:ascii="Helvetica" w:hAnsi="Helvetica"/>
                  <w:b w:val="false"/>
                  <w:i w:val="false"/>
                  <w:caps w:val="false"/>
                  <w:smallCaps w:val="false"/>
                  <w:sz w:val="18"/>
                </w:rPr>
                <w:t>Controls and Procedures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15</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PARTIIOTHER_417392">
              <w:r>
                <w:rPr>
                  <w:rStyle w:val="InternetLink"/>
                  <w:rFonts w:ascii="Helvetica" w:hAnsi="Helvetica"/>
                  <w:b w:val="false"/>
                  <w:i w:val="false"/>
                  <w:caps w:val="false"/>
                  <w:smallCaps w:val="false"/>
                  <w:sz w:val="18"/>
                </w:rPr>
                <w:t>PART II</w:t>
              </w:r>
            </w:hyperlink>
          </w:p>
        </w:tc>
        <w:tc>
          <w:tcPr>
            <w:tcW w:w="7351" w:type="dxa"/>
            <w:tcBorders/>
            <w:vAlign w:val="center"/>
          </w:tcPr>
          <w:p>
            <w:pPr>
              <w:pStyle w:val="TableContents"/>
              <w:bidi w:val="0"/>
              <w:spacing w:lineRule="auto" w:line="328" w:before="0" w:after="22"/>
              <w:ind w:left="0" w:right="0" w:hanging="0"/>
              <w:jc w:val="left"/>
              <w:rPr/>
            </w:pPr>
            <w:hyperlink w:anchor="PARTIIOTHER_417392">
              <w:r>
                <w:rPr>
                  <w:rStyle w:val="InternetLink"/>
                  <w:rFonts w:ascii="Helvetica" w:hAnsi="Helvetica"/>
                  <w:b w:val="false"/>
                  <w:i w:val="false"/>
                  <w:caps w:val="false"/>
                  <w:smallCaps w:val="false"/>
                  <w:sz w:val="18"/>
                </w:rPr>
                <w:t>OTHER INFORMATION</w:t>
              </w:r>
            </w:hyperlink>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1LegalProceedings_534485">
              <w:r>
                <w:rPr>
                  <w:rStyle w:val="InternetLink"/>
                  <w:rFonts w:ascii="Helvetica" w:hAnsi="Helvetica"/>
                  <w:b w:val="false"/>
                  <w:i w:val="false"/>
                  <w:caps w:val="false"/>
                  <w:smallCaps w:val="false"/>
                  <w:sz w:val="18"/>
                </w:rPr>
                <w:t>Item 1</w:t>
              </w:r>
            </w:hyperlink>
          </w:p>
        </w:tc>
        <w:tc>
          <w:tcPr>
            <w:tcW w:w="7351" w:type="dxa"/>
            <w:tcBorders/>
            <w:vAlign w:val="center"/>
          </w:tcPr>
          <w:p>
            <w:pPr>
              <w:pStyle w:val="TableContents"/>
              <w:bidi w:val="0"/>
              <w:spacing w:lineRule="auto" w:line="328" w:before="0" w:after="22"/>
              <w:ind w:left="0" w:right="0" w:hanging="0"/>
              <w:jc w:val="left"/>
              <w:rPr/>
            </w:pPr>
            <w:hyperlink w:anchor="Item1LegalProceedings_534485">
              <w:r>
                <w:rPr>
                  <w:rStyle w:val="InternetLink"/>
                  <w:rFonts w:ascii="Helvetica" w:hAnsi="Helvetica"/>
                  <w:b w:val="false"/>
                  <w:i w:val="false"/>
                  <w:caps w:val="false"/>
                  <w:smallCaps w:val="false"/>
                  <w:sz w:val="18"/>
                </w:rPr>
                <w:t>Legal Proceedings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16</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1ARiskFactors_712442">
              <w:r>
                <w:rPr>
                  <w:rStyle w:val="InternetLink"/>
                  <w:rFonts w:ascii="Helvetica" w:hAnsi="Helvetica"/>
                  <w:b w:val="false"/>
                  <w:i w:val="false"/>
                  <w:caps w:val="false"/>
                  <w:smallCaps w:val="false"/>
                  <w:sz w:val="18"/>
                </w:rPr>
                <w:t>Item 1A</w:t>
              </w:r>
            </w:hyperlink>
          </w:p>
        </w:tc>
        <w:tc>
          <w:tcPr>
            <w:tcW w:w="7351" w:type="dxa"/>
            <w:tcBorders/>
            <w:vAlign w:val="center"/>
          </w:tcPr>
          <w:p>
            <w:pPr>
              <w:pStyle w:val="TableContents"/>
              <w:bidi w:val="0"/>
              <w:spacing w:lineRule="auto" w:line="328" w:before="0" w:after="22"/>
              <w:ind w:left="0" w:right="0" w:hanging="0"/>
              <w:jc w:val="left"/>
              <w:rPr/>
            </w:pPr>
            <w:hyperlink w:anchor="Item1ARiskFactors_712442">
              <w:r>
                <w:rPr>
                  <w:rStyle w:val="InternetLink"/>
                  <w:rFonts w:ascii="Helvetica" w:hAnsi="Helvetica"/>
                  <w:b w:val="false"/>
                  <w:i w:val="false"/>
                  <w:caps w:val="false"/>
                  <w:smallCaps w:val="false"/>
                  <w:sz w:val="18"/>
                </w:rPr>
                <w:t>Risk Factors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16</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2Unregistered_848127">
              <w:r>
                <w:rPr>
                  <w:rStyle w:val="InternetLink"/>
                  <w:rFonts w:ascii="Helvetica" w:hAnsi="Helvetica"/>
                  <w:b w:val="false"/>
                  <w:i w:val="false"/>
                  <w:caps w:val="false"/>
                  <w:smallCaps w:val="false"/>
                  <w:sz w:val="18"/>
                </w:rPr>
                <w:t>Item 2</w:t>
              </w:r>
            </w:hyperlink>
          </w:p>
        </w:tc>
        <w:tc>
          <w:tcPr>
            <w:tcW w:w="7351" w:type="dxa"/>
            <w:tcBorders/>
            <w:vAlign w:val="center"/>
          </w:tcPr>
          <w:p>
            <w:pPr>
              <w:pStyle w:val="TableContents"/>
              <w:bidi w:val="0"/>
              <w:spacing w:lineRule="auto" w:line="328" w:before="0" w:after="22"/>
              <w:ind w:left="0" w:right="0" w:hanging="0"/>
              <w:jc w:val="left"/>
              <w:rPr/>
            </w:pPr>
            <w:hyperlink w:anchor="Item2Unregistered_848127">
              <w:r>
                <w:rPr>
                  <w:rStyle w:val="InternetLink"/>
                  <w:rFonts w:ascii="Helvetica" w:hAnsi="Helvetica"/>
                  <w:b w:val="false"/>
                  <w:i w:val="false"/>
                  <w:caps w:val="false"/>
                  <w:smallCaps w:val="false"/>
                  <w:sz w:val="18"/>
                </w:rPr>
                <w:t>Unregistered Sales of Equity Securities and Use of Proceeds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16</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3DefaultsUponSeniorSecurities_256165">
              <w:r>
                <w:rPr>
                  <w:rStyle w:val="InternetLink"/>
                  <w:rFonts w:ascii="Helvetica" w:hAnsi="Helvetica"/>
                  <w:b w:val="false"/>
                  <w:i w:val="false"/>
                  <w:caps w:val="false"/>
                  <w:smallCaps w:val="false"/>
                  <w:sz w:val="18"/>
                </w:rPr>
                <w:t>Item 3</w:t>
              </w:r>
            </w:hyperlink>
          </w:p>
        </w:tc>
        <w:tc>
          <w:tcPr>
            <w:tcW w:w="7351" w:type="dxa"/>
            <w:tcBorders/>
            <w:vAlign w:val="center"/>
          </w:tcPr>
          <w:p>
            <w:pPr>
              <w:pStyle w:val="TableContents"/>
              <w:bidi w:val="0"/>
              <w:spacing w:lineRule="auto" w:line="328" w:before="0" w:after="22"/>
              <w:ind w:left="0" w:right="0" w:hanging="0"/>
              <w:jc w:val="left"/>
              <w:rPr/>
            </w:pPr>
            <w:hyperlink w:anchor="Item3DefaultsUponSeniorSecurities_256165">
              <w:r>
                <w:rPr>
                  <w:rStyle w:val="InternetLink"/>
                  <w:rFonts w:ascii="Helvetica" w:hAnsi="Helvetica"/>
                  <w:b w:val="false"/>
                  <w:i w:val="false"/>
                  <w:caps w:val="false"/>
                  <w:smallCaps w:val="false"/>
                  <w:sz w:val="18"/>
                </w:rPr>
                <w:t>Defaults Upon Senior Securities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16</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4MineSafetyDisclosures_796715">
              <w:r>
                <w:rPr>
                  <w:rStyle w:val="InternetLink"/>
                  <w:rFonts w:ascii="Helvetica" w:hAnsi="Helvetica"/>
                  <w:b w:val="false"/>
                  <w:i w:val="false"/>
                  <w:caps w:val="false"/>
                  <w:smallCaps w:val="false"/>
                  <w:sz w:val="18"/>
                </w:rPr>
                <w:t>Item 4</w:t>
              </w:r>
            </w:hyperlink>
          </w:p>
        </w:tc>
        <w:tc>
          <w:tcPr>
            <w:tcW w:w="7351" w:type="dxa"/>
            <w:tcBorders/>
            <w:vAlign w:val="center"/>
          </w:tcPr>
          <w:p>
            <w:pPr>
              <w:pStyle w:val="TableContents"/>
              <w:bidi w:val="0"/>
              <w:spacing w:lineRule="auto" w:line="328" w:before="0" w:after="22"/>
              <w:ind w:left="0" w:right="0" w:hanging="0"/>
              <w:jc w:val="left"/>
              <w:rPr/>
            </w:pPr>
            <w:hyperlink w:anchor="Item4MineSafetyDisclosures_796715">
              <w:r>
                <w:rPr>
                  <w:rStyle w:val="InternetLink"/>
                  <w:rFonts w:ascii="Helvetica" w:hAnsi="Helvetica"/>
                  <w:b w:val="false"/>
                  <w:i w:val="false"/>
                  <w:caps w:val="false"/>
                  <w:smallCaps w:val="false"/>
                  <w:sz w:val="18"/>
                </w:rPr>
                <w:t>Mine Safety Disclosures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16</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5OtherInformation_995576">
              <w:r>
                <w:rPr>
                  <w:rStyle w:val="InternetLink"/>
                  <w:rFonts w:ascii="Helvetica" w:hAnsi="Helvetica"/>
                  <w:b w:val="false"/>
                  <w:i w:val="false"/>
                  <w:caps w:val="false"/>
                  <w:smallCaps w:val="false"/>
                  <w:sz w:val="18"/>
                </w:rPr>
                <w:t>Item 5</w:t>
              </w:r>
            </w:hyperlink>
          </w:p>
        </w:tc>
        <w:tc>
          <w:tcPr>
            <w:tcW w:w="7351" w:type="dxa"/>
            <w:tcBorders/>
            <w:vAlign w:val="center"/>
          </w:tcPr>
          <w:p>
            <w:pPr>
              <w:pStyle w:val="TableContents"/>
              <w:bidi w:val="0"/>
              <w:spacing w:lineRule="auto" w:line="328" w:before="0" w:after="22"/>
              <w:ind w:left="0" w:right="0" w:hanging="0"/>
              <w:jc w:val="left"/>
              <w:rPr/>
            </w:pPr>
            <w:hyperlink w:anchor="Item5OtherInformation_995576">
              <w:r>
                <w:rPr>
                  <w:rStyle w:val="InternetLink"/>
                  <w:rFonts w:ascii="Helvetica" w:hAnsi="Helvetica"/>
                  <w:b w:val="false"/>
                  <w:i w:val="false"/>
                  <w:caps w:val="false"/>
                  <w:smallCaps w:val="false"/>
                  <w:sz w:val="18"/>
                </w:rPr>
                <w:t>Other Information</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17</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pBdr/>
              <w:bidi w:val="0"/>
              <w:spacing w:lineRule="auto" w:line="328" w:before="0" w:after="22"/>
              <w:ind w:left="0" w:right="0" w:hanging="0"/>
              <w:jc w:val="left"/>
              <w:rPr/>
            </w:pPr>
            <w:hyperlink w:anchor="Item6Exhibits_688103">
              <w:r>
                <w:rPr>
                  <w:rStyle w:val="InternetLink"/>
                  <w:rFonts w:ascii="Helvetica" w:hAnsi="Helvetica"/>
                  <w:b w:val="false"/>
                  <w:i w:val="false"/>
                  <w:caps w:val="false"/>
                  <w:smallCaps w:val="false"/>
                  <w:sz w:val="18"/>
                </w:rPr>
                <w:t>Item 6</w:t>
              </w:r>
            </w:hyperlink>
          </w:p>
        </w:tc>
        <w:tc>
          <w:tcPr>
            <w:tcW w:w="7351" w:type="dxa"/>
            <w:tcBorders/>
            <w:vAlign w:val="center"/>
          </w:tcPr>
          <w:p>
            <w:pPr>
              <w:pStyle w:val="TableContents"/>
              <w:bidi w:val="0"/>
              <w:spacing w:lineRule="auto" w:line="328" w:before="0" w:after="22"/>
              <w:ind w:left="0" w:right="0" w:hanging="0"/>
              <w:jc w:val="left"/>
              <w:rPr/>
            </w:pPr>
            <w:hyperlink w:anchor="Item6Exhibits_688103">
              <w:r>
                <w:rPr>
                  <w:rStyle w:val="InternetLink"/>
                  <w:rFonts w:ascii="Helvetica" w:hAnsi="Helvetica"/>
                  <w:b w:val="false"/>
                  <w:i w:val="false"/>
                  <w:caps w:val="false"/>
                  <w:smallCaps w:val="false"/>
                  <w:sz w:val="18"/>
                </w:rPr>
                <w:t>Exhibits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18</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r>
              <w:rPr/>
              <w:t>​</w:t>
            </w:r>
          </w:p>
        </w:tc>
        <w:tc>
          <w:tcPr>
            <w:tcW w:w="961" w:type="dxa"/>
            <w:tcBorders/>
            <w:vAlign w:val="center"/>
          </w:tcPr>
          <w:p>
            <w:pPr>
              <w:pStyle w:val="TableContents"/>
              <w:bidi w:val="0"/>
              <w:spacing w:lineRule="auto" w:line="328" w:before="0" w:after="22"/>
              <w:ind w:left="0" w:right="0" w:hanging="0"/>
              <w:jc w:val="right"/>
              <w:rPr/>
            </w:pPr>
            <w:r>
              <w:rPr/>
              <w:t>​</w:t>
            </w:r>
          </w:p>
        </w:tc>
      </w:tr>
      <w:tr>
        <w:trPr/>
        <w:tc>
          <w:tcPr>
            <w:tcW w:w="736" w:type="dxa"/>
            <w:tcBorders/>
            <w:vAlign w:val="center"/>
          </w:tcPr>
          <w:p>
            <w:pPr>
              <w:pStyle w:val="TableContents"/>
              <w:bidi w:val="0"/>
              <w:spacing w:lineRule="auto" w:line="328" w:before="0" w:after="22"/>
              <w:ind w:left="0" w:right="0" w:hanging="0"/>
              <w:jc w:val="left"/>
              <w:rPr/>
            </w:pPr>
            <w:r>
              <w:rPr/>
              <w:t>​</w:t>
            </w:r>
          </w:p>
        </w:tc>
        <w:tc>
          <w:tcPr>
            <w:tcW w:w="7351" w:type="dxa"/>
            <w:tcBorders/>
            <w:vAlign w:val="center"/>
          </w:tcPr>
          <w:p>
            <w:pPr>
              <w:pStyle w:val="TableContents"/>
              <w:bidi w:val="0"/>
              <w:spacing w:lineRule="auto" w:line="328" w:before="0" w:after="22"/>
              <w:ind w:left="0" w:right="0" w:hanging="0"/>
              <w:jc w:val="left"/>
              <w:rPr/>
            </w:pPr>
            <w:hyperlink w:anchor="SIGNATURES_26064">
              <w:r>
                <w:rPr>
                  <w:rStyle w:val="InternetLink"/>
                  <w:rFonts w:ascii="Helvetica" w:hAnsi="Helvetica"/>
                  <w:b w:val="false"/>
                  <w:i w:val="false"/>
                  <w:caps w:val="false"/>
                  <w:smallCaps w:val="false"/>
                  <w:sz w:val="18"/>
                </w:rPr>
                <w:t>SIGNATURES</w:t>
              </w:r>
            </w:hyperlink>
          </w:p>
        </w:tc>
        <w:tc>
          <w:tcPr>
            <w:tcW w:w="961" w:type="dxa"/>
            <w:tcBorders/>
            <w:vAlign w:val="center"/>
          </w:tcPr>
          <w:p>
            <w:pPr>
              <w:pStyle w:val="TableContents"/>
              <w:bidi w:val="0"/>
              <w:spacing w:lineRule="auto" w:line="328" w:before="0" w:after="22"/>
              <w:ind w:left="0" w:right="0" w:hanging="0"/>
              <w:jc w:val="right"/>
              <w:rPr>
                <w:rFonts w:ascii="Helvetica" w:hAnsi="Helvetica"/>
                <w:sz w:val="18"/>
              </w:rPr>
            </w:pPr>
            <w:r>
              <w:rPr>
                <w:rFonts w:ascii="Helvetica" w:hAnsi="Helvetica"/>
                <w:sz w:val="18"/>
              </w:rPr>
              <w:t>19</w:t>
            </w:r>
          </w:p>
        </w:tc>
      </w:tr>
    </w:tbl>
    <w:p>
      <w:pPr>
        <w:pStyle w:val="TextBody"/>
        <w:bidi w:val="0"/>
        <w:spacing w:before="0" w:after="22"/>
        <w:ind w:left="0" w:right="0" w:hanging="0"/>
        <w:jc w:val="left"/>
        <w:rPr/>
      </w:pPr>
      <w:r>
        <w:rPr/>
        <w:t>​</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b/>
          <w:sz w:val="18"/>
        </w:rPr>
      </w:pPr>
      <w:bookmarkStart w:id="39" w:name="PARTIFINANCIALINFORMATION_451939"/>
      <w:bookmarkStart w:id="40" w:name="_dfe9cf6f_e880_4314_a150_4d21d919d0da"/>
      <w:bookmarkEnd w:id="39"/>
      <w:bookmarkEnd w:id="40"/>
      <w:r>
        <w:rPr>
          <w:rFonts w:ascii="Helvetica" w:hAnsi="Helvetica"/>
          <w:b/>
          <w:sz w:val="18"/>
        </w:rPr>
        <w:t>PART I - FINANCIAL INFORMATION</w:t>
      </w:r>
    </w:p>
    <w:p>
      <w:pPr>
        <w:pStyle w:val="TextBody"/>
        <w:bidi w:val="0"/>
        <w:spacing w:before="0" w:after="22"/>
        <w:ind w:left="0" w:right="0" w:hanging="0"/>
        <w:jc w:val="center"/>
        <w:rPr/>
      </w:pPr>
      <w:r>
        <w:rPr/>
        <w:t>​</w:t>
      </w:r>
    </w:p>
    <w:p>
      <w:pPr>
        <w:pStyle w:val="TextBody"/>
        <w:bidi w:val="0"/>
        <w:spacing w:before="0" w:after="22"/>
        <w:ind w:left="0" w:right="0" w:hanging="0"/>
        <w:jc w:val="left"/>
        <w:rPr>
          <w:rFonts w:ascii="Helvetica" w:hAnsi="Helvetica"/>
          <w:b/>
          <w:sz w:val="18"/>
        </w:rPr>
      </w:pPr>
      <w:bookmarkStart w:id="41" w:name="Item1FinancialStatements_412105"/>
      <w:bookmarkEnd w:id="41"/>
      <w:r>
        <w:rPr>
          <w:rFonts w:ascii="Helvetica" w:hAnsi="Helvetica"/>
          <w:b/>
          <w:sz w:val="18"/>
        </w:rPr>
        <w:t>Item 1. Financial Statements.</w:t>
      </w:r>
    </w:p>
    <w:p>
      <w:pPr>
        <w:pStyle w:val="TextBody"/>
        <w:bidi w:val="0"/>
        <w:spacing w:before="0" w:after="22"/>
        <w:ind w:left="0" w:right="0" w:hanging="0"/>
        <w:jc w:val="center"/>
        <w:rPr>
          <w:rFonts w:ascii="Helvetica" w:hAnsi="Helvetica"/>
          <w:b/>
          <w:sz w:val="18"/>
        </w:rPr>
      </w:pPr>
      <w:r>
        <w:rPr>
          <w:rFonts w:ascii="Helvetica" w:hAnsi="Helvetica"/>
          <w:b/>
          <w:sz w:val="18"/>
        </w:rPr>
        <w:t>Citi Trends, Inc.</w:t>
      </w:r>
    </w:p>
    <w:p>
      <w:pPr>
        <w:pStyle w:val="TextBody"/>
        <w:bidi w:val="0"/>
        <w:spacing w:before="0" w:after="22"/>
        <w:ind w:left="0" w:right="0" w:hanging="0"/>
        <w:jc w:val="center"/>
        <w:rPr>
          <w:rFonts w:ascii="Helvetica" w:hAnsi="Helvetica"/>
          <w:b/>
          <w:sz w:val="18"/>
        </w:rPr>
      </w:pPr>
      <w:bookmarkStart w:id="42" w:name="BalanceSheets_323752"/>
      <w:bookmarkEnd w:id="42"/>
      <w:r>
        <w:rPr>
          <w:rFonts w:ascii="Helvetica" w:hAnsi="Helvetica"/>
          <w:b/>
          <w:sz w:val="18"/>
        </w:rPr>
        <w:t>Condensed Consolidated Balance Sheets</w:t>
      </w:r>
    </w:p>
    <w:p>
      <w:pPr>
        <w:pStyle w:val="TextBody"/>
        <w:bidi w:val="0"/>
        <w:spacing w:before="0" w:after="22"/>
        <w:ind w:left="0" w:right="0" w:hanging="0"/>
        <w:jc w:val="center"/>
        <w:rPr>
          <w:rFonts w:ascii="Helvetica" w:hAnsi="Helvetica"/>
          <w:b/>
          <w:sz w:val="18"/>
        </w:rPr>
      </w:pPr>
      <w:r>
        <w:rPr>
          <w:rFonts w:ascii="Helvetica" w:hAnsi="Helvetica"/>
          <w:b/>
          <w:sz w:val="18"/>
        </w:rPr>
        <w:t>(Unaudited)</w:t>
      </w:r>
    </w:p>
    <w:p>
      <w:pPr>
        <w:pStyle w:val="TextBody"/>
        <w:bidi w:val="0"/>
        <w:spacing w:before="0" w:after="22"/>
        <w:ind w:left="0" w:right="0" w:hanging="0"/>
        <w:jc w:val="center"/>
        <w:rPr>
          <w:rFonts w:ascii="Helvetica" w:hAnsi="Helvetica"/>
          <w:b/>
          <w:sz w:val="18"/>
        </w:rPr>
      </w:pPr>
      <w:r>
        <w:rPr>
          <w:rFonts w:ascii="Helvetica" w:hAnsi="Helvetica"/>
          <w:b/>
          <w:sz w:val="18"/>
        </w:rPr>
        <w:t>(in thousands, except share data)</w:t>
      </w:r>
    </w:p>
    <w:p>
      <w:pPr>
        <w:pStyle w:val="TextBody"/>
        <w:bidi w:val="0"/>
        <w:spacing w:before="0" w:after="22"/>
        <w:ind w:left="0" w:right="0" w:hanging="0"/>
        <w:jc w:val="center"/>
        <w:rPr/>
      </w:pPr>
      <w:r>
        <w:rPr/>
        <w:t>​</w:t>
      </w:r>
    </w:p>
    <w:p>
      <w:pPr>
        <w:pStyle w:val="Normal"/>
        <w:bidi w:val="0"/>
        <w:spacing w:before="0" w:after="0"/>
        <w:jc w:val="left"/>
        <w:rPr>
          <w:sz w:val="4"/>
          <w:szCs w:val="4"/>
        </w:rPr>
      </w:pPr>
      <w:r>
        <w:rPr>
          <w:sz w:val="4"/>
          <w:szCs w:val="4"/>
        </w:rPr>
      </w:r>
      <w:bookmarkStart w:id="43" w:name="Tc_hbPyDSfba0On6TJIiQJO7g_37_5"/>
      <w:bookmarkStart w:id="44" w:name="Tc_97sCjUMOrEmZqJuVGcu29w_37_2"/>
      <w:bookmarkStart w:id="45" w:name="Tc_W6XB5XZSI0WSySd6evZakA_37_0"/>
      <w:bookmarkStart w:id="46" w:name="Tc_cmRG1Ndcz0C99bGhd4Ox4w_36_0"/>
      <w:bookmarkStart w:id="47" w:name="Tc_hWcManDOw0akBwabL4uubQ_34_0"/>
      <w:bookmarkStart w:id="48" w:name="Tc_Sn1fxl4Xw06V01cNIW0NSA_33_0"/>
      <w:bookmarkStart w:id="49" w:name="Tc_a_wuq2veUkGan9blGJcHug_32_0"/>
      <w:bookmarkStart w:id="50" w:name="Tc_shox2tFtpEOSXsEQ_rhP6w_31_0"/>
      <w:bookmarkStart w:id="51" w:name="Tc_Yzc_CoabUUatPpGay3_jSQ_30_0"/>
      <w:bookmarkStart w:id="52" w:name="Tc_nQAtvBGzC0-UXi_OywvwrQ_29_0"/>
      <w:bookmarkStart w:id="53" w:name="Tc_dQMAgCkO8ke3HlCxuFKvqA_27_0"/>
      <w:bookmarkStart w:id="54" w:name="Tc_cE_ZGboGo061fYyFA96pOQ_26_0"/>
      <w:bookmarkStart w:id="55" w:name="Tc_Ap9Fxty9nEyWSJ0_46Pa-Q_25_0"/>
      <w:bookmarkStart w:id="56" w:name="Tc_J0QsIgKrMUW-dTHxKPB7hw_24_0"/>
      <w:bookmarkStart w:id="57" w:name="Tc_uAAwvvSTH0ma8Dd9n8tLjQ_23_0"/>
      <w:bookmarkStart w:id="58" w:name="Tc_ddeBqkdGO0qy714aLHbXmw_22_0"/>
      <w:bookmarkStart w:id="59" w:name="Tc_xfb3__DUNECWD2MFcekr7Q_21_0"/>
      <w:bookmarkStart w:id="60" w:name="Tc_2R9btb431kaOTRScNgV_cg_20_0"/>
      <w:bookmarkStart w:id="61" w:name="Tc_B1akfSe7r0exCUSmKPo_cA_19_0"/>
      <w:bookmarkStart w:id="62" w:name="Tc__XLy47fT5UGx6K4lVKpnYw_18_5"/>
      <w:bookmarkStart w:id="63" w:name="Tc_T5CiW_hh8k2pCoTqhLLbfA_18_2"/>
      <w:bookmarkStart w:id="64" w:name="Tc_B4j0xKoI5ECN4qgjui843A_18_0"/>
      <w:bookmarkStart w:id="65" w:name="Tc_gbGYIxjYok-ATayTzbBTBg_17_0"/>
      <w:bookmarkStart w:id="66" w:name="Tc_lb_gtMl5okqrbhQ9eeBEAw_16_0"/>
      <w:bookmarkStart w:id="67" w:name="Tc_5MWU47roFkuSXmtK9vUBnQ_14_5"/>
      <w:bookmarkStart w:id="68" w:name="Tc_vnaEqSpD90e7IYPqe1U0qA_14_2"/>
      <w:bookmarkStart w:id="69" w:name="Tc_xVkb74h_70iTKOmpQEiTgA_14_0"/>
      <w:bookmarkStart w:id="70" w:name="Tc_9YtnoaIMs0K_5h-Ns_1aBg_13_0"/>
      <w:bookmarkStart w:id="71" w:name="Tc_Kv5-fI9gEEKbRL3mDjeckA_12_0"/>
      <w:bookmarkStart w:id="72" w:name="Tc_XO4roKQOdEiCClR7MFOhbw_11_0"/>
      <w:bookmarkStart w:id="73" w:name="Tc_j3z9KUUaQkWnnkRk6woU5w_10_0"/>
      <w:bookmarkStart w:id="74" w:name="Tc_QR21iHfil0SoOb2bJ2XqtA_9_6"/>
      <w:bookmarkStart w:id="75" w:name="Tc_L8a_iPbAi0uTQbc222Wt4g_9_0"/>
      <w:bookmarkStart w:id="76" w:name="Tc_BPcX-glVZUCfYin1B0WrTw_8_0"/>
      <w:bookmarkStart w:id="77" w:name="Tc_NxFN1KPYREeYS1ReX8ohBQ_7_0"/>
      <w:bookmarkStart w:id="78" w:name="Tc_QBOQ9LyvWUmGB3LjhmAEyA_6_0"/>
      <w:bookmarkStart w:id="79" w:name="Tc_PutNiHpVdUitSB4shmV9rw_5_5"/>
      <w:bookmarkStart w:id="80" w:name="Tc_q10I_TboAEuhHK9Hl_63Wg_5_2"/>
      <w:bookmarkStart w:id="81" w:name="Tc_IqKtqwpOJkK6BcNY_KhEwQ_5_0"/>
      <w:bookmarkStart w:id="82" w:name="Tc_svG6MmgOhUG5Y5SI3GS5Hw_4_0"/>
      <w:bookmarkStart w:id="83" w:name="Tc_qcSrttOI4US0d8aORKZ6WA_3_0"/>
      <w:bookmarkStart w:id="84" w:name="Tc_JC5OTqusfUS3mEizrEIZcA_2_5"/>
      <w:bookmarkStart w:id="85" w:name="Tc_6IVB1mQVeUes8IvEfoBz8A_2_2"/>
      <w:bookmarkStart w:id="86" w:name="Tc_e8GPbKlbKkOyR4EhM17kmw_1_5"/>
      <w:bookmarkStart w:id="87" w:name="Tc_OAum4GZ1b0-5CH9hJO4mcQ_1_2"/>
      <w:bookmarkStart w:id="88" w:name="_6b77fca0_6892_4a62_9b54_bacc08a3e5e7"/>
      <w:bookmarkStart w:id="89" w:name="Tc_hbPyDSfba0On6TJIiQJO7g_37_5"/>
      <w:bookmarkStart w:id="90" w:name="Tc_97sCjUMOrEmZqJuVGcu29w_37_2"/>
      <w:bookmarkStart w:id="91" w:name="Tc_W6XB5XZSI0WSySd6evZakA_37_0"/>
      <w:bookmarkStart w:id="92" w:name="Tc_cmRG1Ndcz0C99bGhd4Ox4w_36_0"/>
      <w:bookmarkStart w:id="93" w:name="Tc_hWcManDOw0akBwabL4uubQ_34_0"/>
      <w:bookmarkStart w:id="94" w:name="Tc_Sn1fxl4Xw06V01cNIW0NSA_33_0"/>
      <w:bookmarkStart w:id="95" w:name="Tc_a_wuq2veUkGan9blGJcHug_32_0"/>
      <w:bookmarkStart w:id="96" w:name="Tc_shox2tFtpEOSXsEQ_rhP6w_31_0"/>
      <w:bookmarkStart w:id="97" w:name="Tc_Yzc_CoabUUatPpGay3_jSQ_30_0"/>
      <w:bookmarkStart w:id="98" w:name="Tc_nQAtvBGzC0-UXi_OywvwrQ_29_0"/>
      <w:bookmarkStart w:id="99" w:name="Tc_dQMAgCkO8ke3HlCxuFKvqA_27_0"/>
      <w:bookmarkStart w:id="100" w:name="Tc_cE_ZGboGo061fYyFA96pOQ_26_0"/>
      <w:bookmarkStart w:id="101" w:name="Tc_Ap9Fxty9nEyWSJ0_46Pa-Q_25_0"/>
      <w:bookmarkStart w:id="102" w:name="Tc_J0QsIgKrMUW-dTHxKPB7hw_24_0"/>
      <w:bookmarkStart w:id="103" w:name="Tc_uAAwvvSTH0ma8Dd9n8tLjQ_23_0"/>
      <w:bookmarkStart w:id="104" w:name="Tc_ddeBqkdGO0qy714aLHbXmw_22_0"/>
      <w:bookmarkStart w:id="105" w:name="Tc_xfb3__DUNECWD2MFcekr7Q_21_0"/>
      <w:bookmarkStart w:id="106" w:name="Tc_2R9btb431kaOTRScNgV_cg_20_0"/>
      <w:bookmarkStart w:id="107" w:name="Tc_B1akfSe7r0exCUSmKPo_cA_19_0"/>
      <w:bookmarkStart w:id="108" w:name="Tc__XLy47fT5UGx6K4lVKpnYw_18_5"/>
      <w:bookmarkStart w:id="109" w:name="Tc_T5CiW_hh8k2pCoTqhLLbfA_18_2"/>
      <w:bookmarkStart w:id="110" w:name="Tc_B4j0xKoI5ECN4qgjui843A_18_0"/>
      <w:bookmarkStart w:id="111" w:name="Tc_gbGYIxjYok-ATayTzbBTBg_17_0"/>
      <w:bookmarkStart w:id="112" w:name="Tc_lb_gtMl5okqrbhQ9eeBEAw_16_0"/>
      <w:bookmarkStart w:id="113" w:name="Tc_5MWU47roFkuSXmtK9vUBnQ_14_5"/>
      <w:bookmarkStart w:id="114" w:name="Tc_vnaEqSpD90e7IYPqe1U0qA_14_2"/>
      <w:bookmarkStart w:id="115" w:name="Tc_xVkb74h_70iTKOmpQEiTgA_14_0"/>
      <w:bookmarkStart w:id="116" w:name="Tc_9YtnoaIMs0K_5h-Ns_1aBg_13_0"/>
      <w:bookmarkStart w:id="117" w:name="Tc_Kv5-fI9gEEKbRL3mDjeckA_12_0"/>
      <w:bookmarkStart w:id="118" w:name="Tc_XO4roKQOdEiCClR7MFOhbw_11_0"/>
      <w:bookmarkStart w:id="119" w:name="Tc_j3z9KUUaQkWnnkRk6woU5w_10_0"/>
      <w:bookmarkStart w:id="120" w:name="Tc_QR21iHfil0SoOb2bJ2XqtA_9_6"/>
      <w:bookmarkStart w:id="121" w:name="Tc_L8a_iPbAi0uTQbc222Wt4g_9_0"/>
      <w:bookmarkStart w:id="122" w:name="Tc_BPcX-glVZUCfYin1B0WrTw_8_0"/>
      <w:bookmarkStart w:id="123" w:name="Tc_NxFN1KPYREeYS1ReX8ohBQ_7_0"/>
      <w:bookmarkStart w:id="124" w:name="Tc_QBOQ9LyvWUmGB3LjhmAEyA_6_0"/>
      <w:bookmarkStart w:id="125" w:name="Tc_PutNiHpVdUitSB4shmV9rw_5_5"/>
      <w:bookmarkStart w:id="126" w:name="Tc_q10I_TboAEuhHK9Hl_63Wg_5_2"/>
      <w:bookmarkStart w:id="127" w:name="Tc_IqKtqwpOJkK6BcNY_KhEwQ_5_0"/>
      <w:bookmarkStart w:id="128" w:name="Tc_svG6MmgOhUG5Y5SI3GS5Hw_4_0"/>
      <w:bookmarkStart w:id="129" w:name="Tc_qcSrttOI4US0d8aORKZ6WA_3_0"/>
      <w:bookmarkStart w:id="130" w:name="Tc_JC5OTqusfUS3mEizrEIZcA_2_5"/>
      <w:bookmarkStart w:id="131" w:name="Tc_6IVB1mQVeUes8IvEfoBz8A_2_2"/>
      <w:bookmarkStart w:id="132" w:name="Tc_e8GPbKlbKkOyR4EhM17kmw_1_5"/>
      <w:bookmarkStart w:id="133" w:name="Tc_OAum4GZ1b0-5CH9hJO4mcQ_1_2"/>
      <w:bookmarkStart w:id="134" w:name="_6b77fca0_6892_4a62_9b54_bacc08a3e5e7"/>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tbl>
      <w:tblPr>
        <w:tblW w:w="10205" w:type="dxa"/>
        <w:jc w:val="left"/>
        <w:tblInd w:w="0" w:type="dxa"/>
        <w:tblLayout w:type="fixed"/>
        <w:tblCellMar>
          <w:top w:w="0" w:type="dxa"/>
          <w:left w:w="0" w:type="dxa"/>
          <w:bottom w:w="0" w:type="dxa"/>
          <w:right w:w="0" w:type="dxa"/>
        </w:tblCellMar>
      </w:tblPr>
      <w:tblGrid>
        <w:gridCol w:w="6899"/>
        <w:gridCol w:w="326"/>
        <w:gridCol w:w="211"/>
        <w:gridCol w:w="857"/>
        <w:gridCol w:w="326"/>
        <w:gridCol w:w="211"/>
        <w:gridCol w:w="857"/>
        <w:gridCol w:w="326"/>
        <w:gridCol w:w="192"/>
      </w:tblGrid>
      <w:tr>
        <w:trPr/>
        <w:tc>
          <w:tcPr>
            <w:tcW w:w="6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80865" cy="175260"/>
                      <wp:effectExtent l="0" t="0" r="0" b="0"/>
                      <wp:wrapNone/>
                      <wp:docPr id="4" name="Frame4"/>
                      <a:graphic xmlns:a="http://schemas.openxmlformats.org/drawingml/2006/main">
                        <a:graphicData uri="http://schemas.microsoft.com/office/word/2010/wordprocessingShape">
                          <wps:wsp>
                            <wps:cNvSpPr txBox="1"/>
                            <wps:spPr>
                              <a:xfrm>
                                <a:off x="0" y="0"/>
                                <a:ext cx="438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44195" cy="175260"/>
                      <wp:effectExtent l="0" t="0" r="0" b="0"/>
                      <wp:wrapNone/>
                      <wp:docPr id="7" name="Frame7"/>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44195" cy="175260"/>
                      <wp:effectExtent l="0" t="0" r="0" b="0"/>
                      <wp:wrapNone/>
                      <wp:docPr id="10" name="Frame10"/>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1920" cy="175260"/>
                      <wp:effectExtent l="0" t="0" r="0" b="0"/>
                      <wp:wrapNone/>
                      <wp:docPr id="12" name="Frame12"/>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w:t>
            </w:r>
          </w:p>
        </w:tc>
        <w:tc>
          <w:tcPr>
            <w:tcW w:w="32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February 1,</w:t>
            </w:r>
          </w:p>
        </w:tc>
        <w:tc>
          <w:tcPr>
            <w:tcW w:w="32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68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2025</w:t>
            </w:r>
          </w:p>
        </w:tc>
        <w:tc>
          <w:tcPr>
            <w:tcW w:w="326" w:type="dxa"/>
            <w:tcBorders/>
            <w:vAlign w:val="center"/>
          </w:tcPr>
          <w:p>
            <w:pPr>
              <w:pStyle w:val="TableContents"/>
              <w:bidi w:val="0"/>
              <w:spacing w:before="0" w:after="0"/>
              <w:ind w:left="0" w:right="0" w:hanging="0"/>
              <w:jc w:val="left"/>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2025</w:t>
            </w:r>
          </w:p>
        </w:tc>
        <w:tc>
          <w:tcPr>
            <w:tcW w:w="32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6899" w:type="dxa"/>
            <w:tcBorders/>
            <w:shd w:fill="CCEEFF" w:val="clear"/>
            <w:vAlign w:val="center"/>
          </w:tcPr>
          <w:p>
            <w:pPr>
              <w:pStyle w:val="TableContents"/>
              <w:bidi w:val="0"/>
              <w:spacing w:before="0" w:after="0"/>
              <w:ind w:left="0" w:right="0" w:hanging="0"/>
              <w:jc w:val="center"/>
              <w:rPr>
                <w:rFonts w:ascii="Helvetica" w:hAnsi="Helvetica"/>
                <w:b/>
                <w:sz w:val="19"/>
              </w:rPr>
            </w:pPr>
            <w:r>
              <w:rPr>
                <w:rFonts w:ascii="Helvetica" w:hAnsi="Helvetica"/>
                <w:b/>
                <w:sz w:val="19"/>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41,556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61,085</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109,931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122,640</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Prepaid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13,752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10,216</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3,119</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Assets held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168,603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197,060</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Property and equipment, net of accumulated depreciation of $293,473</w:t>
            </w:r>
            <w:r>
              <w:rPr>
                <w:rFonts w:ascii="Times New Roman;Times;serif" w:hAnsi="Times New Roman;Times;serif"/>
                <w:sz w:val="18"/>
              </w:rPr>
              <w:t xml:space="preserve"> </w:t>
            </w:r>
            <w:r>
              <w:rPr>
                <w:rFonts w:ascii="Helvetica" w:hAnsi="Helvetica"/>
                <w:sz w:val="18"/>
              </w:rPr>
              <w:t>and $297,396</w:t>
            </w:r>
            <w:r>
              <w:rPr>
                <w:rFonts w:ascii="Times New Roman;Times;serif" w:hAnsi="Times New Roman;Times;serif"/>
                <w:sz w:val="18"/>
              </w:rPr>
              <w:t xml:space="preserve"> </w:t>
            </w:r>
            <w:r>
              <w:rPr>
                <w:rFonts w:ascii="Helvetica" w:hAnsi="Helvetica"/>
                <w:sz w:val="18"/>
              </w:rPr>
              <w:t>as of May 3, 2025 and February 1, 2025,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49,146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50,715</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218,360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214,148</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846</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437,408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462,769</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Helvetica" w:hAnsi="Helvetica"/>
                <w:b/>
                <w:sz w:val="18"/>
              </w:rPr>
              <w:t>Liabilities and Stockholders</w:t>
            </w:r>
            <w:r>
              <w:rPr>
                <w:rFonts w:ascii="Times New Roman;Times;serif" w:hAnsi="Times New Roman;Times;serif"/>
                <w:sz w:val="18"/>
              </w:rPr>
              <w:t xml:space="preserve">’ </w:t>
            </w:r>
            <w:r>
              <w:rPr>
                <w:rFonts w:ascii="Helvetica" w:hAnsi="Helvetica"/>
                <w:b/>
                <w:sz w:val="18"/>
              </w:rPr>
              <w:t>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80,919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102,456</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44,592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47,724</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14,315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16,647</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7,176</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Layaway deposits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908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388</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150,472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174,391</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Noncurrent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175,797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172,675</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Deferred Tax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2,438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2,385</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328,849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349,593</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Stockholders</w:t>
            </w:r>
            <w:r>
              <w:rPr>
                <w:rFonts w:ascii="Times New Roman;Times;serif" w:hAnsi="Times New Roman;Times;serif"/>
                <w:sz w:val="18"/>
              </w:rPr>
              <w:t xml:space="preserve">’ </w:t>
            </w:r>
            <w:r>
              <w:rPr>
                <w:rFonts w:ascii="Helvetica" w:hAnsi="Helvetica"/>
                <w:sz w:val="18"/>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Common stock, $0.01</w:t>
            </w:r>
            <w:r>
              <w:rPr>
                <w:rFonts w:ascii="Times New Roman;Times;serif" w:hAnsi="Times New Roman;Times;serif"/>
                <w:sz w:val="18"/>
              </w:rPr>
              <w:t xml:space="preserve"> </w:t>
            </w:r>
            <w:r>
              <w:rPr>
                <w:rFonts w:ascii="Helvetica" w:hAnsi="Helvetica"/>
                <w:sz w:val="18"/>
              </w:rPr>
              <w:t>par value. Authorized 32,000,000</w:t>
            </w:r>
            <w:r>
              <w:rPr>
                <w:rFonts w:ascii="Times New Roman;Times;serif" w:hAnsi="Times New Roman;Times;serif"/>
                <w:sz w:val="18"/>
              </w:rPr>
              <w:t xml:space="preserve"> </w:t>
            </w:r>
            <w:r>
              <w:rPr>
                <w:rFonts w:ascii="Helvetica" w:hAnsi="Helvetica"/>
                <w:sz w:val="18"/>
              </w:rPr>
              <w:t>shares; 16,472,844</w:t>
            </w:r>
            <w:r>
              <w:rPr>
                <w:rFonts w:ascii="Times New Roman;Times;serif" w:hAnsi="Times New Roman;Times;serif"/>
                <w:sz w:val="18"/>
              </w:rPr>
              <w:t xml:space="preserve"> </w:t>
            </w:r>
            <w:r>
              <w:rPr>
                <w:rFonts w:ascii="Helvetica" w:hAnsi="Helvetica"/>
                <w:sz w:val="18"/>
              </w:rPr>
              <w:t>shares issued as of May 3, 2025 and 16,497,092</w:t>
            </w:r>
            <w:r>
              <w:rPr>
                <w:rFonts w:ascii="Times New Roman;Times;serif" w:hAnsi="Times New Roman;Times;serif"/>
                <w:sz w:val="18"/>
              </w:rPr>
              <w:t xml:space="preserve"> </w:t>
            </w:r>
            <w:r>
              <w:rPr>
                <w:rFonts w:ascii="Helvetica" w:hAnsi="Helvetica"/>
                <w:sz w:val="18"/>
              </w:rPr>
              <w:t>shares issued as of February 1, 2025; 8,273,038</w:t>
            </w:r>
            <w:r>
              <w:rPr>
                <w:rFonts w:ascii="Times New Roman;Times;serif" w:hAnsi="Times New Roman;Times;serif"/>
                <w:sz w:val="18"/>
              </w:rPr>
              <w:t xml:space="preserve"> </w:t>
            </w:r>
            <w:r>
              <w:rPr>
                <w:rFonts w:ascii="Helvetica" w:hAnsi="Helvetica"/>
                <w:sz w:val="18"/>
              </w:rPr>
              <w:t>shares outstanding as of May 3, 2025 and 8,547,841</w:t>
            </w:r>
            <w:r>
              <w:rPr>
                <w:rFonts w:ascii="Times New Roman;Times;serif" w:hAnsi="Times New Roman;Times;serif"/>
                <w:sz w:val="18"/>
              </w:rPr>
              <w:t xml:space="preserve"> </w:t>
            </w:r>
            <w:r>
              <w:rPr>
                <w:rFonts w:ascii="Helvetica" w:hAnsi="Helvetica"/>
                <w:sz w:val="18"/>
              </w:rPr>
              <w:t>shares outstanding as of February 1, 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162</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108,928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108,101</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Retained earnings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276,772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275,901</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Treasury stock, at cost; 8,199,806</w:t>
            </w:r>
            <w:r>
              <w:rPr>
                <w:rFonts w:ascii="Times New Roman;Times;serif" w:hAnsi="Times New Roman;Times;serif"/>
                <w:sz w:val="18"/>
              </w:rPr>
              <w:t xml:space="preserve"> </w:t>
            </w:r>
            <w:r>
              <w:rPr>
                <w:rFonts w:ascii="Helvetica" w:hAnsi="Helvetica"/>
                <w:sz w:val="18"/>
              </w:rPr>
              <w:t>shares held as of May 3, 2025 and 7,949,251</w:t>
            </w:r>
            <w:r>
              <w:rPr>
                <w:rFonts w:ascii="Times New Roman;Times;serif" w:hAnsi="Times New Roman;Times;serif"/>
                <w:sz w:val="18"/>
              </w:rPr>
              <w:t xml:space="preserve"> </w:t>
            </w:r>
            <w:r>
              <w:rPr>
                <w:rFonts w:ascii="Helvetica" w:hAnsi="Helvetica"/>
                <w:sz w:val="18"/>
              </w:rPr>
              <w:t>shares held as of February 1,2025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(277,303)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(270,988)</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Total stockholders</w:t>
            </w:r>
            <w:r>
              <w:rPr>
                <w:rFonts w:ascii="Times New Roman;Times;serif" w:hAnsi="Times New Roman;Times;serif"/>
                <w:sz w:val="18"/>
              </w:rPr>
              <w:t xml:space="preserve">’ </w:t>
            </w:r>
            <w:r>
              <w:rPr>
                <w:rFonts w:ascii="Helvetica" w:hAnsi="Helvetica"/>
                <w:sz w:val="18"/>
              </w:rPr>
              <w:t>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108,559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113,176</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9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Commitments and contingencies (Note 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9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Total liabilities and stockholders</w:t>
            </w:r>
            <w:r>
              <w:rPr>
                <w:rFonts w:ascii="Times New Roman;Times;serif" w:hAnsi="Times New Roman;Times;serif"/>
                <w:sz w:val="18"/>
              </w:rPr>
              <w:t xml:space="preserve">’ </w:t>
            </w:r>
            <w:r>
              <w:rPr>
                <w:rFonts w:ascii="Helvetica" w:hAnsi="Helvetica"/>
                <w:sz w:val="18"/>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437,408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462,769</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Helvetica" w:hAnsi="Helvetica"/>
          <w:b/>
          <w:sz w:val="18"/>
        </w:rPr>
      </w:pPr>
      <w:bookmarkStart w:id="135" w:name="_07a20a01_7d4a_4f45_ba6c_61601f6cbcda"/>
      <w:bookmarkEnd w:id="135"/>
      <w:r>
        <w:rPr>
          <w:rFonts w:ascii="Helvetica" w:hAnsi="Helvetica"/>
          <w:b/>
          <w:sz w:val="18"/>
        </w:rPr>
        <w:t>Citi Trends, Inc.</w:t>
      </w:r>
    </w:p>
    <w:p>
      <w:pPr>
        <w:pStyle w:val="TextBody"/>
        <w:bidi w:val="0"/>
        <w:spacing w:before="0" w:after="22"/>
        <w:ind w:left="0" w:right="0" w:hanging="0"/>
        <w:jc w:val="center"/>
        <w:rPr>
          <w:rFonts w:ascii="Helvetica" w:hAnsi="Helvetica"/>
          <w:b/>
          <w:sz w:val="18"/>
        </w:rPr>
      </w:pPr>
      <w:bookmarkStart w:id="136" w:name="Operations_264272"/>
      <w:bookmarkEnd w:id="136"/>
      <w:r>
        <w:rPr>
          <w:rFonts w:ascii="Helvetica" w:hAnsi="Helvetica"/>
          <w:b/>
          <w:sz w:val="18"/>
        </w:rPr>
        <w:t>Condensed Consolidated Statements of Operations</w:t>
      </w:r>
    </w:p>
    <w:p>
      <w:pPr>
        <w:pStyle w:val="TextBody"/>
        <w:bidi w:val="0"/>
        <w:spacing w:before="0" w:after="22"/>
        <w:ind w:left="0" w:right="0" w:hanging="0"/>
        <w:jc w:val="center"/>
        <w:rPr>
          <w:rFonts w:ascii="Helvetica" w:hAnsi="Helvetica"/>
          <w:b/>
          <w:sz w:val="18"/>
        </w:rPr>
      </w:pPr>
      <w:r>
        <w:rPr>
          <w:rFonts w:ascii="Helvetica" w:hAnsi="Helvetica"/>
          <w:b/>
          <w:sz w:val="18"/>
        </w:rPr>
        <w:t>(Unaudited)</w:t>
      </w:r>
    </w:p>
    <w:p>
      <w:pPr>
        <w:pStyle w:val="TextBody"/>
        <w:bidi w:val="0"/>
        <w:spacing w:before="0" w:after="22"/>
        <w:ind w:left="0" w:right="0" w:hanging="0"/>
        <w:jc w:val="center"/>
        <w:rPr>
          <w:rFonts w:ascii="Helvetica" w:hAnsi="Helvetica"/>
          <w:b/>
          <w:sz w:val="18"/>
        </w:rPr>
      </w:pPr>
      <w:r>
        <w:rPr>
          <w:rFonts w:ascii="Helvetica" w:hAnsi="Helvetica"/>
          <w:b/>
          <w:sz w:val="18"/>
        </w:rPr>
        <w:t>(in thousands, except per share amounts)</w:t>
      </w:r>
    </w:p>
    <w:p>
      <w:pPr>
        <w:pStyle w:val="TextBody"/>
        <w:bidi w:val="0"/>
        <w:spacing w:before="0" w:after="22"/>
        <w:ind w:left="0" w:right="0" w:hanging="0"/>
        <w:jc w:val="center"/>
        <w:rPr/>
      </w:pPr>
      <w:r>
        <w:rPr/>
        <w:t>​</w:t>
      </w:r>
    </w:p>
    <w:p>
      <w:pPr>
        <w:pStyle w:val="Normal"/>
        <w:bidi w:val="0"/>
        <w:spacing w:before="0" w:after="0"/>
        <w:jc w:val="left"/>
        <w:rPr>
          <w:sz w:val="4"/>
          <w:szCs w:val="4"/>
        </w:rPr>
      </w:pPr>
      <w:r>
        <w:rPr>
          <w:sz w:val="4"/>
          <w:szCs w:val="4"/>
        </w:rPr>
      </w:r>
      <w:bookmarkStart w:id="137" w:name="Tc_yY5BMLLjCUOGiwxhKmZe1Q_22_0"/>
      <w:bookmarkStart w:id="138" w:name="Tc_MLCEvM6ucEKypjZQpEfPwQ_21_0"/>
      <w:bookmarkStart w:id="139" w:name="Tc_WYzpWrbAA0ydo5E8RUTkYw_20_0"/>
      <w:bookmarkStart w:id="140" w:name="Tc_M6fUyRMA0UurHKTT6Dk7gA_18_5"/>
      <w:bookmarkStart w:id="141" w:name="Tc_CPRnfwZkyUu-BHjO7ioVjw_18_2"/>
      <w:bookmarkStart w:id="142" w:name="Tc_cRz69gna_E6Tj6zRKFj5EQ_18_0"/>
      <w:bookmarkStart w:id="143" w:name="Tc_5Q58Dc7l_E6ivw8rliQ0uQ_17_5"/>
      <w:bookmarkStart w:id="144" w:name="Tc_tY_g_-4vk0mzM-uIYIkdMQ_17_2"/>
      <w:bookmarkStart w:id="145" w:name="Tc_wNwv08fbcUiylWkcSOrZFQ_17_0"/>
      <w:bookmarkStart w:id="146" w:name="Tc_AnTeH9mtzU2iX2fvjEIlpA_15_5"/>
      <w:bookmarkStart w:id="147" w:name="Tc_nE7ZmCFnu0GpcA2Sc0W_LQ_15_2"/>
      <w:bookmarkStart w:id="148" w:name="Tc_BZijOo5qFE2ocWRlLGPUeA_15_0"/>
      <w:bookmarkStart w:id="149" w:name="Tc_DU9h1PQGUUyRwwp4qcF0MA_14_3"/>
      <w:bookmarkStart w:id="150" w:name="Tc_6KxTR3DAAEi_wV8zppz8dQ_14_0"/>
      <w:bookmarkStart w:id="151" w:name="Tc_R51g1vn3XkiBVRJMPTTRvg_13_0"/>
      <w:bookmarkStart w:id="152" w:name="Tc_FlqLJSdbV02KVMtWuesoXA_12_0"/>
      <w:bookmarkStart w:id="153" w:name="Tc_o3UdJq4l9ESpkhy9Dlx0wA_11_0"/>
      <w:bookmarkStart w:id="154" w:name="Tc_wsKKFQmskESr1P5lamJBRA_10_0"/>
      <w:bookmarkStart w:id="155" w:name="Tc__ADJ_-NiO0m7DRamDmTTYw_9_6"/>
      <w:bookmarkStart w:id="156" w:name="Tc_fMKvsZwLRUCRpRyhCBLXGA_9_0"/>
      <w:bookmarkStart w:id="157" w:name="Tc_iYxzU40WJ0C5y_rBm5CvMA_8_0"/>
      <w:bookmarkStart w:id="158" w:name="Tc_g4KNlrSjIUKLqvFA31pmYA_7_0"/>
      <w:bookmarkStart w:id="159" w:name="Tc_8AkuKAMQrU6h3WGa37y96g_6_0"/>
      <w:bookmarkStart w:id="160" w:name="Tc_Qknk6jDfQUKRaYlg5DgoIA_4_5"/>
      <w:bookmarkStart w:id="161" w:name="Tc_JqKIwHZpDEKgO25l28ph8w_4_2"/>
      <w:bookmarkStart w:id="162" w:name="Tc_TpmenNBAR0yGUqtlM-UuPA_3_5"/>
      <w:bookmarkStart w:id="163" w:name="Tc_3CI3b5gGXEarU9TATGYdjA_3_2"/>
      <w:bookmarkStart w:id="164" w:name="Tc_I5Uyo-AkGUmWgOGFPXvylA_2_5"/>
      <w:bookmarkStart w:id="165" w:name="Tc_6m238Oxlg0CqVJVYkgLu2A_2_2"/>
      <w:bookmarkStart w:id="166" w:name="Tc_bcZulhRlek6lwdt6jJUCZQ_1_2"/>
      <w:bookmarkStart w:id="167" w:name="_dccd380e_78b4_4c06_bba8_6fd9be594e9a"/>
      <w:bookmarkStart w:id="168" w:name="Tc_yY5BMLLjCUOGiwxhKmZe1Q_22_0"/>
      <w:bookmarkStart w:id="169" w:name="Tc_MLCEvM6ucEKypjZQpEfPwQ_21_0"/>
      <w:bookmarkStart w:id="170" w:name="Tc_WYzpWrbAA0ydo5E8RUTkYw_20_0"/>
      <w:bookmarkStart w:id="171" w:name="Tc_M6fUyRMA0UurHKTT6Dk7gA_18_5"/>
      <w:bookmarkStart w:id="172" w:name="Tc_CPRnfwZkyUu-BHjO7ioVjw_18_2"/>
      <w:bookmarkStart w:id="173" w:name="Tc_cRz69gna_E6Tj6zRKFj5EQ_18_0"/>
      <w:bookmarkStart w:id="174" w:name="Tc_5Q58Dc7l_E6ivw8rliQ0uQ_17_5"/>
      <w:bookmarkStart w:id="175" w:name="Tc_tY_g_-4vk0mzM-uIYIkdMQ_17_2"/>
      <w:bookmarkStart w:id="176" w:name="Tc_wNwv08fbcUiylWkcSOrZFQ_17_0"/>
      <w:bookmarkStart w:id="177" w:name="Tc_AnTeH9mtzU2iX2fvjEIlpA_15_5"/>
      <w:bookmarkStart w:id="178" w:name="Tc_nE7ZmCFnu0GpcA2Sc0W_LQ_15_2"/>
      <w:bookmarkStart w:id="179" w:name="Tc_BZijOo5qFE2ocWRlLGPUeA_15_0"/>
      <w:bookmarkStart w:id="180" w:name="Tc_DU9h1PQGUUyRwwp4qcF0MA_14_3"/>
      <w:bookmarkStart w:id="181" w:name="Tc_6KxTR3DAAEi_wV8zppz8dQ_14_0"/>
      <w:bookmarkStart w:id="182" w:name="Tc_R51g1vn3XkiBVRJMPTTRvg_13_0"/>
      <w:bookmarkStart w:id="183" w:name="Tc_FlqLJSdbV02KVMtWuesoXA_12_0"/>
      <w:bookmarkStart w:id="184" w:name="Tc_o3UdJq4l9ESpkhy9Dlx0wA_11_0"/>
      <w:bookmarkStart w:id="185" w:name="Tc_wsKKFQmskESr1P5lamJBRA_10_0"/>
      <w:bookmarkStart w:id="186" w:name="Tc__ADJ_-NiO0m7DRamDmTTYw_9_6"/>
      <w:bookmarkStart w:id="187" w:name="Tc_fMKvsZwLRUCRpRyhCBLXGA_9_0"/>
      <w:bookmarkStart w:id="188" w:name="Tc_iYxzU40WJ0C5y_rBm5CvMA_8_0"/>
      <w:bookmarkStart w:id="189" w:name="Tc_g4KNlrSjIUKLqvFA31pmYA_7_0"/>
      <w:bookmarkStart w:id="190" w:name="Tc_8AkuKAMQrU6h3WGa37y96g_6_0"/>
      <w:bookmarkStart w:id="191" w:name="Tc_Qknk6jDfQUKRaYlg5DgoIA_4_5"/>
      <w:bookmarkStart w:id="192" w:name="Tc_JqKIwHZpDEKgO25l28ph8w_4_2"/>
      <w:bookmarkStart w:id="193" w:name="Tc_TpmenNBAR0yGUqtlM-UuPA_3_5"/>
      <w:bookmarkStart w:id="194" w:name="Tc_3CI3b5gGXEarU9TATGYdjA_3_2"/>
      <w:bookmarkStart w:id="195" w:name="Tc_I5Uyo-AkGUmWgOGFPXvylA_2_5"/>
      <w:bookmarkStart w:id="196" w:name="Tc_6m238Oxlg0CqVJVYkgLu2A_2_2"/>
      <w:bookmarkStart w:id="197" w:name="Tc_bcZulhRlek6lwdt6jJUCZQ_1_2"/>
      <w:bookmarkStart w:id="198" w:name="_dccd380e_78b4_4c06_bba8_6fd9be594e9a"/>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7163" w:type="dxa"/>
        <w:jc w:val="left"/>
        <w:tblInd w:w="0" w:type="dxa"/>
        <w:tblLayout w:type="fixed"/>
        <w:tblCellMar>
          <w:top w:w="0" w:type="dxa"/>
          <w:left w:w="0" w:type="dxa"/>
          <w:bottom w:w="0" w:type="dxa"/>
          <w:right w:w="0" w:type="dxa"/>
        </w:tblCellMar>
      </w:tblPr>
      <w:tblGrid>
        <w:gridCol w:w="4096"/>
        <w:gridCol w:w="326"/>
        <w:gridCol w:w="211"/>
        <w:gridCol w:w="901"/>
        <w:gridCol w:w="326"/>
        <w:gridCol w:w="211"/>
        <w:gridCol w:w="901"/>
        <w:gridCol w:w="19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600960" cy="175260"/>
                      <wp:effectExtent l="0" t="0" r="0" b="0"/>
                      <wp:wrapNone/>
                      <wp:docPr id="13" name="Frame13"/>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2135" cy="175260"/>
                      <wp:effectExtent l="0" t="0" r="0" b="0"/>
                      <wp:wrapNone/>
                      <wp:docPr id="16" name="Frame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72135" cy="175260"/>
                      <wp:effectExtent l="0" t="0" r="0" b="0"/>
                      <wp:wrapNone/>
                      <wp:docPr id="19" name="Frame1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1285" cy="175260"/>
                      <wp:effectExtent l="0" t="0" r="0" b="0"/>
                      <wp:wrapNone/>
                      <wp:docPr id="20" name="Frame2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c>
          <w:tcPr>
            <w:tcW w:w="191" w:type="dxa"/>
            <w:tcBorders/>
            <w:vAlign w:val="center"/>
          </w:tcPr>
          <w:p>
            <w:pPr>
              <w:pStyle w:val="TableContents"/>
              <w:bidi w:val="0"/>
              <w:spacing w:before="0" w:after="0"/>
              <w:ind w:left="0" w:right="0" w:hanging="0"/>
              <w:jc w:val="center"/>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4,</w:t>
            </w:r>
          </w:p>
        </w:tc>
        <w:tc>
          <w:tcPr>
            <w:tcW w:w="191" w:type="dxa"/>
            <w:tcBorders/>
            <w:vAlign w:val="center"/>
          </w:tcPr>
          <w:p>
            <w:pPr>
              <w:pStyle w:val="TableContents"/>
              <w:bidi w:val="0"/>
              <w:spacing w:before="0" w:after="0"/>
              <w:ind w:left="0" w:right="0" w:hanging="0"/>
              <w:jc w:val="center"/>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2025</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191" w:type="dxa"/>
            <w:tcBorders/>
            <w:vAlign w:val="center"/>
          </w:tcPr>
          <w:p>
            <w:pPr>
              <w:pStyle w:val="TableContents"/>
              <w:bidi w:val="0"/>
              <w:spacing w:before="0" w:after="0"/>
              <w:ind w:left="0" w:right="0" w:hanging="0"/>
              <w:jc w:val="center"/>
              <w:rPr/>
            </w:pPr>
            <w:r>
              <w:rPr/>
              <w:t> </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b w:val="false"/>
                <w:i w:val="false"/>
                <w:caps w:val="false"/>
                <w:smallCaps w:val="false"/>
                <w:sz w:val="18"/>
              </w:rPr>
            </w:pPr>
            <w:r>
              <w:rPr>
                <w:rFonts w:ascii="Helvetica" w:hAnsi="Helvetica"/>
                <w:b w:val="false"/>
                <w:i w:val="false"/>
                <w:caps w:val="false"/>
                <w:smallCaps w:val="false"/>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201,728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186,289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Cost of sales (exclusive of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(121,918)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(114,254)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(74,887)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(74,211)</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(4,370)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(4,793)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Asset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(6,969)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458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849</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(6,199)</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(3,426)</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Basic net income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0.11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(0.42)</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Diluted net income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(0.42)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8,034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8,253</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8,253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Helvetica" w:hAnsi="Helvetica"/>
          <w:b/>
          <w:sz w:val="18"/>
        </w:rPr>
      </w:pPr>
      <w:bookmarkStart w:id="199" w:name="_c54d6132_b701_4184_8c7b_ae80a2792d22"/>
      <w:bookmarkEnd w:id="199"/>
      <w:r>
        <w:rPr>
          <w:rFonts w:ascii="Helvetica" w:hAnsi="Helvetica"/>
          <w:b/>
          <w:sz w:val="18"/>
        </w:rPr>
        <w:t>Citi Trends, Inc.</w:t>
      </w:r>
    </w:p>
    <w:p>
      <w:pPr>
        <w:pStyle w:val="TextBody"/>
        <w:bidi w:val="0"/>
        <w:spacing w:before="0" w:after="22"/>
        <w:ind w:left="0" w:right="0" w:hanging="0"/>
        <w:jc w:val="center"/>
        <w:rPr>
          <w:rFonts w:ascii="Helvetica" w:hAnsi="Helvetica"/>
          <w:b/>
          <w:sz w:val="18"/>
        </w:rPr>
      </w:pPr>
      <w:bookmarkStart w:id="200" w:name="CashFlows_340602"/>
      <w:bookmarkEnd w:id="200"/>
      <w:r>
        <w:rPr>
          <w:rFonts w:ascii="Helvetica" w:hAnsi="Helvetica"/>
          <w:b/>
          <w:sz w:val="18"/>
        </w:rPr>
        <w:t>Condensed Consolidated Statements of Cash Flows</w:t>
      </w:r>
    </w:p>
    <w:p>
      <w:pPr>
        <w:pStyle w:val="TextBody"/>
        <w:bidi w:val="0"/>
        <w:spacing w:before="0" w:after="22"/>
        <w:ind w:left="0" w:right="0" w:hanging="0"/>
        <w:jc w:val="center"/>
        <w:rPr>
          <w:rFonts w:ascii="Helvetica" w:hAnsi="Helvetica"/>
          <w:b/>
          <w:sz w:val="18"/>
        </w:rPr>
      </w:pPr>
      <w:r>
        <w:rPr>
          <w:rFonts w:ascii="Helvetica" w:hAnsi="Helvetica"/>
          <w:b/>
          <w:sz w:val="18"/>
        </w:rPr>
        <w:t>(Unaudited)</w:t>
      </w:r>
    </w:p>
    <w:p>
      <w:pPr>
        <w:pStyle w:val="TextBody"/>
        <w:bidi w:val="0"/>
        <w:spacing w:before="0" w:after="22"/>
        <w:ind w:left="0" w:right="0" w:hanging="0"/>
        <w:jc w:val="center"/>
        <w:rPr>
          <w:rFonts w:ascii="Helvetica" w:hAnsi="Helvetica"/>
          <w:b/>
          <w:sz w:val="18"/>
        </w:rPr>
      </w:pPr>
      <w:r>
        <w:rPr>
          <w:rFonts w:ascii="Helvetica" w:hAnsi="Helvetica"/>
          <w:b/>
          <w:sz w:val="18"/>
        </w:rPr>
        <w:t>(in thousands)</w:t>
      </w:r>
    </w:p>
    <w:p>
      <w:pPr>
        <w:pStyle w:val="TextBody"/>
        <w:bidi w:val="0"/>
        <w:spacing w:before="0" w:after="22"/>
        <w:ind w:left="0" w:right="0" w:hanging="0"/>
        <w:jc w:val="center"/>
        <w:rPr/>
      </w:pPr>
      <w:r>
        <w:rPr/>
        <w:t>​</w:t>
      </w:r>
    </w:p>
    <w:p>
      <w:pPr>
        <w:pStyle w:val="Normal"/>
        <w:bidi w:val="0"/>
        <w:spacing w:before="0" w:after="0"/>
        <w:jc w:val="left"/>
        <w:rPr>
          <w:sz w:val="4"/>
          <w:szCs w:val="4"/>
        </w:rPr>
      </w:pPr>
      <w:r>
        <w:rPr>
          <w:sz w:val="4"/>
          <w:szCs w:val="4"/>
        </w:rPr>
      </w:r>
      <w:bookmarkStart w:id="201" w:name="Tc_X7wIuzHpTkun1teQB5_Gpw_39_5"/>
      <w:bookmarkStart w:id="202" w:name="Tc_NfFQ3IUMWEKXG9CWgWk5qA_39_2"/>
      <w:bookmarkStart w:id="203" w:name="Tc_2zSRkIB04ECIaSQtlAdg0Q_39_0"/>
      <w:bookmarkStart w:id="204" w:name="Tc_SwIgbXGloEyVukxzmAiaNA_38_0"/>
      <w:bookmarkStart w:id="205" w:name="Tc_lrK77jL1okemKtbLnshKKw_37_5"/>
      <w:bookmarkStart w:id="206" w:name="Tc_XOf4wCAtjU-d44ph1bATsQ_37_2"/>
      <w:bookmarkStart w:id="207" w:name="Tc_w8yf38tbV0C3yH91T-bvOQ_37_0"/>
      <w:bookmarkStart w:id="208" w:name="Tc_TDjicj0qmkunTGGjYBT_Jg_36_5"/>
      <w:bookmarkStart w:id="209" w:name="Tc_RXtLyRlb8U6SQEp8XZz9iA_36_2"/>
      <w:bookmarkStart w:id="210" w:name="Tc_p6octD72KUC6SVq48EdTNw_36_0"/>
      <w:bookmarkStart w:id="211" w:name="Tc_KwtLCmrIDUeYcrgSgUesVQ_35_0"/>
      <w:bookmarkStart w:id="212" w:name="Tc_Ht_vRdyq90qOSBbwRHfmkQ_33_5"/>
      <w:bookmarkStart w:id="213" w:name="Tc_sg4Rj38iJky90AGxeWu8Hg_33_2"/>
      <w:bookmarkStart w:id="214" w:name="Tc_l6cDLnNxvkacgMz9WA_7MQ_33_0"/>
      <w:bookmarkStart w:id="215" w:name="Tc_sI9S9MMfAkOqITuMMhddUg_32_0"/>
      <w:bookmarkStart w:id="216" w:name="Tc_gByne5wAdUCGrpowr7pXbw_31_0"/>
      <w:bookmarkStart w:id="217" w:name="Tc_wuOsUWT_Pk2f8O1M4hB-Pw_30_0"/>
      <w:bookmarkStart w:id="218" w:name="Tc_84Vpv3MyzUmtGbgaZoORSQ_29_0"/>
      <w:bookmarkStart w:id="219" w:name="Tc_KnratbSbik-zpr1jv3jqmQ_28_6"/>
      <w:bookmarkStart w:id="220" w:name="Tc_4YLVQ5f9K0ezjFA752bX1g_28_0"/>
      <w:bookmarkStart w:id="221" w:name="Tc_Ysbk0L1BBU-XtYxw772aQw_27_0"/>
      <w:bookmarkStart w:id="222" w:name="Tc_uqNiCx0gZ0mTePhTeUwnXA_26_0"/>
      <w:bookmarkStart w:id="223" w:name="Tc_ZjwUutr_rUGcQs5cpXrkUg_25_0"/>
      <w:bookmarkStart w:id="224" w:name="Tc_i3gCiurEYEWLwdwD_TKhxg_24_0"/>
      <w:bookmarkStart w:id="225" w:name="Tc_UB63_TzcKka05EsmHK8fNQ_23_0"/>
      <w:bookmarkStart w:id="226" w:name="Tc_V30z-i7X7EO_ukO0vI9-Bw_22_0"/>
      <w:bookmarkStart w:id="227" w:name="Tc_XgKkFceYvUKmdNo7_ae5PQ_21_0"/>
      <w:bookmarkStart w:id="228" w:name="Tc_3MUlNOmAz06Ldr52ArbAOA_20_0"/>
      <w:bookmarkStart w:id="229" w:name="Tc_nRrAPta-nEGw_izzDLBMPQ_19_0"/>
      <w:bookmarkStart w:id="230" w:name="Tc_9_7rsD08GU2I5HqYeq9DYA_18_0"/>
      <w:bookmarkStart w:id="231" w:name="Tc_5Ht3f6uqI0CjGG0Fp8avFQ_17_0"/>
      <w:bookmarkStart w:id="232" w:name="Tc_h9BaImc1e0iqXGwDSvAxdA_16_0"/>
      <w:bookmarkStart w:id="233" w:name="Tc_65TFfvf8akmheUzTJq6p7Q_15_0"/>
      <w:bookmarkStart w:id="234" w:name="Tc_7eTP-Gx8LEuxjO8Ddi5Cgw_14_0"/>
      <w:bookmarkStart w:id="235" w:name="Tc_BI-rr18NOECcPt2nsviX5w_13_0"/>
      <w:bookmarkStart w:id="236" w:name="Tc_hSHakDtlpUqcjwYs3bvvZw_12_0"/>
      <w:bookmarkStart w:id="237" w:name="Tc_zHma6qWQCkmjo8rjcHVZGA_11_3"/>
      <w:bookmarkStart w:id="238" w:name="Tc_uQvZ-46h-06jDPUflomApg_11_0"/>
      <w:bookmarkStart w:id="239" w:name="Tc_hv9UXEZifk2On_oIibDWKA_10_3"/>
      <w:bookmarkStart w:id="240" w:name="Tc_RFBPPhyA_kSc-n-EVG90Yg_10_0"/>
      <w:bookmarkStart w:id="241" w:name="Tc_adICukpKtEyuchMla16kow_9_0"/>
      <w:bookmarkStart w:id="242" w:name="Tc_bZBl8HgvlE2EE2JZyEWE6A_8_6"/>
      <w:bookmarkStart w:id="243" w:name="Tc_bYtQL2BpC0-689nOCCLiyg_8_0"/>
      <w:bookmarkStart w:id="244" w:name="Tc_eS_F_FvhEUqPiTrAfMk3EA_7_0"/>
      <w:bookmarkStart w:id="245" w:name="Tc_IlEaQG6xaEq6OL8pVq20qA_6_0"/>
      <w:bookmarkStart w:id="246" w:name="Tc_AZ41r_vrRk-pb-CcESXl-A_5_5"/>
      <w:bookmarkStart w:id="247" w:name="Tc_GfvSxFud20qrtSqNqcuNKQ_5_2"/>
      <w:bookmarkStart w:id="248" w:name="Tc_8PvZSo4VI0ea6Y2wtL8Vog_5_0"/>
      <w:bookmarkStart w:id="249" w:name="Tc_PM2BX-yWQE63uTrp8_CKKA_4_0"/>
      <w:bookmarkStart w:id="250" w:name="Tc_Okfd-o32_k2D5GsT8zE-dQ_3_5"/>
      <w:bookmarkStart w:id="251" w:name="Tc_GgSFeMOVe0SK1qm7ZulyEw_3_2"/>
      <w:bookmarkStart w:id="252" w:name="Tc_dPBOimQXZUKX7lRw19Dt4Q_2_5"/>
      <w:bookmarkStart w:id="253" w:name="Tc_l-sWsSWOWESgsrEmQzL3ug_2_2"/>
      <w:bookmarkStart w:id="254" w:name="Tc_5p8My6xGO0iZmRyIStmQbg_1_2"/>
      <w:bookmarkStart w:id="255" w:name="_4fe5c771_3a1c_4e66_9016_47b74517ad28"/>
      <w:bookmarkStart w:id="256" w:name="Tc_X7wIuzHpTkun1teQB5_Gpw_39_5"/>
      <w:bookmarkStart w:id="257" w:name="Tc_NfFQ3IUMWEKXG9CWgWk5qA_39_2"/>
      <w:bookmarkStart w:id="258" w:name="Tc_2zSRkIB04ECIaSQtlAdg0Q_39_0"/>
      <w:bookmarkStart w:id="259" w:name="Tc_SwIgbXGloEyVukxzmAiaNA_38_0"/>
      <w:bookmarkStart w:id="260" w:name="Tc_lrK77jL1okemKtbLnshKKw_37_5"/>
      <w:bookmarkStart w:id="261" w:name="Tc_XOf4wCAtjU-d44ph1bATsQ_37_2"/>
      <w:bookmarkStart w:id="262" w:name="Tc_w8yf38tbV0C3yH91T-bvOQ_37_0"/>
      <w:bookmarkStart w:id="263" w:name="Tc_TDjicj0qmkunTGGjYBT_Jg_36_5"/>
      <w:bookmarkStart w:id="264" w:name="Tc_RXtLyRlb8U6SQEp8XZz9iA_36_2"/>
      <w:bookmarkStart w:id="265" w:name="Tc_p6octD72KUC6SVq48EdTNw_36_0"/>
      <w:bookmarkStart w:id="266" w:name="Tc_KwtLCmrIDUeYcrgSgUesVQ_35_0"/>
      <w:bookmarkStart w:id="267" w:name="Tc_Ht_vRdyq90qOSBbwRHfmkQ_33_5"/>
      <w:bookmarkStart w:id="268" w:name="Tc_sg4Rj38iJky90AGxeWu8Hg_33_2"/>
      <w:bookmarkStart w:id="269" w:name="Tc_l6cDLnNxvkacgMz9WA_7MQ_33_0"/>
      <w:bookmarkStart w:id="270" w:name="Tc_sI9S9MMfAkOqITuMMhddUg_32_0"/>
      <w:bookmarkStart w:id="271" w:name="Tc_gByne5wAdUCGrpowr7pXbw_31_0"/>
      <w:bookmarkStart w:id="272" w:name="Tc_wuOsUWT_Pk2f8O1M4hB-Pw_30_0"/>
      <w:bookmarkStart w:id="273" w:name="Tc_84Vpv3MyzUmtGbgaZoORSQ_29_0"/>
      <w:bookmarkStart w:id="274" w:name="Tc_KnratbSbik-zpr1jv3jqmQ_28_6"/>
      <w:bookmarkStart w:id="275" w:name="Tc_4YLVQ5f9K0ezjFA752bX1g_28_0"/>
      <w:bookmarkStart w:id="276" w:name="Tc_Ysbk0L1BBU-XtYxw772aQw_27_0"/>
      <w:bookmarkStart w:id="277" w:name="Tc_uqNiCx0gZ0mTePhTeUwnXA_26_0"/>
      <w:bookmarkStart w:id="278" w:name="Tc_ZjwUutr_rUGcQs5cpXrkUg_25_0"/>
      <w:bookmarkStart w:id="279" w:name="Tc_i3gCiurEYEWLwdwD_TKhxg_24_0"/>
      <w:bookmarkStart w:id="280" w:name="Tc_UB63_TzcKka05EsmHK8fNQ_23_0"/>
      <w:bookmarkStart w:id="281" w:name="Tc_V30z-i7X7EO_ukO0vI9-Bw_22_0"/>
      <w:bookmarkStart w:id="282" w:name="Tc_XgKkFceYvUKmdNo7_ae5PQ_21_0"/>
      <w:bookmarkStart w:id="283" w:name="Tc_3MUlNOmAz06Ldr52ArbAOA_20_0"/>
      <w:bookmarkStart w:id="284" w:name="Tc_nRrAPta-nEGw_izzDLBMPQ_19_0"/>
      <w:bookmarkStart w:id="285" w:name="Tc_9_7rsD08GU2I5HqYeq9DYA_18_0"/>
      <w:bookmarkStart w:id="286" w:name="Tc_5Ht3f6uqI0CjGG0Fp8avFQ_17_0"/>
      <w:bookmarkStart w:id="287" w:name="Tc_h9BaImc1e0iqXGwDSvAxdA_16_0"/>
      <w:bookmarkStart w:id="288" w:name="Tc_65TFfvf8akmheUzTJq6p7Q_15_0"/>
      <w:bookmarkStart w:id="289" w:name="Tc_7eTP-Gx8LEuxjO8Ddi5Cgw_14_0"/>
      <w:bookmarkStart w:id="290" w:name="Tc_BI-rr18NOECcPt2nsviX5w_13_0"/>
      <w:bookmarkStart w:id="291" w:name="Tc_hSHakDtlpUqcjwYs3bvvZw_12_0"/>
      <w:bookmarkStart w:id="292" w:name="Tc_zHma6qWQCkmjo8rjcHVZGA_11_3"/>
      <w:bookmarkStart w:id="293" w:name="Tc_uQvZ-46h-06jDPUflomApg_11_0"/>
      <w:bookmarkStart w:id="294" w:name="Tc_hv9UXEZifk2On_oIibDWKA_10_3"/>
      <w:bookmarkStart w:id="295" w:name="Tc_RFBPPhyA_kSc-n-EVG90Yg_10_0"/>
      <w:bookmarkStart w:id="296" w:name="Tc_adICukpKtEyuchMla16kow_9_0"/>
      <w:bookmarkStart w:id="297" w:name="Tc_bZBl8HgvlE2EE2JZyEWE6A_8_6"/>
      <w:bookmarkStart w:id="298" w:name="Tc_bYtQL2BpC0-689nOCCLiyg_8_0"/>
      <w:bookmarkStart w:id="299" w:name="Tc_eS_F_FvhEUqPiTrAfMk3EA_7_0"/>
      <w:bookmarkStart w:id="300" w:name="Tc_IlEaQG6xaEq6OL8pVq20qA_6_0"/>
      <w:bookmarkStart w:id="301" w:name="Tc_AZ41r_vrRk-pb-CcESXl-A_5_5"/>
      <w:bookmarkStart w:id="302" w:name="Tc_GfvSxFud20qrtSqNqcuNKQ_5_2"/>
      <w:bookmarkStart w:id="303" w:name="Tc_8PvZSo4VI0ea6Y2wtL8Vog_5_0"/>
      <w:bookmarkStart w:id="304" w:name="Tc_PM2BX-yWQE63uTrp8_CKKA_4_0"/>
      <w:bookmarkStart w:id="305" w:name="Tc_Okfd-o32_k2D5GsT8zE-dQ_3_5"/>
      <w:bookmarkStart w:id="306" w:name="Tc_GgSFeMOVe0SK1qm7ZulyEw_3_2"/>
      <w:bookmarkStart w:id="307" w:name="Tc_dPBOimQXZUKX7lRw19Dt4Q_2_5"/>
      <w:bookmarkStart w:id="308" w:name="Tc_l-sWsSWOWESgsrEmQzL3ug_2_2"/>
      <w:bookmarkStart w:id="309" w:name="Tc_5p8My6xGO0iZmRyIStmQbg_1_2"/>
      <w:bookmarkStart w:id="310" w:name="_4fe5c771_3a1c_4e66_9016_47b74517ad28"/>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tbl>
      <w:tblPr>
        <w:tblW w:w="9608" w:type="dxa"/>
        <w:jc w:val="left"/>
        <w:tblInd w:w="0" w:type="dxa"/>
        <w:tblLayout w:type="fixed"/>
        <w:tblCellMar>
          <w:top w:w="0" w:type="dxa"/>
          <w:left w:w="0" w:type="dxa"/>
          <w:bottom w:w="0" w:type="dxa"/>
          <w:right w:w="0" w:type="dxa"/>
        </w:tblCellMar>
      </w:tblPr>
      <w:tblGrid>
        <w:gridCol w:w="6751"/>
        <w:gridCol w:w="326"/>
        <w:gridCol w:w="211"/>
        <w:gridCol w:w="796"/>
        <w:gridCol w:w="326"/>
        <w:gridCol w:w="211"/>
        <w:gridCol w:w="796"/>
        <w:gridCol w:w="191"/>
      </w:tblGrid>
      <w:tr>
        <w:trPr/>
        <w:tc>
          <w:tcPr>
            <w:tcW w:w="6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86885" cy="175260"/>
                      <wp:effectExtent l="0" t="0" r="0" b="0"/>
                      <wp:wrapNone/>
                      <wp:docPr id="21" name="Frame21"/>
                      <a:graphic xmlns:a="http://schemas.openxmlformats.org/drawingml/2006/main">
                        <a:graphicData uri="http://schemas.microsoft.com/office/word/2010/wordprocessingShape">
                          <wps:wsp>
                            <wps:cNvSpPr txBox="1"/>
                            <wps:spPr>
                              <a:xfrm>
                                <a:off x="0" y="0"/>
                                <a:ext cx="428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5460" cy="175260"/>
                      <wp:effectExtent l="0" t="0" r="0" b="0"/>
                      <wp:wrapNone/>
                      <wp:docPr id="24" name="Frame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5460" cy="175260"/>
                      <wp:effectExtent l="0" t="0" r="0" b="0"/>
                      <wp:wrapNone/>
                      <wp:docPr id="27" name="Frame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1285" cy="175260"/>
                      <wp:effectExtent l="0" t="0" r="0" b="0"/>
                      <wp:wrapNone/>
                      <wp:docPr id="28" name="Frame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c>
          <w:tcPr>
            <w:tcW w:w="191" w:type="dxa"/>
            <w:tcBorders/>
            <w:vAlign w:val="center"/>
          </w:tcPr>
          <w:p>
            <w:pPr>
              <w:pStyle w:val="TableContents"/>
              <w:bidi w:val="0"/>
              <w:spacing w:before="0" w:after="0"/>
              <w:ind w:left="0" w:right="0" w:hanging="0"/>
              <w:jc w:val="center"/>
              <w:rPr/>
            </w:pPr>
            <w:r>
              <w:rPr/>
              <w:t>​</w:t>
            </w:r>
          </w:p>
        </w:tc>
      </w:tr>
      <w:tr>
        <w:trPr/>
        <w:tc>
          <w:tcPr>
            <w:tcW w:w="6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4,</w:t>
            </w:r>
          </w:p>
        </w:tc>
        <w:tc>
          <w:tcPr>
            <w:tcW w:w="191" w:type="dxa"/>
            <w:tcBorders/>
            <w:vAlign w:val="center"/>
          </w:tcPr>
          <w:p>
            <w:pPr>
              <w:pStyle w:val="TableContents"/>
              <w:bidi w:val="0"/>
              <w:spacing w:before="0" w:after="0"/>
              <w:ind w:left="0" w:right="0" w:hanging="0"/>
              <w:jc w:val="center"/>
              <w:rPr/>
            </w:pPr>
            <w:r>
              <w:rPr/>
              <w:t>​</w:t>
            </w:r>
          </w:p>
        </w:tc>
      </w:tr>
      <w:tr>
        <w:trPr/>
        <w:tc>
          <w:tcPr>
            <w:tcW w:w="6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191" w:type="dxa"/>
            <w:tcBorders/>
            <w:vAlign w:val="center"/>
          </w:tcPr>
          <w:p>
            <w:pPr>
              <w:pStyle w:val="TableContents"/>
              <w:bidi w:val="0"/>
              <w:spacing w:before="0" w:after="0"/>
              <w:ind w:left="0" w:right="0" w:hanging="0"/>
              <w:jc w:val="center"/>
              <w:rPr/>
            </w:pPr>
            <w:r>
              <w:rPr/>
              <w:t> </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(3,426)</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Adjustments to reconcile net income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4,370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4,793</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Asset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Non-cash operating lease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12,252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12,013</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Loss on disposal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(2,772)</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Non-cash 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884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Changes in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12,709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11,418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(3,536)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(3,164)</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(21,911)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(28,097)</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expenses and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(19,387)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(14,494)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2,562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2,399</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receivable/payable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310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Layaway deposits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459</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(10,969)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(19,614)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 xml:space="preserve">Purchases of property and equipment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(1,590)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7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(2,104)</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7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(1,590)</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Cash used to settle withholding taxes on the vesting of nonvested restricted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(333)</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(6,456)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(333)</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(19,529)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(21,537)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61,085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79,706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41,556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58,169</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Cash (refunds) payments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(310)</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Supplemental disclosures of non-cash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Accrual for purchases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944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338</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22"/>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Helvetica" w:hAnsi="Helvetica"/>
          <w:b/>
          <w:sz w:val="18"/>
        </w:rPr>
      </w:pPr>
      <w:bookmarkStart w:id="311" w:name="_a04bfb18_dfde_4b89_b499_a0f9e727f487"/>
      <w:bookmarkEnd w:id="311"/>
      <w:r>
        <w:rPr>
          <w:rFonts w:ascii="Helvetica" w:hAnsi="Helvetica"/>
          <w:b/>
          <w:sz w:val="18"/>
        </w:rPr>
        <w:t>Citi Trends, Inc.</w:t>
      </w:r>
    </w:p>
    <w:p>
      <w:pPr>
        <w:pStyle w:val="TextBody"/>
        <w:bidi w:val="0"/>
        <w:spacing w:before="0" w:after="22"/>
        <w:ind w:left="0" w:right="0" w:hanging="0"/>
        <w:jc w:val="center"/>
        <w:rPr>
          <w:rFonts w:ascii="Times New Roman;Times;serif" w:hAnsi="Times New Roman;Times;serif"/>
          <w:sz w:val="18"/>
        </w:rPr>
      </w:pPr>
      <w:bookmarkStart w:id="312" w:name="StatementofStockholdersEquity10Q"/>
      <w:bookmarkEnd w:id="312"/>
      <w:r>
        <w:rPr>
          <w:rFonts w:ascii="Helvetica" w:hAnsi="Helvetica"/>
          <w:b/>
          <w:sz w:val="18"/>
        </w:rPr>
        <w:t>Condensed Consolidated Statements of Stockholders</w:t>
      </w:r>
      <w:r>
        <w:rPr>
          <w:rFonts w:ascii="Times New Roman;Times;serif" w:hAnsi="Times New Roman;Times;serif"/>
          <w:sz w:val="18"/>
        </w:rPr>
        <w:t xml:space="preserve">’ </w:t>
      </w:r>
      <w:r>
        <w:rPr>
          <w:rFonts w:ascii="Helvetica" w:hAnsi="Helvetica"/>
          <w:b/>
          <w:sz w:val="18"/>
        </w:rPr>
        <w:t>Equity</w:t>
      </w:r>
    </w:p>
    <w:p>
      <w:pPr>
        <w:pStyle w:val="TextBody"/>
        <w:bidi w:val="0"/>
        <w:spacing w:before="0" w:after="22"/>
        <w:ind w:left="0" w:right="0" w:hanging="0"/>
        <w:jc w:val="center"/>
        <w:rPr>
          <w:rFonts w:ascii="Helvetica" w:hAnsi="Helvetica"/>
          <w:b/>
          <w:sz w:val="18"/>
        </w:rPr>
      </w:pPr>
      <w:r>
        <w:rPr>
          <w:rFonts w:ascii="Helvetica" w:hAnsi="Helvetica"/>
          <w:b/>
          <w:sz w:val="18"/>
        </w:rPr>
        <w:t>(Unaudited)</w:t>
      </w:r>
    </w:p>
    <w:p>
      <w:pPr>
        <w:pStyle w:val="TextBody"/>
        <w:bidi w:val="0"/>
        <w:spacing w:before="0" w:after="22"/>
        <w:ind w:left="0" w:right="0" w:hanging="0"/>
        <w:jc w:val="center"/>
        <w:rPr>
          <w:rFonts w:ascii="Helvetica" w:hAnsi="Helvetica"/>
          <w:b/>
          <w:sz w:val="18"/>
        </w:rPr>
      </w:pPr>
      <w:r>
        <w:rPr>
          <w:rFonts w:ascii="Helvetica" w:hAnsi="Helvetica"/>
          <w:b/>
          <w:sz w:val="18"/>
        </w:rPr>
        <w:t>(in thousands, except share amounts)</w:t>
      </w:r>
    </w:p>
    <w:p>
      <w:pPr>
        <w:pStyle w:val="TextBody"/>
        <w:bidi w:val="0"/>
        <w:spacing w:before="0" w:after="22"/>
        <w:ind w:left="0" w:right="0" w:hanging="0"/>
        <w:jc w:val="center"/>
        <w:rPr/>
      </w:pPr>
      <w:r>
        <w:rPr/>
        <w:t>​</w:t>
      </w:r>
    </w:p>
    <w:p>
      <w:pPr>
        <w:pStyle w:val="Normal"/>
        <w:bidi w:val="0"/>
        <w:spacing w:before="0" w:after="0"/>
        <w:jc w:val="left"/>
        <w:rPr>
          <w:sz w:val="4"/>
          <w:szCs w:val="4"/>
        </w:rPr>
      </w:pPr>
      <w:r>
        <w:rPr>
          <w:sz w:val="4"/>
          <w:szCs w:val="4"/>
        </w:rPr>
      </w:r>
      <w:bookmarkStart w:id="313" w:name="Tc_dP-6tRnSfkKUl2Q6IusuuA_10_18"/>
      <w:bookmarkStart w:id="314" w:name="Tc_eqp24GJhhUCGiaR_LquTTw_10_15"/>
      <w:bookmarkStart w:id="315" w:name="Tc_U_YM3JQmGkal2Z5hquOxzA_10_10"/>
      <w:bookmarkStart w:id="316" w:name="Tc_XsaoFDgEBkCTi5Iio8fPHQ_10_7"/>
      <w:bookmarkStart w:id="317" w:name="Tc_0ofYzQA0kk-XkAlE0B-gPg_10_4"/>
      <w:bookmarkStart w:id="318" w:name="Tc_Lkcd0IW7H0e_0_6u2G7DZQ_10_0"/>
      <w:bookmarkStart w:id="319" w:name="Tc_T-rNPCU_mkay_IEYF5b7VQ_9_16"/>
      <w:bookmarkStart w:id="320" w:name="Tc_4Mq9R1bFo0mhfJP3SwRV7w_9_13"/>
      <w:bookmarkStart w:id="321" w:name="Tc_LIP9sOdd3EK0ojguMJ6Khg_9_8"/>
      <w:bookmarkStart w:id="322" w:name="Tc_6NJw_5hoXE-ywgOxTCy-sg_9_5"/>
      <w:bookmarkStart w:id="323" w:name="Tc_8vC7RytKpkac5v4T4rKfFA_9_2"/>
      <w:bookmarkStart w:id="324" w:name="Tc_HQIWMkQrCEmB4i89Bzexpw_9_0"/>
      <w:bookmarkStart w:id="325" w:name="Tc_pimtKlt7nUadFap2XVmtiw_8_11"/>
      <w:bookmarkStart w:id="326" w:name="Tc_0KITuoIu0kCFBDv6jmekWQ_8_8"/>
      <w:bookmarkStart w:id="327" w:name="Tc_AdxpMSf10k-Ud0HvBWWfgQ_8_5"/>
      <w:bookmarkStart w:id="328" w:name="Tc_kfBMna7uE0iBvyItlNI3-g_8_2"/>
      <w:bookmarkStart w:id="329" w:name="Tc_W8KEDrGRqU2L8XjXBbQFzg_8_0"/>
      <w:bookmarkStart w:id="330" w:name="Tc_xn_wL_gBjUaZol_oaFsWBw_7_16"/>
      <w:bookmarkStart w:id="331" w:name="Tc_RRVWYow5eUm8o8TkDvS5zg_7_13"/>
      <w:bookmarkStart w:id="332" w:name="Tc_H_toARVMsUe5XYtA7jv-TQ_7_11"/>
      <w:bookmarkStart w:id="333" w:name="Tc_HTfOnZVgGk2UWp7j6PBleg_7_5"/>
      <w:bookmarkStart w:id="334" w:name="Tc_Op1VC8zZaUWtuF-2rjjOkw_7_0"/>
      <w:bookmarkStart w:id="335" w:name="Tc_nCbzU2e8nUyEWKozGI23UQ_6_16"/>
      <w:bookmarkStart w:id="336" w:name="Tc_NiiRz_C7SkSbiGKQOVIvfA_6_13"/>
      <w:bookmarkStart w:id="337" w:name="Tc_jlpUHtGdsEedHSVqM8lWJg_6_11"/>
      <w:bookmarkStart w:id="338" w:name="Tc_MA9GUAMMyki9hBoeug1Fyg_6_5"/>
      <w:bookmarkStart w:id="339" w:name="Tc_8P2PbehN_EOhSNrM5d0Irw_6_2"/>
      <w:bookmarkStart w:id="340" w:name="Tc_Aaph0MevKU-zuaOIia0c3A_6_0"/>
      <w:bookmarkStart w:id="341" w:name="Tc_dbH60KupyUWwkmgBEduaQQ_5_19"/>
      <w:bookmarkStart w:id="342" w:name="Tc_3QNmCUboy0uszJwGQLHmOQ_5_16"/>
      <w:bookmarkStart w:id="343" w:name="Tc_aaZ5PhEFQ0mFw1d12CgWVA_5_13"/>
      <w:bookmarkStart w:id="344" w:name="Tc_IprxWnM6mkugMFIKl4S3Ng_5_11"/>
      <w:bookmarkStart w:id="345" w:name="Tc_fxgAMkb33UCfOhJEV2T5xQ_5_8"/>
      <w:bookmarkStart w:id="346" w:name="Tc_TDxbdKsajkad0hvttzXk6g_5_5"/>
      <w:bookmarkStart w:id="347" w:name="Tc_WlT0k-jqW0i9PtjmAKNhqQ_5_0"/>
      <w:bookmarkStart w:id="348" w:name="Tc_DzXJDM7e002knewFUidqZg_4_19"/>
      <w:bookmarkStart w:id="349" w:name="Tc_46h_OB5IlkGotjAGgA_H1g_4_16"/>
      <w:bookmarkStart w:id="350" w:name="Tc_x5Z_neh3QE2QfSlkp2E0aA_4_13"/>
      <w:bookmarkStart w:id="351" w:name="Tc_ThcYjUoaqEWP0Arnk9Rxfg_4_11"/>
      <w:bookmarkStart w:id="352" w:name="Tc_lqD7UcrlyUSHXNkG_-ospg_4_8"/>
      <w:bookmarkStart w:id="353" w:name="Tc_sJc5aTpAwEqlqk0EKDg7oA_4_5"/>
      <w:bookmarkStart w:id="354" w:name="Tc_NNeplhLIJEiXEZoFT46IZw_4_0"/>
      <w:bookmarkStart w:id="355" w:name="Tc_Fq6DRzrMD0C6T8iorIhskw_3_18"/>
      <w:bookmarkStart w:id="356" w:name="Tc_RINZCs0H0kymLk4Hb5od-w_3_15"/>
      <w:bookmarkStart w:id="357" w:name="Tc_WtNTPMuiqkWzYTb97vZfpQ_3_10"/>
      <w:bookmarkStart w:id="358" w:name="Tc_A7nz6LEgAEWSMoYmO2EsjQ_3_7"/>
      <w:bookmarkStart w:id="359" w:name="Tc_EirSlqVwbE-px6WUf47uSw_3_4"/>
      <w:bookmarkStart w:id="360" w:name="Tc_ZEdpumwrgEO9oyR6vpxrCA_3_0"/>
      <w:bookmarkStart w:id="361" w:name="Tc_CgHfSmL45UqToGOh2_YJfw_2_18"/>
      <w:bookmarkStart w:id="362" w:name="Tc_7dNj_-SZqUOGLLB89nmVeg_2_15"/>
      <w:bookmarkStart w:id="363" w:name="Tc_T1YklRE930uz-j8Gf7gtcQ_2_13"/>
      <w:bookmarkStart w:id="364" w:name="Tc_YAvUqiuL-0GS92m2wh1Ckg_2_10"/>
      <w:bookmarkStart w:id="365" w:name="Tc_10s1xcP1P0Oi5rLEDFFqTg_2_7"/>
      <w:bookmarkStart w:id="366" w:name="Tc_wMKT5Pl0VUKyoGCtJZ2zcQ_2_4"/>
      <w:bookmarkStart w:id="367" w:name="Tc_Bnu1s9Ius0-_aEvphNzc-w_2_2"/>
      <w:bookmarkStart w:id="368" w:name="Tc_0gbsQ0wL_0SXZ2U95aql2w_1_13"/>
      <w:bookmarkStart w:id="369" w:name="Tc_7wh8iYuvDUyk9q7t25JndA_1_10"/>
      <w:bookmarkStart w:id="370" w:name="Tc_6OqCj2KMEkmxCM2Fv2DW5g_1_7"/>
      <w:bookmarkStart w:id="371" w:name="Tc_FR-MsmBwR0-loa8Xo371LQ_1_2"/>
      <w:bookmarkStart w:id="372" w:name="_5e80f252_5787_438b_957e_b141098fb2f3"/>
      <w:bookmarkStart w:id="373" w:name="Tc_dP-6tRnSfkKUl2Q6IusuuA_10_18"/>
      <w:bookmarkStart w:id="374" w:name="Tc_eqp24GJhhUCGiaR_LquTTw_10_15"/>
      <w:bookmarkStart w:id="375" w:name="Tc_U_YM3JQmGkal2Z5hquOxzA_10_10"/>
      <w:bookmarkStart w:id="376" w:name="Tc_XsaoFDgEBkCTi5Iio8fPHQ_10_7"/>
      <w:bookmarkStart w:id="377" w:name="Tc_0ofYzQA0kk-XkAlE0B-gPg_10_4"/>
      <w:bookmarkStart w:id="378" w:name="Tc_Lkcd0IW7H0e_0_6u2G7DZQ_10_0"/>
      <w:bookmarkStart w:id="379" w:name="Tc_T-rNPCU_mkay_IEYF5b7VQ_9_16"/>
      <w:bookmarkStart w:id="380" w:name="Tc_4Mq9R1bFo0mhfJP3SwRV7w_9_13"/>
      <w:bookmarkStart w:id="381" w:name="Tc_LIP9sOdd3EK0ojguMJ6Khg_9_8"/>
      <w:bookmarkStart w:id="382" w:name="Tc_6NJw_5hoXE-ywgOxTCy-sg_9_5"/>
      <w:bookmarkStart w:id="383" w:name="Tc_8vC7RytKpkac5v4T4rKfFA_9_2"/>
      <w:bookmarkStart w:id="384" w:name="Tc_HQIWMkQrCEmB4i89Bzexpw_9_0"/>
      <w:bookmarkStart w:id="385" w:name="Tc_pimtKlt7nUadFap2XVmtiw_8_11"/>
      <w:bookmarkStart w:id="386" w:name="Tc_0KITuoIu0kCFBDv6jmekWQ_8_8"/>
      <w:bookmarkStart w:id="387" w:name="Tc_AdxpMSf10k-Ud0HvBWWfgQ_8_5"/>
      <w:bookmarkStart w:id="388" w:name="Tc_kfBMna7uE0iBvyItlNI3-g_8_2"/>
      <w:bookmarkStart w:id="389" w:name="Tc_W8KEDrGRqU2L8XjXBbQFzg_8_0"/>
      <w:bookmarkStart w:id="390" w:name="Tc_xn_wL_gBjUaZol_oaFsWBw_7_16"/>
      <w:bookmarkStart w:id="391" w:name="Tc_RRVWYow5eUm8o8TkDvS5zg_7_13"/>
      <w:bookmarkStart w:id="392" w:name="Tc_H_toARVMsUe5XYtA7jv-TQ_7_11"/>
      <w:bookmarkStart w:id="393" w:name="Tc_HTfOnZVgGk2UWp7j6PBleg_7_5"/>
      <w:bookmarkStart w:id="394" w:name="Tc_Op1VC8zZaUWtuF-2rjjOkw_7_0"/>
      <w:bookmarkStart w:id="395" w:name="Tc_nCbzU2e8nUyEWKozGI23UQ_6_16"/>
      <w:bookmarkStart w:id="396" w:name="Tc_NiiRz_C7SkSbiGKQOVIvfA_6_13"/>
      <w:bookmarkStart w:id="397" w:name="Tc_jlpUHtGdsEedHSVqM8lWJg_6_11"/>
      <w:bookmarkStart w:id="398" w:name="Tc_MA9GUAMMyki9hBoeug1Fyg_6_5"/>
      <w:bookmarkStart w:id="399" w:name="Tc_8P2PbehN_EOhSNrM5d0Irw_6_2"/>
      <w:bookmarkStart w:id="400" w:name="Tc_Aaph0MevKU-zuaOIia0c3A_6_0"/>
      <w:bookmarkStart w:id="401" w:name="Tc_dbH60KupyUWwkmgBEduaQQ_5_19"/>
      <w:bookmarkStart w:id="402" w:name="Tc_3QNmCUboy0uszJwGQLHmOQ_5_16"/>
      <w:bookmarkStart w:id="403" w:name="Tc_aaZ5PhEFQ0mFw1d12CgWVA_5_13"/>
      <w:bookmarkStart w:id="404" w:name="Tc_IprxWnM6mkugMFIKl4S3Ng_5_11"/>
      <w:bookmarkStart w:id="405" w:name="Tc_fxgAMkb33UCfOhJEV2T5xQ_5_8"/>
      <w:bookmarkStart w:id="406" w:name="Tc_TDxbdKsajkad0hvttzXk6g_5_5"/>
      <w:bookmarkStart w:id="407" w:name="Tc_WlT0k-jqW0i9PtjmAKNhqQ_5_0"/>
      <w:bookmarkStart w:id="408" w:name="Tc_DzXJDM7e002knewFUidqZg_4_19"/>
      <w:bookmarkStart w:id="409" w:name="Tc_46h_OB5IlkGotjAGgA_H1g_4_16"/>
      <w:bookmarkStart w:id="410" w:name="Tc_x5Z_neh3QE2QfSlkp2E0aA_4_13"/>
      <w:bookmarkStart w:id="411" w:name="Tc_ThcYjUoaqEWP0Arnk9Rxfg_4_11"/>
      <w:bookmarkStart w:id="412" w:name="Tc_lqD7UcrlyUSHXNkG_-ospg_4_8"/>
      <w:bookmarkStart w:id="413" w:name="Tc_sJc5aTpAwEqlqk0EKDg7oA_4_5"/>
      <w:bookmarkStart w:id="414" w:name="Tc_NNeplhLIJEiXEZoFT46IZw_4_0"/>
      <w:bookmarkStart w:id="415" w:name="Tc_Fq6DRzrMD0C6T8iorIhskw_3_18"/>
      <w:bookmarkStart w:id="416" w:name="Tc_RINZCs0H0kymLk4Hb5od-w_3_15"/>
      <w:bookmarkStart w:id="417" w:name="Tc_WtNTPMuiqkWzYTb97vZfpQ_3_10"/>
      <w:bookmarkStart w:id="418" w:name="Tc_A7nz6LEgAEWSMoYmO2EsjQ_3_7"/>
      <w:bookmarkStart w:id="419" w:name="Tc_EirSlqVwbE-px6WUf47uSw_3_4"/>
      <w:bookmarkStart w:id="420" w:name="Tc_ZEdpumwrgEO9oyR6vpxrCA_3_0"/>
      <w:bookmarkStart w:id="421" w:name="Tc_CgHfSmL45UqToGOh2_YJfw_2_18"/>
      <w:bookmarkStart w:id="422" w:name="Tc_7dNj_-SZqUOGLLB89nmVeg_2_15"/>
      <w:bookmarkStart w:id="423" w:name="Tc_T1YklRE930uz-j8Gf7gtcQ_2_13"/>
      <w:bookmarkStart w:id="424" w:name="Tc_YAvUqiuL-0GS92m2wh1Ckg_2_10"/>
      <w:bookmarkStart w:id="425" w:name="Tc_10s1xcP1P0Oi5rLEDFFqTg_2_7"/>
      <w:bookmarkStart w:id="426" w:name="Tc_wMKT5Pl0VUKyoGCtJZ2zcQ_2_4"/>
      <w:bookmarkStart w:id="427" w:name="Tc_Bnu1s9Ius0-_aEvphNzc-w_2_2"/>
      <w:bookmarkStart w:id="428" w:name="Tc_0gbsQ0wL_0SXZ2U95aql2w_1_13"/>
      <w:bookmarkStart w:id="429" w:name="Tc_7wh8iYuvDUyk9q7t25JndA_1_10"/>
      <w:bookmarkStart w:id="430" w:name="Tc_6OqCj2KMEkmxCM2Fv2DW5g_1_7"/>
      <w:bookmarkStart w:id="431" w:name="Tc_FR-MsmBwR0-loa8Xo371LQ_1_2"/>
      <w:bookmarkStart w:id="432" w:name="_5e80f252_5787_438b_957e_b141098fb2f3"/>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tbl>
      <w:tblPr>
        <w:tblW w:w="10205" w:type="dxa"/>
        <w:jc w:val="left"/>
        <w:tblInd w:w="0" w:type="dxa"/>
        <w:tblLayout w:type="fixed"/>
        <w:tblCellMar>
          <w:top w:w="0" w:type="dxa"/>
          <w:left w:w="0" w:type="dxa"/>
          <w:bottom w:w="0" w:type="dxa"/>
          <w:right w:w="0" w:type="dxa"/>
        </w:tblCellMar>
      </w:tblPr>
      <w:tblGrid>
        <w:gridCol w:w="2542"/>
        <w:gridCol w:w="146"/>
        <w:gridCol w:w="1036"/>
        <w:gridCol w:w="109"/>
        <w:gridCol w:w="250"/>
        <w:gridCol w:w="501"/>
        <w:gridCol w:w="109"/>
        <w:gridCol w:w="211"/>
        <w:gridCol w:w="781"/>
        <w:gridCol w:w="109"/>
        <w:gridCol w:w="211"/>
        <w:gridCol w:w="781"/>
        <w:gridCol w:w="146"/>
        <w:gridCol w:w="931"/>
        <w:gridCol w:w="109"/>
        <w:gridCol w:w="211"/>
        <w:gridCol w:w="875"/>
        <w:gridCol w:w="109"/>
        <w:gridCol w:w="211"/>
        <w:gridCol w:w="827"/>
      </w:tblGrid>
      <w:tr>
        <w:trPr/>
        <w:tc>
          <w:tcPr>
            <w:tcW w:w="254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2710" cy="175260"/>
                      <wp:effectExtent l="0" t="0" r="0" b="0"/>
                      <wp:wrapNone/>
                      <wp:docPr id="29" name="Frame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57860" cy="175260"/>
                      <wp:effectExtent l="0" t="0" r="0" b="0"/>
                      <wp:wrapNone/>
                      <wp:docPr id="30" name="Frame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8750" cy="175260"/>
                      <wp:effectExtent l="0" t="0" r="0" b="0"/>
                      <wp:wrapNone/>
                      <wp:docPr id="32" name="Frame3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18135" cy="175260"/>
                      <wp:effectExtent l="0" t="0" r="0" b="0"/>
                      <wp:wrapNone/>
                      <wp:docPr id="33" name="Frame33"/>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6" name="Frame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2710" cy="175260"/>
                      <wp:effectExtent l="0" t="0" r="0" b="0"/>
                      <wp:wrapNone/>
                      <wp:docPr id="40" name="Frame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1185" cy="175260"/>
                      <wp:effectExtent l="0" t="0" r="0" b="0"/>
                      <wp:wrapNone/>
                      <wp:docPr id="41" name="Frame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55625" cy="175260"/>
                      <wp:effectExtent l="0" t="0" r="0" b="0"/>
                      <wp:wrapNone/>
                      <wp:docPr id="44" name="Frame44"/>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5145" cy="175260"/>
                      <wp:effectExtent l="0" t="0" r="0" b="0"/>
                      <wp:wrapNone/>
                      <wp:docPr id="47" name="Frame47"/>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4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Common Stock</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Paid in</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Retained</w:t>
            </w:r>
          </w:p>
        </w:tc>
        <w:tc>
          <w:tcPr>
            <w:tcW w:w="146" w:type="dxa"/>
            <w:tcBorders/>
            <w:vAlign w:val="center"/>
          </w:tcPr>
          <w:p>
            <w:pPr>
              <w:pStyle w:val="TableContents"/>
              <w:bidi w:val="0"/>
              <w:spacing w:before="0" w:after="0"/>
              <w:ind w:left="0" w:right="0" w:hanging="0"/>
              <w:jc w:val="left"/>
              <w:rPr/>
            </w:pPr>
            <w:r>
              <w:rPr/>
              <w:t>​</w:t>
            </w:r>
          </w:p>
        </w:tc>
        <w:tc>
          <w:tcPr>
            <w:tcW w:w="212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254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Capital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Earnings</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Total</w:t>
            </w:r>
          </w:p>
        </w:tc>
      </w:tr>
      <w:tr>
        <w:trPr/>
        <w:tc>
          <w:tcPr>
            <w:tcW w:w="25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February 1, 2025</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16,497,092</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108,101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275,901</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7,949,251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(270,988)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2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113,176</w:t>
            </w:r>
          </w:p>
        </w:tc>
      </w:tr>
      <w:tr>
        <w:trPr/>
        <w:tc>
          <w:tcPr>
            <w:tcW w:w="2542"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Issuance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2,089</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2542"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Forfeiture of nonvested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(19,398)</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2542"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968</w:t>
            </w:r>
          </w:p>
        </w:tc>
      </w:tr>
      <w:tr>
        <w:trPr/>
        <w:tc>
          <w:tcPr>
            <w:tcW w:w="2542"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share settlement of nonvested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(6,939)</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(141)</w:t>
            </w:r>
          </w:p>
        </w:tc>
      </w:tr>
      <w:tr>
        <w:trPr/>
        <w:tc>
          <w:tcPr>
            <w:tcW w:w="2542"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Repurchase of common stock</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250,555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(6,315)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(6,315)</w:t>
            </w:r>
          </w:p>
        </w:tc>
      </w:tr>
      <w:tr>
        <w:trPr/>
        <w:tc>
          <w:tcPr>
            <w:tcW w:w="2542"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871</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871</w:t>
            </w:r>
          </w:p>
        </w:tc>
      </w:tr>
      <w:tr>
        <w:trPr/>
        <w:tc>
          <w:tcPr>
            <w:tcW w:w="25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May 3, 2025</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16,472,844</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108,928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276,772</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8,199,806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(277,303)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108,559</w:t>
            </w:r>
          </w:p>
        </w:tc>
      </w:tr>
      <w:tr>
        <w:trPr/>
        <w:tc>
          <w:tcPr>
            <w:tcW w:w="2542"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2"/>
        <w:ind w:left="0" w:right="0" w:hanging="0"/>
        <w:jc w:val="center"/>
        <w:rPr/>
      </w:pPr>
      <w:r>
        <w:rPr/>
        <w:t>​</w:t>
      </w:r>
    </w:p>
    <w:p>
      <w:pPr>
        <w:pStyle w:val="Normal"/>
        <w:bidi w:val="0"/>
        <w:spacing w:before="0" w:after="0"/>
        <w:jc w:val="left"/>
        <w:rPr>
          <w:sz w:val="4"/>
          <w:szCs w:val="4"/>
        </w:rPr>
      </w:pPr>
      <w:r>
        <w:rPr>
          <w:sz w:val="4"/>
          <w:szCs w:val="4"/>
        </w:rPr>
      </w:r>
      <w:bookmarkStart w:id="433" w:name="Tc_7-kUPmW-AUKAA4OhXsxvrw_10_18"/>
      <w:bookmarkStart w:id="434" w:name="Tc_GUkPxIm6K0uxdBg3L6UoVw_10_15"/>
      <w:bookmarkStart w:id="435" w:name="Tc_k8icFHIo_UOs5dyV-w0IUw_10_10"/>
      <w:bookmarkStart w:id="436" w:name="Tc_9FxFrxWU7k63SJKyNqSkXA_10_7"/>
      <w:bookmarkStart w:id="437" w:name="Tc_HTwxDkuWK0e2s5l9o7c-_w_10_4"/>
      <w:bookmarkStart w:id="438" w:name="Tc_oGHQpW9jj0SGxzS5p5gEvw_10_0"/>
      <w:bookmarkStart w:id="439" w:name="Tc_dh3C-BCd1kufOGdYmA6tHg_9_16"/>
      <w:bookmarkStart w:id="440" w:name="Tc_8gXlXR7mA0GqF-uqyUjRrg_9_13"/>
      <w:bookmarkStart w:id="441" w:name="Tc_TEgx-XeQpkWFRvS26rfpYw_9_8"/>
      <w:bookmarkStart w:id="442" w:name="Tc_xRL6wgTgCEeKDtpL4GQRsA_9_5"/>
      <w:bookmarkStart w:id="443" w:name="Tc_PDohYAfQvUCMbMW_zmfyYA_9_2"/>
      <w:bookmarkStart w:id="444" w:name="Tc_-PpF17D71kKsCVrypIjCJA_9_0"/>
      <w:bookmarkStart w:id="445" w:name="Tc_zWzUlHvedkSuF0KxIOh2PA_8_16"/>
      <w:bookmarkStart w:id="446" w:name="Tc_Nk_drDba8kuTEYSdx-y-KQ_8_13"/>
      <w:bookmarkStart w:id="447" w:name="Tc_7bqYXC1_b0Ka0h7c8OaqUg_8_11"/>
      <w:bookmarkStart w:id="448" w:name="Tc_MaYkAAhx1ki-oZu0-Jfc5g_8_5"/>
      <w:bookmarkStart w:id="449" w:name="Tc_vgwITiXItU255DqRyMMRhQ_8_0"/>
      <w:bookmarkStart w:id="450" w:name="Tc_yOnyYqdKpU6R0nEgGq_fyQ_7_16"/>
      <w:bookmarkStart w:id="451" w:name="Tc_fBl2enu-wESpWvhOvJJU9g_7_13"/>
      <w:bookmarkStart w:id="452" w:name="Tc_GxBuLhWv9EiqzgLAG9SKSg_7_11"/>
      <w:bookmarkStart w:id="453" w:name="Tc_wVGzGa6LL0mtymJlqEzWwQ_7_5"/>
      <w:bookmarkStart w:id="454" w:name="Tc_q3CVMLG9Y0GQ7gBGuDP4VQ_7_2"/>
      <w:bookmarkStart w:id="455" w:name="Tc_bYPB85MuaUmoBq0wJCi9GQ_7_0"/>
      <w:bookmarkStart w:id="456" w:name="Tc_cNuhhnMctUCJnbz6lOcQDA_6_19"/>
      <w:bookmarkStart w:id="457" w:name="Tc_I-qkXQuasUyoHRAEI1Xj3Q_6_16"/>
      <w:bookmarkStart w:id="458" w:name="Tc_d6T1-p4V6UO0kDf1NzMScA_6_13"/>
      <w:bookmarkStart w:id="459" w:name="Tc_aEoS6YU07UeR5YHKfSQ_8Q_6_11"/>
      <w:bookmarkStart w:id="460" w:name="Tc_9PlXO33220W1rtVGEps7Zw_6_8"/>
      <w:bookmarkStart w:id="461" w:name="Tc_eIwWu7wYWkiDMwrdHl-K_A_6_5"/>
      <w:bookmarkStart w:id="462" w:name="Tc_bj_sIpUU8UyPxJIvsp9Dww_6_0"/>
      <w:bookmarkStart w:id="463" w:name="Tc_z8gy9j2hLEq25SfNw4mPSQ_5_19"/>
      <w:bookmarkStart w:id="464" w:name="Tc_r6QeQf9ZwkuY6cZyrx2cpw_5_16"/>
      <w:bookmarkStart w:id="465" w:name="Tc_ybERyeTsgUyXT5qXaTbcZg_5_13"/>
      <w:bookmarkStart w:id="466" w:name="Tc_wnCCZAHSDU-aJhXFFMW6EA_5_11"/>
      <w:bookmarkStart w:id="467" w:name="Tc_j0w0oNyYZ0-6y66EbslMiA_5_8"/>
      <w:bookmarkStart w:id="468" w:name="Tc_dXGeifsMGEOKiO1K0y8H2A_5_5"/>
      <w:bookmarkStart w:id="469" w:name="Tc_MgALSlApbUaBQKSqVu_uJw_5_0"/>
      <w:bookmarkStart w:id="470" w:name="Tc_Xo8-9DC0sESmuh7nOEGPMQ_4_16"/>
      <w:bookmarkStart w:id="471" w:name="Tc_9SqCuXhGyUud6LA62Xf-_w_4_13"/>
      <w:bookmarkStart w:id="472" w:name="Tc_kaR_04lQwUq173xo4dj91w_4_11"/>
      <w:bookmarkStart w:id="473" w:name="Tc_FDYsIuRvgkSUJ9m17kizMg_4_8"/>
      <w:bookmarkStart w:id="474" w:name="Tc_fe8rXf1K80CfF71h6vlwsw_4_2"/>
      <w:bookmarkStart w:id="475" w:name="Tc_qG2UMKmRaEqIcvCTmIyGCQ_4_0"/>
      <w:bookmarkStart w:id="476" w:name="Tc_6gOc7Xdsa0aoz6I2CvZfEA_3_18"/>
      <w:bookmarkStart w:id="477" w:name="Tc_RxOOrP0Bjk6Rct20JUDDFg_3_15"/>
      <w:bookmarkStart w:id="478" w:name="Tc_wnUJ98S1K0qZPbaPxbavvA_3_10"/>
      <w:bookmarkStart w:id="479" w:name="Tc_eX_2woSwMEG5H9q5uEixQg_3_7"/>
      <w:bookmarkStart w:id="480" w:name="Tc_ly9r7xBCaEKLDl-I7UCHfA_3_4"/>
      <w:bookmarkStart w:id="481" w:name="Tc_KjGHMZicmEW6S7eERz7Gbg_3_0"/>
      <w:bookmarkStart w:id="482" w:name="Tc_t0d1IbLfsUGOyHF97Vy47A_2_18"/>
      <w:bookmarkStart w:id="483" w:name="Tc_PRkPmwBHxU-A5y2RLkNE4A_2_15"/>
      <w:bookmarkStart w:id="484" w:name="Tc_ppsB3vDToUS-JSDMXkjsjg_2_13"/>
      <w:bookmarkStart w:id="485" w:name="Tc_zwUt2hBR0kO4PqQ9L4kqww_2_10"/>
      <w:bookmarkStart w:id="486" w:name="Tc_nM572NHcB0GMhRVUmZ-5ag_2_7"/>
      <w:bookmarkStart w:id="487" w:name="Tc_qsk87wsXpUmWxQrzTkDSOg_2_4"/>
      <w:bookmarkStart w:id="488" w:name="Tc_0usL_Vw7S0GkYigVJETX4g_2_2"/>
      <w:bookmarkStart w:id="489" w:name="Tc_40wONCLzXUyPS4yqZW4xjw_1_13"/>
      <w:bookmarkStart w:id="490" w:name="Tc_7YVZ8KU-RUKPtS6WUX_SgQ_1_10"/>
      <w:bookmarkStart w:id="491" w:name="Tc_Lmfb1WL59ESa0lsauCYaUg_1_7"/>
      <w:bookmarkStart w:id="492" w:name="Tc_t4cVjRjPxUq1YGnfrSlgbw_1_2"/>
      <w:bookmarkStart w:id="493" w:name="_a3ced06e_05b1_48a5_aaa1_091804db1ee6"/>
      <w:bookmarkStart w:id="494" w:name="Tc_7-kUPmW-AUKAA4OhXsxvrw_10_18"/>
      <w:bookmarkStart w:id="495" w:name="Tc_GUkPxIm6K0uxdBg3L6UoVw_10_15"/>
      <w:bookmarkStart w:id="496" w:name="Tc_k8icFHIo_UOs5dyV-w0IUw_10_10"/>
      <w:bookmarkStart w:id="497" w:name="Tc_9FxFrxWU7k63SJKyNqSkXA_10_7"/>
      <w:bookmarkStart w:id="498" w:name="Tc_HTwxDkuWK0e2s5l9o7c-_w_10_4"/>
      <w:bookmarkStart w:id="499" w:name="Tc_oGHQpW9jj0SGxzS5p5gEvw_10_0"/>
      <w:bookmarkStart w:id="500" w:name="Tc_dh3C-BCd1kufOGdYmA6tHg_9_16"/>
      <w:bookmarkStart w:id="501" w:name="Tc_8gXlXR7mA0GqF-uqyUjRrg_9_13"/>
      <w:bookmarkStart w:id="502" w:name="Tc_TEgx-XeQpkWFRvS26rfpYw_9_8"/>
      <w:bookmarkStart w:id="503" w:name="Tc_xRL6wgTgCEeKDtpL4GQRsA_9_5"/>
      <w:bookmarkStart w:id="504" w:name="Tc_PDohYAfQvUCMbMW_zmfyYA_9_2"/>
      <w:bookmarkStart w:id="505" w:name="Tc_-PpF17D71kKsCVrypIjCJA_9_0"/>
      <w:bookmarkStart w:id="506" w:name="Tc_zWzUlHvedkSuF0KxIOh2PA_8_16"/>
      <w:bookmarkStart w:id="507" w:name="Tc_Nk_drDba8kuTEYSdx-y-KQ_8_13"/>
      <w:bookmarkStart w:id="508" w:name="Tc_7bqYXC1_b0Ka0h7c8OaqUg_8_11"/>
      <w:bookmarkStart w:id="509" w:name="Tc_MaYkAAhx1ki-oZu0-Jfc5g_8_5"/>
      <w:bookmarkStart w:id="510" w:name="Tc_vgwITiXItU255DqRyMMRhQ_8_0"/>
      <w:bookmarkStart w:id="511" w:name="Tc_yOnyYqdKpU6R0nEgGq_fyQ_7_16"/>
      <w:bookmarkStart w:id="512" w:name="Tc_fBl2enu-wESpWvhOvJJU9g_7_13"/>
      <w:bookmarkStart w:id="513" w:name="Tc_GxBuLhWv9EiqzgLAG9SKSg_7_11"/>
      <w:bookmarkStart w:id="514" w:name="Tc_wVGzGa6LL0mtymJlqEzWwQ_7_5"/>
      <w:bookmarkStart w:id="515" w:name="Tc_q3CVMLG9Y0GQ7gBGuDP4VQ_7_2"/>
      <w:bookmarkStart w:id="516" w:name="Tc_bYPB85MuaUmoBq0wJCi9GQ_7_0"/>
      <w:bookmarkStart w:id="517" w:name="Tc_cNuhhnMctUCJnbz6lOcQDA_6_19"/>
      <w:bookmarkStart w:id="518" w:name="Tc_I-qkXQuasUyoHRAEI1Xj3Q_6_16"/>
      <w:bookmarkStart w:id="519" w:name="Tc_d6T1-p4V6UO0kDf1NzMScA_6_13"/>
      <w:bookmarkStart w:id="520" w:name="Tc_aEoS6YU07UeR5YHKfSQ_8Q_6_11"/>
      <w:bookmarkStart w:id="521" w:name="Tc_9PlXO33220W1rtVGEps7Zw_6_8"/>
      <w:bookmarkStart w:id="522" w:name="Tc_eIwWu7wYWkiDMwrdHl-K_A_6_5"/>
      <w:bookmarkStart w:id="523" w:name="Tc_bj_sIpUU8UyPxJIvsp9Dww_6_0"/>
      <w:bookmarkStart w:id="524" w:name="Tc_z8gy9j2hLEq25SfNw4mPSQ_5_19"/>
      <w:bookmarkStart w:id="525" w:name="Tc_r6QeQf9ZwkuY6cZyrx2cpw_5_16"/>
      <w:bookmarkStart w:id="526" w:name="Tc_ybERyeTsgUyXT5qXaTbcZg_5_13"/>
      <w:bookmarkStart w:id="527" w:name="Tc_wnCCZAHSDU-aJhXFFMW6EA_5_11"/>
      <w:bookmarkStart w:id="528" w:name="Tc_j0w0oNyYZ0-6y66EbslMiA_5_8"/>
      <w:bookmarkStart w:id="529" w:name="Tc_dXGeifsMGEOKiO1K0y8H2A_5_5"/>
      <w:bookmarkStart w:id="530" w:name="Tc_MgALSlApbUaBQKSqVu_uJw_5_0"/>
      <w:bookmarkStart w:id="531" w:name="Tc_Xo8-9DC0sESmuh7nOEGPMQ_4_16"/>
      <w:bookmarkStart w:id="532" w:name="Tc_9SqCuXhGyUud6LA62Xf-_w_4_13"/>
      <w:bookmarkStart w:id="533" w:name="Tc_kaR_04lQwUq173xo4dj91w_4_11"/>
      <w:bookmarkStart w:id="534" w:name="Tc_FDYsIuRvgkSUJ9m17kizMg_4_8"/>
      <w:bookmarkStart w:id="535" w:name="Tc_fe8rXf1K80CfF71h6vlwsw_4_2"/>
      <w:bookmarkStart w:id="536" w:name="Tc_qG2UMKmRaEqIcvCTmIyGCQ_4_0"/>
      <w:bookmarkStart w:id="537" w:name="Tc_6gOc7Xdsa0aoz6I2CvZfEA_3_18"/>
      <w:bookmarkStart w:id="538" w:name="Tc_RxOOrP0Bjk6Rct20JUDDFg_3_15"/>
      <w:bookmarkStart w:id="539" w:name="Tc_wnUJ98S1K0qZPbaPxbavvA_3_10"/>
      <w:bookmarkStart w:id="540" w:name="Tc_eX_2woSwMEG5H9q5uEixQg_3_7"/>
      <w:bookmarkStart w:id="541" w:name="Tc_ly9r7xBCaEKLDl-I7UCHfA_3_4"/>
      <w:bookmarkStart w:id="542" w:name="Tc_KjGHMZicmEW6S7eERz7Gbg_3_0"/>
      <w:bookmarkStart w:id="543" w:name="Tc_t0d1IbLfsUGOyHF97Vy47A_2_18"/>
      <w:bookmarkStart w:id="544" w:name="Tc_PRkPmwBHxU-A5y2RLkNE4A_2_15"/>
      <w:bookmarkStart w:id="545" w:name="Tc_ppsB3vDToUS-JSDMXkjsjg_2_13"/>
      <w:bookmarkStart w:id="546" w:name="Tc_zwUt2hBR0kO4PqQ9L4kqww_2_10"/>
      <w:bookmarkStart w:id="547" w:name="Tc_nM572NHcB0GMhRVUmZ-5ag_2_7"/>
      <w:bookmarkStart w:id="548" w:name="Tc_qsk87wsXpUmWxQrzTkDSOg_2_4"/>
      <w:bookmarkStart w:id="549" w:name="Tc_0usL_Vw7S0GkYigVJETX4g_2_2"/>
      <w:bookmarkStart w:id="550" w:name="Tc_40wONCLzXUyPS4yqZW4xjw_1_13"/>
      <w:bookmarkStart w:id="551" w:name="Tc_7YVZ8KU-RUKPtS6WUX_SgQ_1_10"/>
      <w:bookmarkStart w:id="552" w:name="Tc_Lmfb1WL59ESa0lsauCYaUg_1_7"/>
      <w:bookmarkStart w:id="553" w:name="Tc_t4cVjRjPxUq1YGnfrSlgbw_1_2"/>
      <w:bookmarkStart w:id="554" w:name="_a3ced06e_05b1_48a5_aaa1_091804db1ee6"/>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tbl>
      <w:tblPr>
        <w:tblW w:w="10205" w:type="dxa"/>
        <w:jc w:val="left"/>
        <w:tblInd w:w="0" w:type="dxa"/>
        <w:tblLayout w:type="fixed"/>
        <w:tblCellMar>
          <w:top w:w="0" w:type="dxa"/>
          <w:left w:w="0" w:type="dxa"/>
          <w:bottom w:w="0" w:type="dxa"/>
          <w:right w:w="0" w:type="dxa"/>
        </w:tblCellMar>
      </w:tblPr>
      <w:tblGrid>
        <w:gridCol w:w="2484"/>
        <w:gridCol w:w="146"/>
        <w:gridCol w:w="1036"/>
        <w:gridCol w:w="109"/>
        <w:gridCol w:w="250"/>
        <w:gridCol w:w="501"/>
        <w:gridCol w:w="109"/>
        <w:gridCol w:w="211"/>
        <w:gridCol w:w="781"/>
        <w:gridCol w:w="109"/>
        <w:gridCol w:w="211"/>
        <w:gridCol w:w="781"/>
        <w:gridCol w:w="146"/>
        <w:gridCol w:w="931"/>
        <w:gridCol w:w="109"/>
        <w:gridCol w:w="211"/>
        <w:gridCol w:w="873"/>
        <w:gridCol w:w="109"/>
        <w:gridCol w:w="211"/>
        <w:gridCol w:w="887"/>
      </w:tblGrid>
      <w:tr>
        <w:trPr/>
        <w:tc>
          <w:tcPr>
            <w:tcW w:w="24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2710" cy="175260"/>
                      <wp:effectExtent l="0" t="0" r="0" b="0"/>
                      <wp:wrapNone/>
                      <wp:docPr id="48" name="Frame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57860" cy="175260"/>
                      <wp:effectExtent l="0" t="0" r="0" b="0"/>
                      <wp:wrapNone/>
                      <wp:docPr id="49" name="Frame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8750" cy="175260"/>
                      <wp:effectExtent l="0" t="0" r="0" b="0"/>
                      <wp:wrapNone/>
                      <wp:docPr id="51" name="Frame5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18135" cy="175260"/>
                      <wp:effectExtent l="0" t="0" r="0" b="0"/>
                      <wp:wrapNone/>
                      <wp:docPr id="52" name="Frame5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935" cy="175260"/>
                      <wp:effectExtent l="0" t="0" r="0" b="0"/>
                      <wp:wrapNone/>
                      <wp:docPr id="55" name="Frame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2710" cy="175260"/>
                      <wp:effectExtent l="0" t="0" r="0" b="0"/>
                      <wp:wrapNone/>
                      <wp:docPr id="59" name="Frame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1185" cy="175260"/>
                      <wp:effectExtent l="0" t="0" r="0" b="0"/>
                      <wp:wrapNone/>
                      <wp:docPr id="60" name="Frame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54355" cy="175260"/>
                      <wp:effectExtent l="0" t="0" r="0" b="0"/>
                      <wp:wrapNone/>
                      <wp:docPr id="63" name="Frame63"/>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3245" cy="175260"/>
                      <wp:effectExtent l="0" t="0" r="0" b="0"/>
                      <wp:wrapNone/>
                      <wp:docPr id="66" name="Frame6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Common Stock</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Paid in</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Retained</w:t>
            </w:r>
          </w:p>
        </w:tc>
        <w:tc>
          <w:tcPr>
            <w:tcW w:w="146" w:type="dxa"/>
            <w:tcBorders/>
            <w:vAlign w:val="center"/>
          </w:tcPr>
          <w:p>
            <w:pPr>
              <w:pStyle w:val="TableContents"/>
              <w:bidi w:val="0"/>
              <w:spacing w:before="0" w:after="0"/>
              <w:ind w:left="0" w:right="0" w:hanging="0"/>
              <w:jc w:val="left"/>
              <w:rPr/>
            </w:pPr>
            <w:r>
              <w:rPr/>
              <w:t>​</w:t>
            </w:r>
          </w:p>
        </w:tc>
        <w:tc>
          <w:tcPr>
            <w:tcW w:w="21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Capital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Earnings</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Total</w:t>
            </w:r>
          </w:p>
        </w:tc>
      </w:tr>
      <w:tr>
        <w:trPr/>
        <w:tc>
          <w:tcPr>
            <w:tcW w:w="24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February 3, 2024</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16,354,714</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105,686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319,071</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3"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8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157,706</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Vesting of nonvested shares</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Issuance of nonvested shares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2,811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Forfeiture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(5,178)</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884</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share settlement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(11,618)</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(333)</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loss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(3,426)</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(3,426)</w:t>
            </w:r>
          </w:p>
        </w:tc>
      </w:tr>
      <w:tr>
        <w:trPr/>
        <w:tc>
          <w:tcPr>
            <w:tcW w:w="248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May 4, 2024</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16,340,729</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106,237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315,645</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 w:hAnsi="Helvetica"/>
                <w:sz w:val="18"/>
              </w:rPr>
            </w:pPr>
            <w:r>
              <w:rPr>
                <w:rFonts w:ascii="Helvetica" w:hAnsi="Helvetica"/>
                <w:sz w:val="18"/>
              </w:rPr>
              <w:t>154,832</w:t>
            </w:r>
          </w:p>
        </w:tc>
      </w:tr>
    </w:tbl>
    <w:p>
      <w:pPr>
        <w:pStyle w:val="TextBody"/>
        <w:bidi w:val="0"/>
        <w:spacing w:before="0" w:after="22"/>
        <w:ind w:left="0" w:right="0" w:hanging="0"/>
        <w:jc w:val="center"/>
        <w:rPr/>
      </w:pPr>
      <w:r>
        <w:rPr/>
        <w:t>​</w:t>
      </w:r>
    </w:p>
    <w:p>
      <w:pPr>
        <w:pStyle w:val="TextBody"/>
        <w:bidi w:val="0"/>
        <w:spacing w:before="0" w:after="22"/>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b/>
          <w:sz w:val="18"/>
        </w:rPr>
      </w:pPr>
      <w:bookmarkStart w:id="555" w:name="_b3f325df_1df9_4ef8_b73f_2bf96aa8004a"/>
      <w:bookmarkEnd w:id="555"/>
      <w:r>
        <w:rPr>
          <w:rFonts w:ascii="Helvetica" w:hAnsi="Helvetica"/>
          <w:b/>
          <w:sz w:val="18"/>
        </w:rPr>
        <w:t>Citi Trends, Inc.</w:t>
      </w:r>
    </w:p>
    <w:p>
      <w:pPr>
        <w:pStyle w:val="TextBody"/>
        <w:bidi w:val="0"/>
        <w:spacing w:before="0" w:after="22"/>
        <w:ind w:left="0" w:right="0" w:hanging="0"/>
        <w:jc w:val="left"/>
        <w:rPr>
          <w:rFonts w:ascii="Helvetica" w:hAnsi="Helvetica"/>
          <w:b/>
          <w:sz w:val="18"/>
        </w:rPr>
      </w:pPr>
      <w:bookmarkStart w:id="556" w:name="Notes_435113"/>
      <w:bookmarkEnd w:id="556"/>
      <w:r>
        <w:rPr>
          <w:rFonts w:ascii="Helvetica" w:hAnsi="Helvetica"/>
          <w:b/>
          <w:sz w:val="18"/>
        </w:rPr>
        <w:t>Notes to the Condensed Consolidated Financial Statements (unaudited)</w:t>
      </w:r>
    </w:p>
    <w:p>
      <w:pPr>
        <w:pStyle w:val="TextBody"/>
        <w:bidi w:val="0"/>
        <w:spacing w:before="0" w:after="22"/>
        <w:ind w:left="0" w:right="0" w:hanging="0"/>
        <w:jc w:val="left"/>
        <w:rPr>
          <w:rFonts w:ascii="Helvetica" w:hAnsi="Helvetica"/>
          <w:b/>
          <w:sz w:val="18"/>
        </w:rPr>
      </w:pPr>
      <w:r>
        <w:rPr>
          <w:rFonts w:ascii="Helvetica" w:hAnsi="Helvetica"/>
          <w:b/>
          <w:sz w:val="18"/>
        </w:rPr>
        <w:t>May 3, 2025</w:t>
      </w:r>
    </w:p>
    <w:p>
      <w:pPr>
        <w:pStyle w:val="TextBody"/>
        <w:bidi w:val="0"/>
        <w:spacing w:before="0" w:after="22"/>
        <w:ind w:left="0" w:right="0" w:hanging="0"/>
        <w:jc w:val="center"/>
        <w:rPr/>
      </w:pPr>
      <w:r>
        <w:rPr/>
        <w:t>​</w:t>
      </w:r>
    </w:p>
    <w:p>
      <w:pPr>
        <w:pStyle w:val="TextBody"/>
        <w:pBdr/>
        <w:bidi w:val="0"/>
        <w:spacing w:before="0" w:after="22"/>
        <w:ind w:left="0" w:right="0" w:hanging="245"/>
        <w:jc w:val="left"/>
        <w:rPr>
          <w:rFonts w:ascii="Helvetica" w:hAnsi="Helvetica"/>
          <w:sz w:val="18"/>
        </w:rPr>
      </w:pPr>
      <w:r>
        <w:rPr>
          <w:rFonts w:ascii="Helvetica" w:hAnsi="Helvetica"/>
          <w:sz w:val="18"/>
        </w:rPr>
        <w:t>1. Significant Accounting Policies</w:t>
      </w:r>
    </w:p>
    <w:p>
      <w:pPr>
        <w:pStyle w:val="TextBody"/>
        <w:pBdr/>
        <w:bidi w:val="0"/>
        <w:spacing w:before="0" w:after="22"/>
        <w:ind w:left="0" w:right="0" w:hanging="245"/>
        <w:jc w:val="left"/>
        <w:rPr/>
      </w:pPr>
      <w:r>
        <w:rPr/>
        <w:t>​</w:t>
      </w:r>
    </w:p>
    <w:p>
      <w:pPr>
        <w:pStyle w:val="TextBody"/>
        <w:pBdr/>
        <w:bidi w:val="0"/>
        <w:spacing w:before="0" w:after="22"/>
        <w:ind w:left="0" w:right="0" w:hanging="245"/>
        <w:jc w:val="left"/>
        <w:rPr>
          <w:rFonts w:ascii="Helvetica" w:hAnsi="Helvetica"/>
          <w:i/>
          <w:sz w:val="18"/>
        </w:rPr>
      </w:pPr>
      <w:r>
        <w:rPr>
          <w:rFonts w:ascii="Helvetica" w:hAnsi="Helvetica"/>
          <w:i/>
          <w:sz w:val="18"/>
        </w:rPr>
        <w:t>Basis of Presentation</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 xml:space="preserve">Citi Trends, Inc. and its subsidiary (the </w:t>
      </w:r>
      <w:r>
        <w:rPr>
          <w:rFonts w:ascii="Times New Roman;Times;serif" w:hAnsi="Times New Roman;Times;serif"/>
          <w:sz w:val="18"/>
        </w:rPr>
        <w:t>“</w:t>
      </w:r>
      <w:r>
        <w:rPr>
          <w:rFonts w:ascii="Helvetica" w:hAnsi="Helvetica"/>
          <w:sz w:val="18"/>
        </w:rPr>
        <w:t>Company</w:t>
      </w:r>
      <w:r>
        <w:rPr>
          <w:rFonts w:ascii="Times New Roman;Times;serif" w:hAnsi="Times New Roman;Times;serif"/>
          <w:sz w:val="18"/>
        </w:rPr>
        <w:t>”</w:t>
      </w:r>
      <w:r>
        <w:rPr>
          <w:rFonts w:ascii="Helvetica" w:hAnsi="Helvetica"/>
          <w:sz w:val="18"/>
        </w:rPr>
        <w:t>) is a leading off-price value retailer of apparel, accessories and home trends primarily for African American families in the United States. As of May 3, 2025, the Company operated 591</w:t>
      </w:r>
      <w:r>
        <w:rPr>
          <w:rFonts w:ascii="Times New Roman;Times;serif" w:hAnsi="Times New Roman;Times;serif"/>
          <w:sz w:val="18"/>
        </w:rPr>
        <w:t xml:space="preserve"> </w:t>
      </w:r>
      <w:r>
        <w:rPr>
          <w:rFonts w:ascii="Helvetica" w:hAnsi="Helvetica"/>
          <w:sz w:val="18"/>
        </w:rPr>
        <w:t>stores in urban, suburban and rural markets in 33</w:t>
      </w:r>
      <w:r>
        <w:rPr>
          <w:rFonts w:ascii="Times New Roman;Times;serif" w:hAnsi="Times New Roman;Times;serif"/>
          <w:sz w:val="18"/>
        </w:rPr>
        <w:t xml:space="preserve"> </w:t>
      </w:r>
      <w:r>
        <w:rPr>
          <w:rFonts w:ascii="Helvetica" w:hAnsi="Helvetica"/>
          <w:sz w:val="18"/>
        </w:rPr>
        <w:t>states.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condensed consolidated financial statements are prepared in accordance with U.S. generally accepted accounting principles (</w:t>
      </w:r>
      <w:r>
        <w:rPr>
          <w:rFonts w:ascii="Times New Roman;Times;serif" w:hAnsi="Times New Roman;Times;serif"/>
          <w:sz w:val="18"/>
        </w:rPr>
        <w:t>“</w:t>
      </w:r>
      <w:r>
        <w:rPr>
          <w:rFonts w:ascii="Helvetica" w:hAnsi="Helvetica"/>
          <w:sz w:val="18"/>
        </w:rPr>
        <w:t>U.S. GAAP</w:t>
      </w:r>
      <w:r>
        <w:rPr>
          <w:rFonts w:ascii="Times New Roman;Times;serif" w:hAnsi="Times New Roman;Times;serif"/>
          <w:sz w:val="18"/>
        </w:rPr>
        <w:t>”</w:t>
      </w:r>
      <w:r>
        <w:rPr>
          <w:rFonts w:ascii="Helvetica" w:hAnsi="Helvetica"/>
          <w:sz w:val="18"/>
        </w:rPr>
        <w:t>)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1, 2025 is derived from the audited financial statements in the Company</w:t>
      </w:r>
      <w:r>
        <w:rPr>
          <w:rFonts w:ascii="Times New Roman;Times;serif" w:hAnsi="Times New Roman;Times;serif"/>
          <w:sz w:val="18"/>
        </w:rPr>
        <w:t>’</w:t>
      </w:r>
      <w:r>
        <w:rPr>
          <w:rFonts w:ascii="Helvetica" w:hAnsi="Helvetica"/>
          <w:sz w:val="18"/>
        </w:rPr>
        <w:t xml:space="preserve">s Annual Report on Form 10-K for the fiscal year ended February 1, 2025 (the </w:t>
      </w:r>
      <w:r>
        <w:rPr>
          <w:rFonts w:ascii="Times New Roman;Times;serif" w:hAnsi="Times New Roman;Times;serif"/>
          <w:sz w:val="18"/>
        </w:rPr>
        <w:t>“</w:t>
      </w:r>
      <w:r>
        <w:rPr>
          <w:rFonts w:ascii="Helvetica" w:hAnsi="Helvetica"/>
          <w:sz w:val="18"/>
        </w:rPr>
        <w:t>2024 Form 10-K</w:t>
      </w:r>
      <w:r>
        <w:rPr>
          <w:rFonts w:ascii="Times New Roman;Times;serif" w:hAnsi="Times New Roman;Times;serif"/>
          <w:sz w:val="18"/>
        </w:rPr>
        <w:t>”</w:t>
      </w:r>
      <w:r>
        <w:rPr>
          <w:rFonts w:ascii="Helvetica" w:hAnsi="Helvetica"/>
          <w:sz w:val="18"/>
        </w:rPr>
        <w:t>). These condensed consolidated financial statements should be read in conjunction with the audited consolidated financial statements and notes thereto included in the 2024 Form 10-K. Operating results for the first quarter of 2025 are not necessarily indicative of the results that may be expected for the fiscal year as a result of the seasonality of the business and the current economic uncertainty.</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i/>
          <w:sz w:val="18"/>
        </w:rPr>
      </w:pPr>
      <w:r>
        <w:rPr>
          <w:rFonts w:ascii="Helvetica" w:hAnsi="Helvetica"/>
          <w:i/>
          <w:sz w:val="18"/>
        </w:rPr>
        <w:t>Fiscal Year</w:t>
      </w:r>
    </w:p>
    <w:p>
      <w:pPr>
        <w:pStyle w:val="TextBody"/>
        <w:bidi w:val="0"/>
        <w:spacing w:before="0" w:after="22"/>
        <w:ind w:left="0" w:right="0" w:hanging="0"/>
        <w:jc w:val="left"/>
        <w:rPr>
          <w:rFonts w:ascii="Helvetica" w:hAnsi="Helvetica"/>
          <w:sz w:val="18"/>
        </w:rPr>
      </w:pPr>
      <w:r>
        <w:rPr>
          <w:rFonts w:ascii="Helvetica" w:hAnsi="Helvetica"/>
          <w:sz w:val="18"/>
        </w:rPr>
        <w:t>The following contains references to fiscal years 2025 and 2024, which represent fiscal years ending or ended on January 31, 2026 and February 1, 2025, respectively. Fiscal 2025 and fiscal 2024 both have 52-week accounting periods.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i/>
          <w:sz w:val="18"/>
        </w:rPr>
      </w:pPr>
      <w:r>
        <w:rPr>
          <w:rFonts w:ascii="Helvetica" w:hAnsi="Helvetica"/>
          <w:i/>
          <w:sz w:val="18"/>
        </w:rPr>
        <w:t>Assets Held for Sale</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 xml:space="preserve">Assets and liabilities to be disposed of by sale are classified as </w:t>
      </w:r>
      <w:r>
        <w:rPr>
          <w:rFonts w:ascii="Times New Roman;Times;serif" w:hAnsi="Times New Roman;Times;serif"/>
          <w:sz w:val="18"/>
        </w:rPr>
        <w:t>“</w:t>
      </w:r>
      <w:r>
        <w:rPr>
          <w:rFonts w:ascii="Helvetica" w:hAnsi="Helvetica"/>
          <w:sz w:val="18"/>
        </w:rPr>
        <w:t>held for sale</w:t>
      </w:r>
      <w:r>
        <w:rPr>
          <w:rFonts w:ascii="Times New Roman;Times;serif" w:hAnsi="Times New Roman;Times;serif"/>
          <w:sz w:val="18"/>
        </w:rPr>
        <w:t xml:space="preserve">” </w:t>
      </w:r>
      <w:r>
        <w:rPr>
          <w:rFonts w:ascii="Helvetica" w:hAnsi="Helvetica"/>
          <w:sz w:val="18"/>
        </w:rPr>
        <w:t>if their carrying amounts are principally expected to be recovered through a sale transaction rather than through continuing use, and the disposal group is available for immediate sale and the sale is probable. These criteria are generally met when an agreement to sell exists, or management has committed to a plan to sell the assets within one year. Disposal groups are measured at the lower of carrying amount or fair value less costs to sell, and long-lived assets included within the disposal group are no longer depreciated or amortized.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As of May 3, 2025, the Company had $0.2</w:t>
      </w:r>
      <w:r>
        <w:rPr>
          <w:rFonts w:ascii="Times New Roman;Times;serif" w:hAnsi="Times New Roman;Times;serif"/>
          <w:sz w:val="18"/>
        </w:rPr>
        <w:t xml:space="preserve"> </w:t>
      </w:r>
      <w:r>
        <w:rPr>
          <w:rFonts w:ascii="Helvetica" w:hAnsi="Helvetica"/>
          <w:sz w:val="18"/>
        </w:rPr>
        <w:t>million of assets classified as held for sale.</w:t>
      </w:r>
    </w:p>
    <w:p>
      <w:pPr>
        <w:pStyle w:val="TextBody"/>
        <w:bidi w:val="0"/>
        <w:spacing w:lineRule="auto" w:line="304" w:before="100" w:after="100"/>
        <w:ind w:left="0" w:right="0" w:hanging="0"/>
        <w:jc w:val="left"/>
        <w:rPr/>
      </w:pPr>
      <w:r>
        <w:rPr/>
        <w:t>​</w:t>
      </w:r>
    </w:p>
    <w:p>
      <w:pPr>
        <w:pStyle w:val="TextBody"/>
        <w:bidi w:val="0"/>
        <w:spacing w:before="0" w:after="53"/>
        <w:ind w:left="0" w:right="0" w:hanging="0"/>
        <w:jc w:val="left"/>
        <w:rPr>
          <w:rFonts w:ascii="Helvetica" w:hAnsi="Helvetica"/>
          <w:sz w:val="18"/>
        </w:rPr>
      </w:pPr>
      <w:bookmarkStart w:id="557" w:name="_705c566b_cdb8_46e0_bb5d_a3ed91608bc3"/>
      <w:bookmarkEnd w:id="557"/>
      <w:r>
        <w:rPr>
          <w:rFonts w:ascii="Helvetica" w:hAnsi="Helvetica"/>
          <w:sz w:val="18"/>
        </w:rPr>
        <w:t>2. Cash and Cash Equivalents/Concentration of Credit Risk</w:t>
      </w:r>
    </w:p>
    <w:p>
      <w:pPr>
        <w:pStyle w:val="TextBody"/>
        <w:bidi w:val="0"/>
        <w:spacing w:before="0" w:after="53"/>
        <w:ind w:left="0" w:right="0" w:hanging="0"/>
        <w:jc w:val="left"/>
        <w:rPr/>
      </w:pPr>
      <w:r>
        <w:rPr/>
        <w:t>​</w:t>
      </w:r>
    </w:p>
    <w:p>
      <w:pPr>
        <w:pStyle w:val="TextBody"/>
        <w:bidi w:val="0"/>
        <w:spacing w:before="0" w:after="53"/>
        <w:ind w:left="0" w:right="0" w:hanging="0"/>
        <w:jc w:val="left"/>
        <w:rPr>
          <w:rFonts w:ascii="Helvetica" w:hAnsi="Helvetica"/>
          <w:sz w:val="18"/>
        </w:rPr>
      </w:pPr>
      <w:r>
        <w:rPr>
          <w:rFonts w:ascii="Helvetica" w:hAnsi="Helvetica"/>
          <w:sz w:val="18"/>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pStyle w:val="TextBody"/>
        <w:bidi w:val="0"/>
        <w:spacing w:before="0" w:after="53"/>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3. Earnings per Share</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pStyle w:val="TextBody"/>
        <w:bidi w:val="0"/>
        <w:spacing w:before="0" w:after="22"/>
        <w:ind w:left="0" w:right="0" w:hanging="0"/>
        <w:jc w:val="left"/>
        <w:rPr/>
      </w:pPr>
      <w:r>
        <w:rPr/>
        <w:t>​</w:t>
      </w:r>
    </w:p>
    <w:p>
      <w:pPr>
        <w:pStyle w:val="TextBody"/>
        <w:bidi w:val="0"/>
        <w:spacing w:before="0" w:after="0"/>
        <w:ind w:left="0" w:right="0" w:hanging="0"/>
        <w:jc w:val="left"/>
        <w:rPr>
          <w:rFonts w:ascii="Helvetica" w:hAnsi="Helvetica"/>
          <w:sz w:val="18"/>
        </w:rPr>
      </w:pPr>
      <w:r>
        <w:rPr>
          <w:rFonts w:ascii="Helvetica" w:hAnsi="Helvetica"/>
          <w:sz w:val="18"/>
        </w:rPr>
        <w:t xml:space="preserve">The dilutive effect of stock-based compensation arrangements is accounted for using the treasury stock method. The Company includes the amount of compensation cost attributed to future services and not yet recognized as assumed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Times New Roman;Times;serif" w:hAnsi="Times New Roman;Times;serif"/>
          <w:sz w:val="18"/>
        </w:rPr>
      </w:pPr>
      <w:bookmarkStart w:id="558" w:name="Tc_kEQGyLmLHkef6zLecm66TA_5_0"/>
      <w:bookmarkStart w:id="559" w:name="Tc_7ebFhzTjgUCtVhEdULcBFg_4_4"/>
      <w:bookmarkStart w:id="560" w:name="Tc_TJBAQcqJ8EeNb_DTBRNVSg_4_0"/>
      <w:bookmarkStart w:id="561" w:name="Tc_J7yCEPi46kOsgtRROwp0Sw_3_0"/>
      <w:bookmarkStart w:id="562" w:name="Tc_cm-8_Dx37k6e5n1p4CYA3g_2_4"/>
      <w:bookmarkStart w:id="563" w:name="Tc_mk_gWOkuDk6mVVM1dkET0g_2_2"/>
      <w:bookmarkStart w:id="564" w:name="Tc_wwqa2A3xLkmKX_jCtmmerw_1_2"/>
      <w:bookmarkStart w:id="565" w:name="_72f2ff0a_2b05_4874_82d2_72d35d6efe31"/>
      <w:bookmarkEnd w:id="558"/>
      <w:bookmarkEnd w:id="559"/>
      <w:bookmarkEnd w:id="560"/>
      <w:bookmarkEnd w:id="561"/>
      <w:bookmarkEnd w:id="562"/>
      <w:bookmarkEnd w:id="563"/>
      <w:bookmarkEnd w:id="564"/>
      <w:bookmarkEnd w:id="565"/>
      <w:r>
        <w:rPr>
          <w:rFonts w:ascii="Helvetica" w:hAnsi="Helvetica"/>
          <w:sz w:val="18"/>
        </w:rPr>
        <w:t>proceeds. For the first quarter of 2025 and 2024, there were 0</w:t>
      </w:r>
      <w:r>
        <w:rPr>
          <w:rFonts w:ascii="Times New Roman;Times;serif" w:hAnsi="Times New Roman;Times;serif"/>
          <w:sz w:val="18"/>
        </w:rPr>
        <w:t xml:space="preserve"> </w:t>
      </w:r>
      <w:r>
        <w:rPr>
          <w:rFonts w:ascii="Helvetica" w:hAnsi="Helvetica"/>
          <w:sz w:val="18"/>
        </w:rPr>
        <w:t>and 272,000</w:t>
      </w:r>
      <w:r>
        <w:rPr>
          <w:rFonts w:ascii="Times New Roman;Times;serif" w:hAnsi="Times New Roman;Times;serif"/>
          <w:sz w:val="18"/>
        </w:rPr>
        <w:t xml:space="preserve"> </w:t>
      </w:r>
      <w:r>
        <w:rPr>
          <w:rFonts w:ascii="Helvetica" w:hAnsi="Helvetica"/>
          <w:sz w:val="18"/>
        </w:rPr>
        <w:t>shares of nonvested restricted stock, respectively, excluded from the calculation of diluted earnings per share because of antidilution.</w:t>
      </w:r>
    </w:p>
    <w:p>
      <w:pPr>
        <w:pStyle w:val="TextBody"/>
        <w:bidi w:val="0"/>
        <w:spacing w:before="0" w:after="0"/>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 following table provides the weighted average number of common shares outstanding used to calculate basic earnings per share to the number of common shares and common stock equivalents outstanding used in calculating diluted earnings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96"/>
        <w:gridCol w:w="326"/>
        <w:gridCol w:w="1006"/>
        <w:gridCol w:w="326"/>
        <w:gridCol w:w="1051"/>
      </w:tblGrid>
      <w:tr>
        <w:trPr/>
        <w:tc>
          <w:tcPr>
            <w:tcW w:w="7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759960" cy="175260"/>
                      <wp:effectExtent l="0" t="0" r="0" b="0"/>
                      <wp:wrapNone/>
                      <wp:docPr id="67" name="Frame67"/>
                      <a:graphic xmlns:a="http://schemas.openxmlformats.org/drawingml/2006/main">
                        <a:graphicData uri="http://schemas.microsoft.com/office/word/2010/wordprocessingShape">
                          <wps:wsp>
                            <wps:cNvSpPr txBox="1"/>
                            <wps:spPr>
                              <a:xfrm>
                                <a:off x="0" y="0"/>
                                <a:ext cx="4759960"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38810" cy="175260"/>
                      <wp:effectExtent l="0" t="0" r="0" b="0"/>
                      <wp:wrapNone/>
                      <wp:docPr id="69" name="Frame6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7385" cy="175260"/>
                      <wp:effectExtent l="0" t="0" r="0" b="0"/>
                      <wp:wrapNone/>
                      <wp:docPr id="71" name="Frame7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r>
      <w:tr>
        <w:trPr/>
        <w:tc>
          <w:tcPr>
            <w:tcW w:w="7496" w:type="dxa"/>
            <w:tcBorders/>
            <w:vAlign w:val="center"/>
          </w:tcPr>
          <w:p>
            <w:pPr>
              <w:pStyle w:val="TableContents"/>
              <w:bidi w:val="0"/>
              <w:spacing w:before="0" w:after="22"/>
              <w:ind w:left="0" w:right="0" w:hanging="0"/>
              <w:jc w:val="left"/>
              <w:rPr/>
            </w:pPr>
            <w:r>
              <w:rPr/>
              <w:t>​</w:t>
            </w:r>
          </w:p>
        </w:tc>
        <w:tc>
          <w:tcPr>
            <w:tcW w:w="326" w:type="dxa"/>
            <w:tcBorders/>
            <w:shd w:fill="FFFFFF" w:val="clear"/>
            <w:vAlign w:val="center"/>
          </w:tcPr>
          <w:p>
            <w:pPr>
              <w:pStyle w:val="TableContents"/>
              <w:bidi w:val="0"/>
              <w:spacing w:before="0" w:after="22"/>
              <w:ind w:left="0" w:right="0" w:hanging="0"/>
              <w:jc w:val="left"/>
              <w:rPr/>
            </w:pPr>
            <w:r>
              <w:rPr/>
              <w:t>​</w:t>
            </w:r>
          </w:p>
        </w:tc>
        <w:tc>
          <w:tcPr>
            <w:tcW w:w="2383" w:type="dxa"/>
            <w:gridSpan w:val="3"/>
            <w:tcBorders>
              <w:bottom w:val="single" w:sz="2" w:space="0" w:color="000000"/>
            </w:tcBorders>
            <w:shd w:fill="FFFFFF" w:val="clear"/>
            <w:tcMar>
              <w:bottom w:w="28" w:type="dxa"/>
            </w:tcMar>
            <w:vAlign w:val="center"/>
          </w:tcPr>
          <w:p>
            <w:pPr>
              <w:pStyle w:val="TableContents"/>
              <w:bidi w:val="0"/>
              <w:spacing w:before="0" w:after="22"/>
              <w:ind w:left="0" w:right="0" w:hanging="0"/>
              <w:jc w:val="center"/>
              <w:rPr>
                <w:rFonts w:ascii="Helvetica" w:hAnsi="Helvetica"/>
                <w:b/>
                <w:sz w:val="16"/>
              </w:rPr>
            </w:pPr>
            <w:r>
              <w:rPr>
                <w:rFonts w:ascii="Helvetica" w:hAnsi="Helvetica"/>
                <w:b/>
                <w:sz w:val="16"/>
              </w:rPr>
              <w:t>Thirteen Weeks Ended</w:t>
            </w:r>
          </w:p>
        </w:tc>
      </w:tr>
      <w:tr>
        <w:trPr/>
        <w:tc>
          <w:tcPr>
            <w:tcW w:w="7496" w:type="dxa"/>
            <w:tcBorders/>
            <w:vAlign w:val="center"/>
          </w:tcPr>
          <w:p>
            <w:pPr>
              <w:pStyle w:val="TableContents"/>
              <w:bidi w:val="0"/>
              <w:spacing w:before="0" w:after="22"/>
              <w:ind w:left="0" w:right="0" w:hanging="0"/>
              <w:jc w:val="left"/>
              <w:rPr/>
            </w:pPr>
            <w:r>
              <w:rPr/>
              <w:t>​</w:t>
            </w:r>
          </w:p>
        </w:tc>
        <w:tc>
          <w:tcPr>
            <w:tcW w:w="326" w:type="dxa"/>
            <w:tcBorders/>
            <w:vAlign w:val="center"/>
          </w:tcPr>
          <w:p>
            <w:pPr>
              <w:pStyle w:val="TableContents"/>
              <w:bidi w:val="0"/>
              <w:spacing w:before="0" w:after="22"/>
              <w:ind w:left="0" w:right="0" w:hanging="0"/>
              <w:jc w:val="center"/>
              <w:rPr/>
            </w:pPr>
            <w:r>
              <w:rPr/>
              <w:t>    </w:t>
            </w:r>
          </w:p>
        </w:tc>
        <w:tc>
          <w:tcPr>
            <w:tcW w:w="100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2"/>
              <w:ind w:left="0" w:right="0" w:hanging="0"/>
              <w:jc w:val="center"/>
              <w:rPr>
                <w:rFonts w:ascii="Helvetica" w:hAnsi="Helvetica"/>
                <w:b/>
                <w:sz w:val="16"/>
              </w:rPr>
            </w:pPr>
            <w:r>
              <w:rPr>
                <w:rFonts w:ascii="Helvetica" w:hAnsi="Helvetica"/>
                <w:b/>
                <w:sz w:val="16"/>
              </w:rPr>
              <w:t>May 3, 2025</w:t>
            </w:r>
          </w:p>
        </w:tc>
        <w:tc>
          <w:tcPr>
            <w:tcW w:w="326" w:type="dxa"/>
            <w:tcBorders/>
            <w:shd w:fill="FFFFFF" w:val="clear"/>
            <w:vAlign w:val="center"/>
          </w:tcPr>
          <w:p>
            <w:pPr>
              <w:pStyle w:val="TableContents"/>
              <w:bidi w:val="0"/>
              <w:spacing w:before="0" w:after="22"/>
              <w:ind w:left="0" w:right="0" w:hanging="0"/>
              <w:jc w:val="left"/>
              <w:rPr/>
            </w:pPr>
            <w:r>
              <w:rPr/>
              <w:t>    </w:t>
            </w:r>
          </w:p>
        </w:tc>
        <w:tc>
          <w:tcPr>
            <w:tcW w:w="105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2"/>
              <w:ind w:left="0" w:right="0" w:hanging="0"/>
              <w:jc w:val="center"/>
              <w:rPr>
                <w:rFonts w:ascii="Helvetica" w:hAnsi="Helvetica"/>
                <w:b/>
                <w:sz w:val="16"/>
              </w:rPr>
            </w:pPr>
            <w:r>
              <w:rPr>
                <w:rFonts w:ascii="Helvetica" w:hAnsi="Helvetica"/>
                <w:b/>
                <w:sz w:val="16"/>
              </w:rPr>
              <w:t>May 4, 2024</w:t>
            </w:r>
          </w:p>
        </w:tc>
      </w:tr>
      <w:tr>
        <w:trPr/>
        <w:tc>
          <w:tcPr>
            <w:tcW w:w="7496" w:type="dxa"/>
            <w:tcBorders/>
            <w:shd w:fill="CCEEFF" w:val="clear"/>
            <w:vAlign w:val="center"/>
          </w:tcPr>
          <w:p>
            <w:pPr>
              <w:pStyle w:val="TableContents"/>
              <w:bidi w:val="0"/>
              <w:spacing w:before="0" w:after="22"/>
              <w:ind w:left="0" w:right="0" w:hanging="0"/>
              <w:jc w:val="left"/>
              <w:rPr>
                <w:rFonts w:ascii="Helvetica" w:hAnsi="Helvetica"/>
                <w:sz w:val="18"/>
              </w:rPr>
            </w:pPr>
            <w:r>
              <w:rPr>
                <w:rFonts w:ascii="Helvetica" w:hAnsi="Helvetica"/>
                <w:sz w:val="18"/>
              </w:rPr>
              <w:t>Weighted average number of common shares outstanding (basic)</w:t>
            </w:r>
          </w:p>
        </w:tc>
        <w:tc>
          <w:tcPr>
            <w:tcW w:w="326" w:type="dxa"/>
            <w:tcBorders/>
            <w:shd w:fill="CCEEFF" w:val="clear"/>
            <w:vAlign w:val="center"/>
          </w:tcPr>
          <w:p>
            <w:pPr>
              <w:pStyle w:val="TableContents"/>
              <w:bidi w:val="0"/>
              <w:spacing w:before="0" w:after="22"/>
              <w:ind w:left="0" w:right="0" w:hanging="0"/>
              <w:jc w:val="left"/>
              <w:rPr/>
            </w:pPr>
            <w:r>
              <w:rPr/>
              <w:t>​</w:t>
            </w:r>
          </w:p>
        </w:tc>
        <w:tc>
          <w:tcPr>
            <w:tcW w:w="1006" w:type="dxa"/>
            <w:tcBorders>
              <w:top w:val="single" w:sz="2" w:space="0" w:color="000000"/>
            </w:tcBorders>
            <w:shd w:fill="CCEEFF" w:val="clear"/>
            <w:tcMar>
              <w:top w:w="28" w:type="dxa"/>
            </w:tcMar>
            <w:vAlign w:val="center"/>
          </w:tcPr>
          <w:p>
            <w:pPr>
              <w:pStyle w:val="TableContents"/>
              <w:bidi w:val="0"/>
              <w:spacing w:before="0" w:after="22"/>
              <w:ind w:left="0" w:right="0" w:hanging="0"/>
              <w:jc w:val="right"/>
              <w:rPr>
                <w:rFonts w:ascii="Helvetica" w:hAnsi="Helvetica"/>
                <w:sz w:val="18"/>
              </w:rPr>
            </w:pPr>
            <w:r>
              <w:rPr>
                <w:rFonts w:ascii="Helvetica" w:hAnsi="Helvetica"/>
                <w:sz w:val="18"/>
              </w:rPr>
              <w:t>8,033,623</w:t>
            </w:r>
          </w:p>
        </w:tc>
        <w:tc>
          <w:tcPr>
            <w:tcW w:w="326" w:type="dxa"/>
            <w:tcBorders/>
            <w:shd w:fill="CCEEFF" w:val="clear"/>
            <w:vAlign w:val="center"/>
          </w:tcPr>
          <w:p>
            <w:pPr>
              <w:pStyle w:val="TableContents"/>
              <w:bidi w:val="0"/>
              <w:spacing w:before="0" w:after="22"/>
              <w:ind w:left="0" w:right="0" w:hanging="0"/>
              <w:jc w:val="left"/>
              <w:rPr/>
            </w:pPr>
            <w:r>
              <w:rPr/>
              <w:t>​</w:t>
            </w:r>
          </w:p>
        </w:tc>
        <w:tc>
          <w:tcPr>
            <w:tcW w:w="1051" w:type="dxa"/>
            <w:tcBorders>
              <w:top w:val="single" w:sz="2" w:space="0" w:color="000000"/>
            </w:tcBorders>
            <w:shd w:fill="CCEEFF" w:val="clear"/>
            <w:tcMar>
              <w:top w:w="28" w:type="dxa"/>
            </w:tcMar>
            <w:vAlign w:val="center"/>
          </w:tcPr>
          <w:p>
            <w:pPr>
              <w:pStyle w:val="TableContents"/>
              <w:bidi w:val="0"/>
              <w:spacing w:before="0" w:after="22"/>
              <w:ind w:left="0" w:right="0" w:hanging="0"/>
              <w:jc w:val="right"/>
              <w:rPr>
                <w:rFonts w:ascii="Helvetica" w:hAnsi="Helvetica"/>
                <w:sz w:val="18"/>
              </w:rPr>
            </w:pPr>
            <w:r>
              <w:rPr>
                <w:rFonts w:ascii="Helvetica" w:hAnsi="Helvetica"/>
                <w:sz w:val="18"/>
              </w:rPr>
              <w:t>8,252,556</w:t>
            </w:r>
          </w:p>
        </w:tc>
      </w:tr>
      <w:tr>
        <w:trPr/>
        <w:tc>
          <w:tcPr>
            <w:tcW w:w="7496" w:type="dxa"/>
            <w:tcBorders/>
            <w:vAlign w:val="center"/>
          </w:tcPr>
          <w:p>
            <w:pPr>
              <w:pStyle w:val="TableContents"/>
              <w:bidi w:val="0"/>
              <w:spacing w:before="0" w:after="22"/>
              <w:ind w:left="0" w:right="0" w:hanging="0"/>
              <w:jc w:val="left"/>
              <w:rPr>
                <w:rFonts w:ascii="Helvetica" w:hAnsi="Helvetica"/>
                <w:sz w:val="18"/>
              </w:rPr>
            </w:pPr>
            <w:r>
              <w:rPr>
                <w:rFonts w:ascii="Helvetica" w:hAnsi="Helvetica"/>
                <w:sz w:val="18"/>
              </w:rPr>
              <w:t>Incremental shares from assumed vesting of nonvested restricted stock</w:t>
            </w:r>
          </w:p>
        </w:tc>
        <w:tc>
          <w:tcPr>
            <w:tcW w:w="326" w:type="dxa"/>
            <w:tcBorders/>
            <w:vAlign w:val="center"/>
          </w:tcPr>
          <w:p>
            <w:pPr>
              <w:pStyle w:val="TableContents"/>
              <w:bidi w:val="0"/>
              <w:spacing w:before="0" w:after="22"/>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22"/>
              <w:ind w:left="0" w:right="0" w:hanging="0"/>
              <w:jc w:val="right"/>
              <w:rPr>
                <w:rFonts w:ascii="Helvetica" w:hAnsi="Helvetica"/>
                <w:sz w:val="18"/>
              </w:rPr>
            </w:pPr>
            <w:r>
              <w:rPr>
                <w:rFonts w:ascii="Helvetica" w:hAnsi="Helvetica"/>
                <w:sz w:val="18"/>
              </w:rPr>
              <w:t>136,833</w:t>
            </w:r>
          </w:p>
        </w:tc>
        <w:tc>
          <w:tcPr>
            <w:tcW w:w="326" w:type="dxa"/>
            <w:tcBorders/>
            <w:vAlign w:val="center"/>
          </w:tcPr>
          <w:p>
            <w:pPr>
              <w:pStyle w:val="TableContents"/>
              <w:bidi w:val="0"/>
              <w:spacing w:before="0" w:after="22"/>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22"/>
              <w:ind w:left="0" w:right="0" w:hanging="0"/>
              <w:jc w:val="right"/>
              <w:rPr/>
            </w:pPr>
            <w:r>
              <w:rPr/>
              <w:t>—</w:t>
            </w:r>
          </w:p>
        </w:tc>
      </w:tr>
      <w:tr>
        <w:trPr/>
        <w:tc>
          <w:tcPr>
            <w:tcW w:w="7496" w:type="dxa"/>
            <w:tcBorders/>
            <w:shd w:fill="CCEEFF" w:val="clear"/>
            <w:vAlign w:val="center"/>
          </w:tcPr>
          <w:p>
            <w:pPr>
              <w:pStyle w:val="TableContents"/>
              <w:bidi w:val="0"/>
              <w:spacing w:before="0" w:after="22"/>
              <w:ind w:left="0" w:right="0" w:hanging="0"/>
              <w:jc w:val="left"/>
              <w:rPr>
                <w:rFonts w:ascii="Helvetica" w:hAnsi="Helvetica"/>
                <w:sz w:val="18"/>
              </w:rPr>
            </w:pPr>
            <w:r>
              <w:rPr>
                <w:rFonts w:ascii="Helvetica" w:hAnsi="Helvetica"/>
                <w:sz w:val="18"/>
              </w:rPr>
              <w:t>Weighted average number of common shares and common stock equivalents outstanding (diluted)</w:t>
            </w:r>
          </w:p>
        </w:tc>
        <w:tc>
          <w:tcPr>
            <w:tcW w:w="326" w:type="dxa"/>
            <w:tcBorders/>
            <w:shd w:fill="CCEEFF" w:val="clear"/>
            <w:vAlign w:val="center"/>
          </w:tcPr>
          <w:p>
            <w:pPr>
              <w:pStyle w:val="TableContents"/>
              <w:bidi w:val="0"/>
              <w:spacing w:before="0" w:after="22"/>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22"/>
              <w:ind w:left="0" w:right="0" w:hanging="0"/>
              <w:jc w:val="right"/>
              <w:rPr>
                <w:rFonts w:ascii="Helvetica" w:hAnsi="Helvetica"/>
                <w:sz w:val="18"/>
              </w:rPr>
            </w:pPr>
            <w:r>
              <w:rPr>
                <w:rFonts w:ascii="Helvetica" w:hAnsi="Helvetica"/>
                <w:sz w:val="18"/>
              </w:rPr>
              <w:t>8,170,456</w:t>
            </w:r>
          </w:p>
        </w:tc>
        <w:tc>
          <w:tcPr>
            <w:tcW w:w="326" w:type="dxa"/>
            <w:tcBorders/>
            <w:shd w:fill="CCEEFF" w:val="clear"/>
            <w:vAlign w:val="center"/>
          </w:tcPr>
          <w:p>
            <w:pPr>
              <w:pStyle w:val="TableContents"/>
              <w:bidi w:val="0"/>
              <w:spacing w:before="0" w:after="22"/>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22"/>
              <w:ind w:left="0" w:right="60" w:hanging="0"/>
              <w:jc w:val="right"/>
              <w:rPr>
                <w:rFonts w:ascii="Helvetica" w:hAnsi="Helvetica"/>
                <w:sz w:val="18"/>
              </w:rPr>
            </w:pPr>
            <w:r>
              <w:rPr>
                <w:rFonts w:ascii="Helvetica" w:hAnsi="Helvetica"/>
                <w:sz w:val="18"/>
              </w:rPr>
              <w:t>8,252,556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4. Revolving Credit Facility</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20"/>
        </w:rPr>
      </w:pPr>
      <w:r>
        <w:rPr>
          <w:rFonts w:ascii="Helvetica" w:hAnsi="Helvetica"/>
          <w:sz w:val="18"/>
        </w:rPr>
        <w:t>In October 2011, the Company entered into a five-year, $50</w:t>
      </w:r>
      <w:r>
        <w:rPr>
          <w:rFonts w:ascii="Times New Roman;Times;serif" w:hAnsi="Times New Roman;Times;serif"/>
          <w:sz w:val="20"/>
        </w:rPr>
        <w:t xml:space="preserve"> </w:t>
      </w:r>
      <w:r>
        <w:rPr>
          <w:rFonts w:ascii="Helvetica" w:hAnsi="Helvetica"/>
          <w:sz w:val="18"/>
        </w:rPr>
        <w:t>million credit facility with Bank of America. The facility was amended in August 2015, May 2020, and April 2021 to modify terms and extend the maturity dates. The facility was further amended on April 10, 2025 to extend the maturity date to April 10, 2030. The amended facility provides a $75</w:t>
      </w:r>
      <w:r>
        <w:rPr>
          <w:rFonts w:ascii="Times New Roman;Times;serif" w:hAnsi="Times New Roman;Times;serif"/>
          <w:sz w:val="20"/>
        </w:rPr>
        <w:t xml:space="preserve"> </w:t>
      </w:r>
      <w:r>
        <w:rPr>
          <w:rFonts w:ascii="Helvetica" w:hAnsi="Helvetica"/>
          <w:sz w:val="18"/>
        </w:rPr>
        <w:t>million credit commitment and a $25</w:t>
      </w:r>
      <w:r>
        <w:rPr>
          <w:rFonts w:ascii="Times New Roman;Times;serif" w:hAnsi="Times New Roman;Times;serif"/>
          <w:sz w:val="20"/>
        </w:rPr>
        <w:t xml:space="preserve"> </w:t>
      </w:r>
      <w:r>
        <w:rPr>
          <w:rFonts w:ascii="Helvetica" w:hAnsi="Helvetica"/>
          <w:sz w:val="18"/>
        </w:rPr>
        <w:t xml:space="preserve">million uncommitted </w:t>
      </w:r>
      <w:r>
        <w:rPr>
          <w:rFonts w:ascii="Times New Roman;Times;serif" w:hAnsi="Times New Roman;Times;serif"/>
          <w:sz w:val="20"/>
        </w:rPr>
        <w:t>“</w:t>
      </w:r>
      <w:r>
        <w:rPr>
          <w:rFonts w:ascii="Helvetica" w:hAnsi="Helvetica"/>
          <w:sz w:val="18"/>
        </w:rPr>
        <w:t>accordion</w:t>
      </w:r>
      <w:r>
        <w:rPr>
          <w:rFonts w:ascii="Times New Roman;Times;serif" w:hAnsi="Times New Roman;Times;serif"/>
          <w:sz w:val="20"/>
        </w:rPr>
        <w:t xml:space="preserve">” </w:t>
      </w:r>
      <w:r>
        <w:rPr>
          <w:rFonts w:ascii="Helvetica" w:hAnsi="Helvetica"/>
          <w:sz w:val="18"/>
        </w:rPr>
        <w:t>feature that under certain circumstances could allow the Company to increase the size of the facility to $100</w:t>
      </w:r>
      <w:r>
        <w:rPr>
          <w:rFonts w:ascii="Times New Roman;Times;serif" w:hAnsi="Times New Roman;Times;serif"/>
          <w:sz w:val="20"/>
        </w:rPr>
        <w:t xml:space="preserve"> </w:t>
      </w:r>
      <w:r>
        <w:rPr>
          <w:rFonts w:ascii="Helvetica" w:hAnsi="Helvetica"/>
          <w:sz w:val="18"/>
        </w:rPr>
        <w:t xml:space="preserve">million. </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facility is secured by the Company</w:t>
      </w:r>
      <w:r>
        <w:rPr>
          <w:rFonts w:ascii="Times New Roman;Times;serif" w:hAnsi="Times New Roman;Times;serif"/>
          <w:sz w:val="18"/>
        </w:rPr>
        <w:t>’</w:t>
      </w:r>
      <w:r>
        <w:rPr>
          <w:rFonts w:ascii="Helvetica" w:hAnsi="Helvetica"/>
          <w:sz w:val="18"/>
        </w:rPr>
        <w:t>s inventory, accounts receivable and related assets, but not its real estate, fixtures and equipment, and it contains one</w:t>
      </w:r>
      <w:r>
        <w:rPr>
          <w:rFonts w:ascii="Times New Roman;Times;serif" w:hAnsi="Times New Roman;Times;serif"/>
          <w:sz w:val="18"/>
        </w:rPr>
        <w:t xml:space="preserve"> </w:t>
      </w:r>
      <w:r>
        <w:rPr>
          <w:rFonts w:ascii="Helvetica" w:hAnsi="Helvetica"/>
          <w:sz w:val="18"/>
        </w:rPr>
        <w:t>financial covenant, a fixed charge coverage ratio, which is applicable and tested only in certain circumstances. The facility has an unused commitment fee of 0.25%</w:t>
      </w:r>
      <w:r>
        <w:rPr>
          <w:rFonts w:ascii="Times New Roman;Times;serif" w:hAnsi="Times New Roman;Times;serif"/>
          <w:sz w:val="18"/>
        </w:rPr>
        <w:t xml:space="preserve"> </w:t>
      </w:r>
      <w:r>
        <w:rPr>
          <w:rFonts w:ascii="Helvetica" w:hAnsi="Helvetica"/>
          <w:sz w:val="18"/>
        </w:rPr>
        <w:t xml:space="preserve">and permits the payment of cash dividends subject to certain limitations. </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Borrowings under the credit facility bear interest (a) for SOFR Loans, at a rate equal to the SOFR Rate plus a SOFR adjustment equal to 0.10%</w:t>
      </w:r>
      <w:r>
        <w:rPr>
          <w:rFonts w:ascii="Times New Roman;Times;serif" w:hAnsi="Times New Roman;Times;serif"/>
          <w:sz w:val="18"/>
        </w:rPr>
        <w:t xml:space="preserve"> </w:t>
      </w:r>
      <w:r>
        <w:rPr>
          <w:rFonts w:ascii="Helvetica" w:hAnsi="Helvetica"/>
          <w:sz w:val="18"/>
        </w:rPr>
        <w:t>plus either 1.50%, 1.75%</w:t>
      </w:r>
      <w:r>
        <w:rPr>
          <w:rFonts w:ascii="Times New Roman;Times;serif" w:hAnsi="Times New Roman;Times;serif"/>
          <w:sz w:val="18"/>
        </w:rPr>
        <w:t xml:space="preserve"> </w:t>
      </w:r>
      <w:r>
        <w:rPr>
          <w:rFonts w:ascii="Helvetica" w:hAnsi="Helvetica"/>
          <w:sz w:val="18"/>
        </w:rPr>
        <w:t>or 2.00%, or (b) for Base Rate Loans, at a rate equal to the highest of (i) the prime rate, (ii) the Federal Funds Rate plus 0.5%</w:t>
      </w:r>
      <w:r>
        <w:rPr>
          <w:rFonts w:ascii="Times New Roman;Times;serif" w:hAnsi="Times New Roman;Times;serif"/>
          <w:sz w:val="18"/>
        </w:rPr>
        <w:t xml:space="preserve"> </w:t>
      </w:r>
      <w:r>
        <w:rPr>
          <w:rFonts w:ascii="Helvetica" w:hAnsi="Helvetica"/>
          <w:sz w:val="18"/>
        </w:rPr>
        <w:t>and (iii) the Term SOFR Rate plus 1.0%, plus, in each case either 0.50%, 0.75%</w:t>
      </w:r>
      <w:r>
        <w:rPr>
          <w:rFonts w:ascii="Times New Roman;Times;serif" w:hAnsi="Times New Roman;Times;serif"/>
          <w:sz w:val="18"/>
        </w:rPr>
        <w:t xml:space="preserve"> </w:t>
      </w:r>
      <w:r>
        <w:rPr>
          <w:rFonts w:ascii="Helvetica" w:hAnsi="Helvetica"/>
          <w:sz w:val="18"/>
        </w:rPr>
        <w:t xml:space="preserve">or 1.00%, based in any such case on the average daily availability for borrowings under the facility. </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As of May 3, 2025, the Company had no</w:t>
      </w:r>
      <w:r>
        <w:rPr>
          <w:rFonts w:ascii="Times New Roman;Times;serif" w:hAnsi="Times New Roman;Times;serif"/>
          <w:sz w:val="18"/>
        </w:rPr>
        <w:t xml:space="preserve"> </w:t>
      </w:r>
      <w:r>
        <w:rPr>
          <w:rFonts w:ascii="Helvetica" w:hAnsi="Helvetica"/>
          <w:sz w:val="18"/>
        </w:rPr>
        <w:t>borrowings under the credit facility and $2.2</w:t>
      </w:r>
      <w:r>
        <w:rPr>
          <w:rFonts w:ascii="Times New Roman;Times;serif" w:hAnsi="Times New Roman;Times;serif"/>
          <w:sz w:val="18"/>
        </w:rPr>
        <w:t xml:space="preserve"> </w:t>
      </w:r>
      <w:r>
        <w:rPr>
          <w:rFonts w:ascii="Helvetica" w:hAnsi="Helvetica"/>
          <w:sz w:val="18"/>
        </w:rPr>
        <w:t>million of letters of credit outstanding.</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5. Income Taxes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realization of the deferred tax asset is not considered more likely than not, then a valuation allowance is recorded to reduce the deferred tax asset to its net realizable value.</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w:t>
      </w:r>
    </w:p>
    <w:p>
      <w:pPr>
        <w:pStyle w:val="TextBody"/>
        <w:bidi w:val="0"/>
        <w:spacing w:before="0" w:after="22"/>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sz w:val="18"/>
        </w:rPr>
      </w:pPr>
      <w:r>
        <w:rPr>
          <w:rFonts w:ascii="Helvetica" w:hAnsi="Helvetica"/>
          <w:sz w:val="18"/>
        </w:rPr>
        <w:t>6. Commitments and Contingencies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bookmarkStart w:id="566" w:name="Tc_R62IV-V1DE2vTGOzQdLdVg_5_5"/>
      <w:bookmarkStart w:id="567" w:name="Tc_P96OgT-H4EyUnVY64sm4Sw_5_4"/>
      <w:bookmarkStart w:id="568" w:name="Tc_jzUSRWib2E6cmh_uiA381A_5_1"/>
      <w:bookmarkStart w:id="569" w:name="Tc_X_8CJZSfaEmtbndh2lOUew_5_0"/>
      <w:bookmarkStart w:id="570" w:name="Tc_RK25N5xuQ0CHrFnsOA0_zQ_4_5"/>
      <w:bookmarkStart w:id="571" w:name="Tc_dU_o1Z98YEev0FTUMq090g_4_4"/>
      <w:bookmarkStart w:id="572" w:name="Tc_6gkr0slERkKREx-wsD7TEA_4_1"/>
      <w:bookmarkStart w:id="573" w:name="Tc_7TThi5lZVUOXonRyrAAa-A_4_0"/>
      <w:bookmarkStart w:id="574" w:name="Tc_NxlJky1EcEefe12DeZ9XlA_3_5"/>
      <w:bookmarkStart w:id="575" w:name="Tc_ILw3S6ydHESXs2eR1rBYjw_3_0"/>
      <w:bookmarkStart w:id="576" w:name="Tc_Y6ThEEHuokOUNERQSQIkcg_2_4"/>
      <w:bookmarkStart w:id="577" w:name="Tc_tzRDVzmCGE-rWsXvFedVWw_2_1"/>
      <w:bookmarkStart w:id="578" w:name="Tc_e94xomkX_EmvsLtJjStMJQ_1_1"/>
      <w:bookmarkEnd w:id="566"/>
      <w:bookmarkEnd w:id="567"/>
      <w:bookmarkEnd w:id="568"/>
      <w:bookmarkEnd w:id="569"/>
      <w:bookmarkEnd w:id="570"/>
      <w:bookmarkEnd w:id="571"/>
      <w:bookmarkEnd w:id="572"/>
      <w:bookmarkEnd w:id="573"/>
      <w:bookmarkEnd w:id="574"/>
      <w:bookmarkEnd w:id="575"/>
      <w:bookmarkEnd w:id="576"/>
      <w:bookmarkEnd w:id="577"/>
      <w:bookmarkEnd w:id="578"/>
      <w:r>
        <w:rPr>
          <w:rFonts w:ascii="Helvetica" w:hAnsi="Helvetica"/>
          <w:sz w:val="18"/>
        </w:rPr>
        <w:t>7. Stock Repurchases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pStyle w:val="TextBody"/>
        <w:bidi w:val="0"/>
        <w:spacing w:before="0" w:after="22"/>
        <w:ind w:left="0" w:right="0" w:hanging="0"/>
        <w:jc w:val="left"/>
        <w:rPr/>
      </w:pPr>
      <w:r>
        <w:rPr/>
        <w:t>​</w:t>
      </w:r>
    </w:p>
    <w:tbl>
      <w:tblPr>
        <w:tblW w:w="6926" w:type="dxa"/>
        <w:jc w:val="left"/>
        <w:tblInd w:w="0" w:type="dxa"/>
        <w:tblLayout w:type="fixed"/>
        <w:tblCellMar>
          <w:top w:w="0" w:type="dxa"/>
          <w:left w:w="0" w:type="dxa"/>
          <w:bottom w:w="0" w:type="dxa"/>
          <w:right w:w="0" w:type="dxa"/>
        </w:tblCellMar>
      </w:tblPr>
      <w:tblGrid>
        <w:gridCol w:w="4516"/>
        <w:gridCol w:w="271"/>
        <w:gridCol w:w="735"/>
        <w:gridCol w:w="353"/>
        <w:gridCol w:w="334"/>
        <w:gridCol w:w="717"/>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867660" cy="175260"/>
                      <wp:effectExtent l="0" t="0" r="0" b="0"/>
                      <wp:wrapNone/>
                      <wp:docPr id="72" name="Frame72"/>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72085" cy="175260"/>
                      <wp:effectExtent l="0" t="0" r="0" b="0"/>
                      <wp:wrapNone/>
                      <wp:docPr id="73" name="Frame7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66725" cy="175260"/>
                      <wp:effectExtent l="0" t="0" r="0" b="0"/>
                      <wp:wrapNone/>
                      <wp:docPr id="74" name="Frame74"/>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4155" cy="175260"/>
                      <wp:effectExtent l="0" t="0" r="0" b="0"/>
                      <wp:wrapNone/>
                      <wp:docPr id="75" name="Frame75"/>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2090" cy="175260"/>
                      <wp:effectExtent l="0" t="0" r="0" b="0"/>
                      <wp:wrapNone/>
                      <wp:docPr id="76" name="Frame76"/>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55295" cy="175260"/>
                      <wp:effectExtent l="0" t="0" r="0" b="0"/>
                      <wp:wrapNone/>
                      <wp:docPr id="77" name="Frame77"/>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before="0" w:after="0"/>
              <w:ind w:left="0" w:right="0" w:hanging="0"/>
              <w:jc w:val="left"/>
              <w:rPr/>
            </w:pPr>
            <w:r>
              <w:rPr/>
              <w:t>​</w:t>
            </w:r>
          </w:p>
        </w:tc>
        <w:tc>
          <w:tcPr>
            <w:tcW w:w="24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r>
      <w:tr>
        <w:trPr/>
        <w:tc>
          <w:tcPr>
            <w:tcW w:w="4516"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 2025</w:t>
            </w:r>
          </w:p>
        </w:tc>
        <w:tc>
          <w:tcPr>
            <w:tcW w:w="353"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4, 2024</w:t>
            </w:r>
          </w:p>
        </w:tc>
      </w:tr>
      <w:tr>
        <w:trPr/>
        <w:tc>
          <w:tcPr>
            <w:tcW w:w="451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number of shares purchased</w:t>
            </w:r>
          </w:p>
        </w:tc>
        <w:tc>
          <w:tcPr>
            <w:tcW w:w="27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251</w:t>
            </w:r>
          </w:p>
        </w:tc>
        <w:tc>
          <w:tcPr>
            <w:tcW w:w="353"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w:t>
            </w:r>
          </w:p>
        </w:tc>
      </w:tr>
      <w:tr>
        <w:trPr/>
        <w:tc>
          <w:tcPr>
            <w:tcW w:w="451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Average price paid per share (including commissions)</w:t>
            </w:r>
          </w:p>
        </w:tc>
        <w:tc>
          <w:tcPr>
            <w:tcW w:w="27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3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25.21</w:t>
            </w:r>
          </w:p>
        </w:tc>
        <w:tc>
          <w:tcPr>
            <w:tcW w:w="353"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17" w:type="dxa"/>
            <w:tcBorders/>
            <w:vAlign w:val="center"/>
          </w:tcPr>
          <w:p>
            <w:pPr>
              <w:pStyle w:val="TableContents"/>
              <w:bidi w:val="0"/>
              <w:spacing w:before="0" w:after="0"/>
              <w:ind w:left="0" w:right="0" w:hanging="0"/>
              <w:jc w:val="right"/>
              <w:rPr/>
            </w:pPr>
            <w:r>
              <w:rPr/>
              <w:t>—</w:t>
            </w:r>
          </w:p>
        </w:tc>
      </w:tr>
      <w:tr>
        <w:trPr/>
        <w:tc>
          <w:tcPr>
            <w:tcW w:w="451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investment</w:t>
            </w:r>
          </w:p>
        </w:tc>
        <w:tc>
          <w:tcPr>
            <w:tcW w:w="27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3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6,315</w:t>
            </w:r>
          </w:p>
        </w:tc>
        <w:tc>
          <w:tcPr>
            <w:tcW w:w="353"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17"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At May 3, 2025, $40.0</w:t>
      </w:r>
      <w:r>
        <w:rPr>
          <w:rFonts w:ascii="Times New Roman;Times;serif" w:hAnsi="Times New Roman;Times;serif"/>
          <w:sz w:val="18"/>
        </w:rPr>
        <w:t xml:space="preserve"> </w:t>
      </w:r>
      <w:r>
        <w:rPr>
          <w:rFonts w:ascii="Helvetica" w:hAnsi="Helvetica"/>
          <w:sz w:val="18"/>
        </w:rPr>
        <w:t>million remained available under the Company</w:t>
      </w:r>
      <w:r>
        <w:rPr>
          <w:rFonts w:ascii="Times New Roman;Times;serif" w:hAnsi="Times New Roman;Times;serif"/>
          <w:sz w:val="18"/>
        </w:rPr>
        <w:t>’</w:t>
      </w:r>
      <w:r>
        <w:rPr>
          <w:rFonts w:ascii="Helvetica" w:hAnsi="Helvetica"/>
          <w:sz w:val="18"/>
        </w:rPr>
        <w:t>s stock repurchase authorization.</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8. Recent Accounting Pronouncements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 xml:space="preserve">In December 2023, the FASB issued ASU 2023-09, </w:t>
      </w:r>
      <w:r>
        <w:rPr>
          <w:rFonts w:ascii="Times New Roman;Times;serif" w:hAnsi="Times New Roman;Times;serif"/>
          <w:sz w:val="18"/>
        </w:rPr>
        <w:t>“</w:t>
      </w:r>
      <w:r>
        <w:rPr>
          <w:rFonts w:ascii="Helvetica" w:hAnsi="Helvetica"/>
          <w:sz w:val="18"/>
        </w:rPr>
        <w:t>Improvement to Income Tax Disclosures (Topic 740)</w:t>
      </w:r>
      <w:r>
        <w:rPr>
          <w:rFonts w:ascii="Times New Roman;Times;serif" w:hAnsi="Times New Roman;Times;serif"/>
          <w:sz w:val="18"/>
        </w:rPr>
        <w:t>”</w:t>
      </w:r>
      <w:r>
        <w:rPr>
          <w:rFonts w:ascii="Helvetica" w:hAnsi="Helvetica"/>
          <w:sz w:val="18"/>
        </w:rPr>
        <w:t>, (</w:t>
      </w:r>
      <w:r>
        <w:rPr>
          <w:rFonts w:ascii="Times New Roman;Times;serif" w:hAnsi="Times New Roman;Times;serif"/>
          <w:sz w:val="18"/>
        </w:rPr>
        <w:t>“</w:t>
      </w:r>
      <w:r>
        <w:rPr>
          <w:rFonts w:ascii="Helvetica" w:hAnsi="Helvetica"/>
          <w:sz w:val="18"/>
        </w:rPr>
        <w:t>ASU 2023-09</w:t>
      </w:r>
      <w:r>
        <w:rPr>
          <w:rFonts w:ascii="Times New Roman;Times;serif" w:hAnsi="Times New Roman;Times;serif"/>
          <w:sz w:val="18"/>
        </w:rPr>
        <w:t>”</w:t>
      </w:r>
      <w:r>
        <w:rPr>
          <w:rFonts w:ascii="Helvetica" w:hAnsi="Helvetica"/>
          <w:sz w:val="18"/>
        </w:rPr>
        <w:t>)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this standard will have on its consolidated financial statements and related disclosures.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 xml:space="preserve">In November 2024, the FASB issued ASU 2024-03, </w:t>
      </w:r>
      <w:r>
        <w:rPr>
          <w:rFonts w:ascii="Times New Roman;Times;serif" w:hAnsi="Times New Roman;Times;serif"/>
          <w:sz w:val="18"/>
        </w:rPr>
        <w:t>“</w:t>
      </w:r>
      <w:r>
        <w:rPr>
          <w:rFonts w:ascii="Helvetica" w:hAnsi="Helvetica"/>
          <w:sz w:val="18"/>
        </w:rPr>
        <w:t>Expense Disaggregation Disclosures (Topic 220): Disaggregation of Income Statement Expenses</w:t>
      </w:r>
      <w:r>
        <w:rPr>
          <w:rFonts w:ascii="Times New Roman;Times;serif" w:hAnsi="Times New Roman;Times;serif"/>
          <w:sz w:val="18"/>
        </w:rPr>
        <w:t xml:space="preserve">” </w:t>
      </w:r>
      <w:r>
        <w:rPr>
          <w:rFonts w:ascii="Helvetica" w:hAnsi="Helvetica"/>
          <w:sz w:val="18"/>
        </w:rPr>
        <w:t>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this standard will have on its disclosures.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9. Revenue</w:t>
      </w:r>
    </w:p>
    <w:p>
      <w:pPr>
        <w:pStyle w:val="TextBody"/>
        <w:bidi w:val="0"/>
        <w:spacing w:before="0" w:after="22"/>
        <w:ind w:left="0" w:right="0" w:hanging="0"/>
        <w:jc w:val="left"/>
        <w:rPr/>
      </w:pPr>
      <w:r>
        <w:rPr/>
        <w:t>​</w:t>
      </w:r>
    </w:p>
    <w:p>
      <w:pPr>
        <w:pStyle w:val="TextBody"/>
        <w:pBdr/>
        <w:bidi w:val="0"/>
        <w:spacing w:before="0" w:after="22"/>
        <w:ind w:left="0" w:right="0" w:hanging="245"/>
        <w:jc w:val="left"/>
        <w:rPr>
          <w:rFonts w:ascii="Helvetica" w:hAnsi="Helvetica"/>
          <w:i/>
          <w:sz w:val="18"/>
        </w:rPr>
      </w:pPr>
      <w:r>
        <w:rPr>
          <w:rFonts w:ascii="Helvetica" w:hAnsi="Helvetica"/>
          <w:i/>
          <w:sz w:val="18"/>
        </w:rPr>
        <w:t>Revenue Recognition</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Company</w:t>
      </w:r>
      <w:r>
        <w:rPr>
          <w:rFonts w:ascii="Times New Roman;Times;serif" w:hAnsi="Times New Roman;Times;serif"/>
          <w:sz w:val="18"/>
        </w:rPr>
        <w:t>’</w:t>
      </w:r>
      <w:r>
        <w:rPr>
          <w:rFonts w:ascii="Helvetica" w:hAnsi="Helvetica"/>
          <w:sz w:val="18"/>
        </w:rPr>
        <w:t>s primary source of revenue is derived from the sale of clothing and accessories to its customers with the Company</w:t>
      </w:r>
      <w:r>
        <w:rPr>
          <w:rFonts w:ascii="Times New Roman;Times;serif" w:hAnsi="Times New Roman;Times;serif"/>
          <w:sz w:val="18"/>
        </w:rPr>
        <w:t>’</w:t>
      </w:r>
      <w:r>
        <w:rPr>
          <w:rFonts w:ascii="Helvetica" w:hAnsi="Helvetica"/>
          <w:sz w:val="18"/>
        </w:rPr>
        <w:t>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w:t>
      </w:r>
      <w:r>
        <w:rPr>
          <w:rFonts w:ascii="Times New Roman;Times;serif" w:hAnsi="Times New Roman;Times;serif"/>
          <w:sz w:val="18"/>
        </w:rPr>
        <w:t>’</w:t>
      </w:r>
      <w:r>
        <w:rPr>
          <w:rFonts w:ascii="Helvetica" w:hAnsi="Helvetica"/>
          <w:sz w:val="18"/>
        </w:rPr>
        <w:t>s performance obligation. The Company defers revenue from the sale of gift cards and recognizes the associated revenue upon the redemption of the cards by customers to purchase merchandise.</w:t>
      </w:r>
    </w:p>
    <w:p>
      <w:pPr>
        <w:pStyle w:val="TextBody"/>
        <w:bidi w:val="0"/>
        <w:spacing w:before="0" w:after="22"/>
        <w:ind w:left="0" w:right="0" w:hanging="0"/>
        <w:jc w:val="left"/>
        <w:rPr/>
      </w:pPr>
      <w:r>
        <w:rPr/>
        <w:t>​</w:t>
      </w:r>
    </w:p>
    <w:p>
      <w:pPr>
        <w:pStyle w:val="TextBody"/>
        <w:pBdr/>
        <w:bidi w:val="0"/>
        <w:spacing w:before="0" w:after="22"/>
        <w:ind w:left="0" w:right="0" w:hanging="245"/>
        <w:jc w:val="left"/>
        <w:rPr>
          <w:rFonts w:ascii="Helvetica" w:hAnsi="Helvetica"/>
          <w:i/>
          <w:sz w:val="18"/>
        </w:rPr>
      </w:pPr>
      <w:r>
        <w:rPr>
          <w:rFonts w:ascii="Helvetica" w:hAnsi="Helvetica"/>
          <w:i/>
          <w:sz w:val="18"/>
        </w:rPr>
        <w:t>Sales Returns</w:t>
      </w:r>
    </w:p>
    <w:p>
      <w:pPr>
        <w:pStyle w:val="TextBody"/>
        <w:bidi w:val="0"/>
        <w:spacing w:before="0" w:after="22"/>
        <w:ind w:left="0" w:right="0" w:hanging="0"/>
        <w:jc w:val="left"/>
        <w:rPr>
          <w:rFonts w:ascii="Times New Roman;Times;serif" w:hAnsi="Times New Roman;Times;serif"/>
          <w:sz w:val="20"/>
        </w:rPr>
      </w:pPr>
      <w:r>
        <w:rPr>
          <w:rFonts w:ascii="Helvetica" w:hAnsi="Helvetica"/>
          <w:sz w:val="18"/>
        </w:rPr>
        <w:t>The Company allows customers to return merchandise for up to 30 days</w:t>
      </w:r>
      <w:r>
        <w:rPr>
          <w:rFonts w:ascii="Times New Roman;Times;serif" w:hAnsi="Times New Roman;Times;serif"/>
          <w:sz w:val="20"/>
        </w:rPr>
        <w:t xml:space="preserve"> </w:t>
      </w:r>
      <w:r>
        <w:rPr>
          <w:rFonts w:ascii="Helvetica" w:hAnsi="Helvetica"/>
          <w:sz w:val="18"/>
        </w:rPr>
        <w:t>after the date of sale. Expected refunds to customers are recorded based on estimated margin using historical return information.</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2"/>
        <w:ind w:left="0" w:right="0" w:hanging="245"/>
        <w:jc w:val="left"/>
        <w:rPr>
          <w:rFonts w:ascii="Helvetica" w:hAnsi="Helvetica"/>
          <w:i/>
          <w:sz w:val="18"/>
        </w:rPr>
      </w:pPr>
      <w:bookmarkStart w:id="579" w:name="Tc__rtdAX31r0SwUcRba5_g4A_9_5"/>
      <w:bookmarkStart w:id="580" w:name="Tc_2TX7gsnA0EOMAVZnrBoPgw_9_2"/>
      <w:bookmarkStart w:id="581" w:name="Tc_Xc-LbGGqHk2Itv_ajVQ-Dg_9_0"/>
      <w:bookmarkStart w:id="582" w:name="Tc_3Ae2tFthXUSyS8E6yvQdhg_8_5"/>
      <w:bookmarkStart w:id="583" w:name="Tc_b4QBfdaQmkq4-Q8WfLfmkw_8_2"/>
      <w:bookmarkStart w:id="584" w:name="Tc_y6yOSEc8K0uksHzXqaYYNw_8_0"/>
      <w:bookmarkStart w:id="585" w:name="Tc_sk3SkBCsC0OCpOmotpAVNA_7_5"/>
      <w:bookmarkStart w:id="586" w:name="Tc_Ldh5XEAVmkqWybQwragYJw_7_2"/>
      <w:bookmarkStart w:id="587" w:name="Tc_AHnMEAoK3UOIHLy1TaiARQ_7_0"/>
      <w:bookmarkStart w:id="588" w:name="Tc_EozdlTPKAEOCVM7cl8DGZg_6_5"/>
      <w:bookmarkStart w:id="589" w:name="Tc_FwpjjQs5hEmA-h_ZknRIzA_6_2"/>
      <w:bookmarkStart w:id="590" w:name="Tc_mxL1OgI1okCPOB7zYifRpQ_6_0"/>
      <w:bookmarkStart w:id="591" w:name="Tc_bfhZ6pVCQUOmQoI_1lWSgw_5_5"/>
      <w:bookmarkStart w:id="592" w:name="Tc_R5SaeoE2tEiZydKxbTN-cg_5_2"/>
      <w:bookmarkStart w:id="593" w:name="Tc_l9irAcFqCUGnyZu5Aj8ekw_5_0"/>
      <w:bookmarkStart w:id="594" w:name="Tc_vXu2xlHx50qgPkDygy5zEA_4_5"/>
      <w:bookmarkStart w:id="595" w:name="Tc_hXXkDDgzoUK9yhGx9T6MMQ_4_2"/>
      <w:bookmarkStart w:id="596" w:name="Tc_71YU-1UL606WC9FQDUm-Lg_4_0"/>
      <w:bookmarkStart w:id="597" w:name="Tc_qLuoAhOH3UO3MTyx0jrn5A_3_4"/>
      <w:bookmarkStart w:id="598" w:name="Tc_z9bcPuTAH06aPN-gDOByng_3_1"/>
      <w:bookmarkStart w:id="599" w:name="Tc_tQLUqcwD2k-vs1_AITSDSw_3_0"/>
      <w:bookmarkStart w:id="600" w:name="Tc_2LFKvCXxSUy1ROktxY59uA_2_4"/>
      <w:bookmarkStart w:id="601" w:name="Tc_qJXdUY_rC0iiszr_f6-aLg_2_1"/>
      <w:bookmarkStart w:id="602" w:name="Tc_sWX1vdg1M0qnWf1x8PnNxQ_1_1"/>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rFonts w:ascii="Helvetica" w:hAnsi="Helvetica"/>
          <w:i/>
          <w:sz w:val="18"/>
        </w:rPr>
        <w:t>Disaggregation of Revenue</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Company</w:t>
      </w:r>
      <w:r>
        <w:rPr>
          <w:rFonts w:ascii="Times New Roman;Times;serif" w:hAnsi="Times New Roman;Times;serif"/>
          <w:sz w:val="18"/>
        </w:rPr>
        <w:t>’</w:t>
      </w:r>
      <w:r>
        <w:rPr>
          <w:rFonts w:ascii="Helvetica" w:hAnsi="Helvetica"/>
          <w:sz w:val="18"/>
        </w:rPr>
        <w:t>s retail operations represent a single operating segment based on the way the Company manages its business. Operating decisions and resource allocation decisions are made at the Company level in order to maintain a consistent retail store presentation. The Company</w:t>
      </w:r>
      <w:r>
        <w:rPr>
          <w:rFonts w:ascii="Times New Roman;Times;serif" w:hAnsi="Times New Roman;Times;serif"/>
          <w:sz w:val="18"/>
        </w:rPr>
        <w:t>’</w:t>
      </w:r>
      <w:r>
        <w:rPr>
          <w:rFonts w:ascii="Helvetica" w:hAnsi="Helvetica"/>
          <w:sz w:val="18"/>
        </w:rPr>
        <w:t>s retail stores sell similar products, use similar processes to sell those products, and sell their products to similar classes of customers.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In the following table, the Company</w:t>
      </w:r>
      <w:r>
        <w:rPr>
          <w:rFonts w:ascii="Times New Roman;Times;serif" w:hAnsi="Times New Roman;Times;serif"/>
          <w:sz w:val="18"/>
        </w:rPr>
        <w:t>’</w:t>
      </w:r>
      <w:r>
        <w:rPr>
          <w:rFonts w:ascii="Helvetica" w:hAnsi="Helvetica"/>
          <w:sz w:val="18"/>
        </w:rPr>
        <w:t>s revenue from contracts with customers is disaggregated by Division or product category. The following table provides the percentage of net sales for each Division within the merchandise assortment:</w:t>
      </w:r>
    </w:p>
    <w:p>
      <w:pPr>
        <w:pStyle w:val="TextBody"/>
        <w:bidi w:val="0"/>
        <w:spacing w:before="0" w:after="0"/>
        <w:ind w:left="0" w:right="0" w:hanging="0"/>
        <w:jc w:val="left"/>
        <w:rPr/>
      </w:pPr>
      <w:r>
        <w:rPr/>
        <w:t>​</w:t>
      </w:r>
    </w:p>
    <w:tbl>
      <w:tblPr>
        <w:tblW w:w="4098" w:type="dxa"/>
        <w:jc w:val="left"/>
        <w:tblInd w:w="0" w:type="dxa"/>
        <w:tblLayout w:type="fixed"/>
        <w:tblCellMar>
          <w:top w:w="0" w:type="dxa"/>
          <w:left w:w="0" w:type="dxa"/>
          <w:bottom w:w="0" w:type="dxa"/>
          <w:right w:w="0" w:type="dxa"/>
        </w:tblCellMar>
      </w:tblPr>
      <w:tblGrid>
        <w:gridCol w:w="2071"/>
        <w:gridCol w:w="395"/>
        <w:gridCol w:w="338"/>
        <w:gridCol w:w="407"/>
        <w:gridCol w:w="395"/>
        <w:gridCol w:w="338"/>
        <w:gridCol w:w="154"/>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15085" cy="175260"/>
                      <wp:effectExtent l="0" t="0" r="0" b="0"/>
                      <wp:wrapNone/>
                      <wp:docPr id="78" name="Frame78"/>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0825" cy="175260"/>
                      <wp:effectExtent l="0" t="0" r="0" b="0"/>
                      <wp:wrapNone/>
                      <wp:docPr id="79" name="Frame7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4630" cy="175260"/>
                      <wp:effectExtent l="0" t="0" r="0" b="0"/>
                      <wp:wrapNone/>
                      <wp:docPr id="80" name="Frame8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8445" cy="175260"/>
                      <wp:effectExtent l="0" t="0" r="0" b="0"/>
                      <wp:wrapNone/>
                      <wp:docPr id="81" name="Frame81"/>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0825" cy="175260"/>
                      <wp:effectExtent l="0" t="0" r="0" b="0"/>
                      <wp:wrapNone/>
                      <wp:docPr id="82" name="Frame82"/>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4630" cy="175260"/>
                      <wp:effectExtent l="0" t="0" r="0" b="0"/>
                      <wp:wrapNone/>
                      <wp:docPr id="83" name="Frame8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7790" cy="175260"/>
                      <wp:effectExtent l="0" t="0" r="0" b="0"/>
                      <wp:wrapNone/>
                      <wp:docPr id="84" name="Frame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18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733"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w:t>
            </w:r>
          </w:p>
        </w:tc>
        <w:tc>
          <w:tcPr>
            <w:tcW w:w="407" w:type="dxa"/>
            <w:tcBorders/>
            <w:vAlign w:val="center"/>
          </w:tcPr>
          <w:p>
            <w:pPr>
              <w:pStyle w:val="TableContents"/>
              <w:bidi w:val="0"/>
              <w:spacing w:before="0" w:after="0"/>
              <w:ind w:left="0" w:right="0" w:hanging="0"/>
              <w:jc w:val="left"/>
              <w:rPr/>
            </w:pPr>
            <w:r>
              <w:rPr/>
              <w:t>    </w:t>
            </w:r>
          </w:p>
        </w:tc>
        <w:tc>
          <w:tcPr>
            <w:tcW w:w="733"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4,</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 w:hAnsi="Helvetica"/>
                <w:b/>
                <w:sz w:val="18"/>
              </w:rPr>
            </w:pPr>
            <w:r>
              <w:rPr>
                <w:rFonts w:ascii="Helvetica" w:hAnsi="Helvetica"/>
                <w:b/>
                <w:sz w:val="18"/>
              </w:rPr>
              <w:t>Division</w:t>
            </w:r>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2025</w:t>
            </w:r>
          </w:p>
        </w:tc>
        <w:tc>
          <w:tcPr>
            <w:tcW w:w="407" w:type="dxa"/>
            <w:tcBorders/>
            <w:vAlign w:val="center"/>
          </w:tcPr>
          <w:p>
            <w:pPr>
              <w:pStyle w:val="TableContents"/>
              <w:bidi w:val="0"/>
              <w:spacing w:before="0" w:after="0"/>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Helvetica" w:hAnsi="Helvetica"/>
                <w:sz w:val="19"/>
              </w:rPr>
            </w:pPr>
            <w:r>
              <w:rPr>
                <w:rFonts w:ascii="Helvetica" w:hAnsi="Helvetica"/>
                <w:sz w:val="19"/>
              </w:rPr>
              <w:t>Womens</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28</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29</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Kids</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Helvetica" w:hAnsi="Helvetica"/>
                <w:sz w:val="19"/>
              </w:rPr>
            </w:pPr>
            <w:r>
              <w:rPr>
                <w:rFonts w:ascii="Helvetica" w:hAnsi="Helvetica"/>
                <w:sz w:val="19"/>
              </w:rPr>
              <w:t>Accessories &amp; Beauty</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Mens</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15</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15</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Helvetica" w:hAnsi="Helvetica"/>
                <w:sz w:val="19"/>
              </w:rPr>
            </w:pPr>
            <w:r>
              <w:rPr>
                <w:rFonts w:ascii="Helvetica" w:hAnsi="Helvetica"/>
                <w:sz w:val="19"/>
              </w:rPr>
              <w:t>Home &amp; Lifestyle</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11</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Footwear</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
        <w:ind w:left="0" w:right="0" w:hanging="0"/>
        <w:jc w:val="left"/>
        <w:rPr>
          <w:rFonts w:ascii="Helvetica" w:hAnsi="Helvetica"/>
          <w:sz w:val="18"/>
        </w:rPr>
      </w:pPr>
      <w:bookmarkStart w:id="603" w:name="Tc_G1eigspOnkOWsQJa6ViTXQ_10_4"/>
      <w:bookmarkStart w:id="604" w:name="Tc_TCiDkf2PFUaC_yj-YMKQdg_10_2"/>
      <w:bookmarkStart w:id="605" w:name="Tc_Uo_3eTMDsUuFRs5Ml16CXQ_10_0"/>
      <w:bookmarkStart w:id="606" w:name="Tc_5rwPIdoockqmyv4LPVDp3Q_9_4"/>
      <w:bookmarkStart w:id="607" w:name="Tc_ErmR978s10mZfeB7y9DaFQ_9_0"/>
      <w:bookmarkStart w:id="608" w:name="Tc_eqPB9y0xFUa_-qM4XMzCKQ_8_0"/>
      <w:bookmarkStart w:id="609" w:name="Tc_9vxK3L-EYkqq2vmaiRk6CQ_7_0"/>
      <w:bookmarkStart w:id="610" w:name="Tc_9Z_OiPnmNEq7g-6-z6Thbw_6_0"/>
      <w:bookmarkStart w:id="611" w:name="Tc_zPHWG5tWeUCKmPCgYPIoWg_5_0"/>
      <w:bookmarkStart w:id="612" w:name="Tc_nNLyomizIkGbR8F-9KjH_A_4_0"/>
      <w:bookmarkStart w:id="613" w:name="Tc_yXbJ0SROeUau8dDHBKZQ7w_3_0"/>
      <w:bookmarkStart w:id="614" w:name="Tc_YzErt8asNESrrMoo5_bxFw_2_2"/>
      <w:bookmarkStart w:id="615" w:name="Tc_DfmawPQ_hk6TrAUe-U4puA_2_0"/>
      <w:bookmarkStart w:id="616" w:name="Tc_NJka9z-vjEOaYrDCmVHwvA_1_2"/>
      <w:bookmarkStart w:id="617" w:name="Tc_uox_Z22nl06HfvQWjy66Pw_1_0"/>
      <w:bookmarkStart w:id="618" w:name="_04538b23_d1c7_4ace_946d_3caecd846149"/>
      <w:bookmarkStart w:id="619" w:name="Tc_u1T32dw2CkyWF0_5CFAOKw_6_5"/>
      <w:bookmarkStart w:id="620" w:name="Tc_wHcQoPxpBEWnj_pNsCXseQ_6_2"/>
      <w:bookmarkStart w:id="621" w:name="Tc_joMwItQM3EGwq3W0xmkzHA_6_0"/>
      <w:bookmarkStart w:id="622" w:name="Tc_Ckoqr62L40WyZdNQ8e5-Fg_5_0"/>
      <w:bookmarkStart w:id="623" w:name="Tc_qp0vXrloxkS79QMkLZayhA_4_0"/>
      <w:bookmarkStart w:id="624" w:name="Tc_8t7RiI8Vj0aXtfNvLjIpTQ_3_5"/>
      <w:bookmarkStart w:id="625" w:name="Tc_UW_s7CpD3keWhHEtRGa-XA_3_2"/>
      <w:bookmarkStart w:id="626" w:name="Tc_lQsFB5gnXkm2qH2a_-mkdg_3_0"/>
      <w:bookmarkStart w:id="627" w:name="Tc_8tM7QaAM0UW_gy6oqVMx3g_2_5"/>
      <w:bookmarkStart w:id="628" w:name="Tc_nAzVv_vOdkSc_lxqxyCp7w_2_2"/>
      <w:bookmarkStart w:id="629" w:name="Tc_UuK86phVqU6Y4cWO_Ea5zQ_1_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ascii="Helvetica" w:hAnsi="Helvetica"/>
          <w:sz w:val="18"/>
        </w:rPr>
        <w:t>10. Leases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20"/>
        </w:rPr>
      </w:pPr>
      <w:r>
        <w:rPr>
          <w:rFonts w:ascii="Helvetica" w:hAnsi="Helvetica"/>
          <w:sz w:val="18"/>
        </w:rPr>
        <w:t>The Company leases its retail store locations, distribution centers, and certain office space and equipment. Leases for store locations are typically for a term of five years</w:t>
      </w:r>
      <w:r>
        <w:rPr>
          <w:rFonts w:ascii="Times New Roman;Times;serif" w:hAnsi="Times New Roman;Times;serif"/>
          <w:sz w:val="20"/>
        </w:rPr>
        <w:t xml:space="preserve"> </w:t>
      </w:r>
      <w:r>
        <w:rPr>
          <w:rFonts w:ascii="Helvetica" w:hAnsi="Helvetica"/>
          <w:sz w:val="18"/>
        </w:rPr>
        <w:t xml:space="preserve">with options to extend for </w:t>
      </w:r>
      <w:r>
        <w:rPr>
          <w:rFonts w:ascii="Helvetica" w:hAnsi="Helvetica"/>
          <w:b w:val="false"/>
          <w:i w:val="false"/>
          <w:caps w:val="false"/>
          <w:smallCaps w:val="false"/>
          <w:sz w:val="18"/>
        </w:rPr>
        <w:t>one</w:t>
      </w:r>
      <w:r>
        <w:rPr>
          <w:rFonts w:ascii="Times New Roman;Times;serif" w:hAnsi="Times New Roman;Times;serif"/>
          <w:sz w:val="20"/>
        </w:rPr>
        <w:t xml:space="preserve"> </w:t>
      </w:r>
      <w:r>
        <w:rPr>
          <w:rFonts w:ascii="Helvetica" w:hAnsi="Helvetica"/>
          <w:sz w:val="18"/>
        </w:rPr>
        <w:t>or more five-year</w:t>
      </w:r>
      <w:r>
        <w:rPr>
          <w:rFonts w:ascii="Times New Roman;Times;serif" w:hAnsi="Times New Roman;Times;serif"/>
          <w:sz w:val="20"/>
        </w:rPr>
        <w:t xml:space="preserve"> </w:t>
      </w:r>
      <w:r>
        <w:rPr>
          <w:rFonts w:ascii="Helvetica" w:hAnsi="Helvetica"/>
          <w:sz w:val="18"/>
        </w:rPr>
        <w:t>periods.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pStyle w:val="TextBody"/>
        <w:bidi w:val="0"/>
        <w:spacing w:before="0" w:after="22"/>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Helvetica" w:hAnsi="Helvetica"/>
          <w:sz w:val="18"/>
        </w:rPr>
        <w:t>Total lease cost is comprised of operating lease costs, short-term lease costs, and variable lease costs, which include rent paid as a percentage of sales, common area maintenance, real estate taxes and insurance for the Company</w:t>
      </w:r>
      <w:r>
        <w:rPr>
          <w:rFonts w:ascii="Times New Roman;Times;serif" w:hAnsi="Times New Roman;Times;serif"/>
          <w:sz w:val="18"/>
        </w:rPr>
        <w:t>’</w:t>
      </w:r>
      <w:r>
        <w:rPr>
          <w:rFonts w:ascii="Helvetica" w:hAnsi="Helvetica"/>
          <w:sz w:val="18"/>
        </w:rPr>
        <w:t>s real estate leases. Lease costs consisted of the following (in thousands):</w:t>
      </w:r>
    </w:p>
    <w:p>
      <w:pPr>
        <w:pStyle w:val="TextBody"/>
        <w:bidi w:val="0"/>
        <w:spacing w:before="0" w:after="0"/>
        <w:ind w:left="0" w:right="0" w:hanging="0"/>
        <w:jc w:val="left"/>
        <w:rPr/>
      </w:pPr>
      <w:r>
        <w:rPr/>
        <w:t>​</w:t>
      </w:r>
    </w:p>
    <w:tbl>
      <w:tblPr>
        <w:tblW w:w="4215" w:type="dxa"/>
        <w:jc w:val="left"/>
        <w:tblInd w:w="0" w:type="dxa"/>
        <w:tblLayout w:type="fixed"/>
        <w:tblCellMar>
          <w:top w:w="0" w:type="dxa"/>
          <w:left w:w="0" w:type="dxa"/>
          <w:bottom w:w="0" w:type="dxa"/>
          <w:right w:w="0" w:type="dxa"/>
        </w:tblCellMar>
      </w:tblPr>
      <w:tblGrid>
        <w:gridCol w:w="1831"/>
        <w:gridCol w:w="109"/>
        <w:gridCol w:w="239"/>
        <w:gridCol w:w="767"/>
        <w:gridCol w:w="109"/>
        <w:gridCol w:w="239"/>
        <w:gridCol w:w="767"/>
        <w:gridCol w:w="154"/>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162685" cy="175260"/>
                      <wp:effectExtent l="0" t="0" r="0" b="0"/>
                      <wp:wrapNone/>
                      <wp:docPr id="85" name="Frame8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1765" cy="175260"/>
                      <wp:effectExtent l="0" t="0" r="0" b="0"/>
                      <wp:wrapNone/>
                      <wp:docPr id="87" name="Frame8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87045" cy="175260"/>
                      <wp:effectExtent l="0" t="0" r="0" b="0"/>
                      <wp:wrapNone/>
                      <wp:docPr id="88" name="Frame8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51765" cy="175260"/>
                      <wp:effectExtent l="0" t="0" r="0" b="0"/>
                      <wp:wrapNone/>
                      <wp:docPr id="90" name="Frame9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87045" cy="175260"/>
                      <wp:effectExtent l="0" t="0" r="0" b="0"/>
                      <wp:wrapNone/>
                      <wp:docPr id="91" name="Frame9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7790" cy="175260"/>
                      <wp:effectExtent l="0" t="0" r="0" b="0"/>
                      <wp:wrapNone/>
                      <wp:docPr id="92" name="Frame9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 2025</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4, 2024</w:t>
            </w:r>
          </w:p>
        </w:tc>
        <w:tc>
          <w:tcPr>
            <w:tcW w:w="154" w:type="dxa"/>
            <w:tcBorders/>
            <w:vAlign w:val="center"/>
          </w:tcPr>
          <w:p>
            <w:pPr>
              <w:pStyle w:val="TableContents"/>
              <w:bidi w:val="0"/>
              <w:spacing w:before="0" w:after="0"/>
              <w:ind w:left="0" w:right="0" w:hanging="0"/>
              <w:jc w:val="left"/>
              <w:rPr/>
            </w:pPr>
            <w:r>
              <w:rPr/>
              <w:t>​</w:t>
            </w:r>
          </w:p>
        </w:tc>
      </w:tr>
      <w:tr>
        <w:trPr/>
        <w:tc>
          <w:tcPr>
            <w:tcW w:w="183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6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15,167</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6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15,391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Variable lease cost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2,610</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2,622</w:t>
            </w:r>
          </w:p>
        </w:tc>
        <w:tc>
          <w:tcPr>
            <w:tcW w:w="154" w:type="dxa"/>
            <w:tcBorders/>
            <w:vAlign w:val="center"/>
          </w:tcPr>
          <w:p>
            <w:pPr>
              <w:pStyle w:val="TableContents"/>
              <w:bidi w:val="0"/>
              <w:spacing w:before="0" w:after="0"/>
              <w:ind w:left="0" w:right="0" w:hanging="0"/>
              <w:jc w:val="left"/>
              <w:rPr/>
            </w:pPr>
            <w:r>
              <w:rPr/>
              <w:t>​</w:t>
            </w:r>
          </w:p>
        </w:tc>
      </w:tr>
      <w:tr>
        <w:trPr/>
        <w:tc>
          <w:tcPr>
            <w:tcW w:w="183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Short term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576</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lease cost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18,353</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18,725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2"/>
        <w:ind w:left="0" w:right="0" w:hanging="0"/>
        <w:jc w:val="left"/>
        <w:rPr/>
      </w:pPr>
      <w:r>
        <w:rPr/>
        <w:t>​</w:t>
      </w:r>
    </w:p>
    <w:p>
      <w:pPr>
        <w:pStyle w:val="TextBody"/>
        <w:bidi w:val="0"/>
        <w:spacing w:before="0" w:after="22"/>
        <w:ind w:left="0" w:right="0" w:hanging="0"/>
        <w:jc w:val="both"/>
        <w:rPr>
          <w:rFonts w:ascii="Helvetica" w:hAnsi="Helvetica"/>
          <w:sz w:val="18"/>
        </w:rPr>
      </w:pPr>
      <w:r>
        <w:rPr>
          <w:rFonts w:ascii="Helvetica" w:hAnsi="Helvetica"/>
          <w:sz w:val="18"/>
        </w:rPr>
        <w:t>Future minimum lease payments as of May 3, 2025 are as follows (in thousands):</w:t>
      </w:r>
    </w:p>
    <w:tbl>
      <w:tblPr>
        <w:tblW w:w="5034" w:type="dxa"/>
        <w:jc w:val="left"/>
        <w:tblInd w:w="0" w:type="dxa"/>
        <w:tblLayout w:type="fixed"/>
        <w:tblCellMar>
          <w:top w:w="0" w:type="dxa"/>
          <w:left w:w="0" w:type="dxa"/>
          <w:bottom w:w="0" w:type="dxa"/>
          <w:right w:w="0" w:type="dxa"/>
        </w:tblCellMar>
      </w:tblPr>
      <w:tblGrid>
        <w:gridCol w:w="3166"/>
        <w:gridCol w:w="326"/>
        <w:gridCol w:w="226"/>
        <w:gridCol w:w="854"/>
        <w:gridCol w:w="271"/>
        <w:gridCol w:w="1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10410" cy="175260"/>
                      <wp:effectExtent l="0" t="0" r="0" b="0"/>
                      <wp:wrapNone/>
                      <wp:docPr id="93" name="Frame9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42290" cy="175260"/>
                      <wp:effectExtent l="0" t="0" r="0" b="0"/>
                      <wp:wrapNone/>
                      <wp:docPr id="96" name="Frame9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2085" cy="175260"/>
                      <wp:effectExtent l="0" t="0" r="0" b="0"/>
                      <wp:wrapNone/>
                      <wp:docPr id="97" name="Frame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1285" cy="175260"/>
                      <wp:effectExtent l="0" t="0" r="0" b="0"/>
                      <wp:wrapNone/>
                      <wp:docPr id="98" name="Frame9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 w:hAnsi="Helvetica"/>
                <w:b/>
                <w:sz w:val="16"/>
              </w:rPr>
            </w:pPr>
            <w:r>
              <w:rPr>
                <w:rFonts w:ascii="Helvetica" w:hAnsi="Helvetica"/>
                <w:b/>
                <w:sz w:val="16"/>
              </w:rPr>
              <w:t>Fiscal Year</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Lease Costs</w:t>
            </w:r>
          </w:p>
        </w:tc>
        <w:tc>
          <w:tcPr>
            <w:tcW w:w="27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50,428</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2026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53,975</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42,461</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2028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33,635</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24,936</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Thereafter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91,553</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296,988</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Less: imputed interest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(76,599)</w:t>
            </w:r>
          </w:p>
        </w:tc>
        <w:tc>
          <w:tcPr>
            <w:tcW w:w="271" w:type="dxa"/>
            <w:tcBorders/>
            <w:vAlign w:val="center"/>
          </w:tcPr>
          <w:p>
            <w:pPr>
              <w:pStyle w:val="TableContents"/>
              <w:bidi w:val="0"/>
              <w:spacing w:before="0" w:after="0"/>
              <w:ind w:left="0" w:right="0" w:hanging="0"/>
              <w:jc w:val="center"/>
              <w:rPr>
                <w:rFonts w:ascii="Helvetica" w:hAnsi="Helvetica"/>
                <w:sz w:val="14"/>
              </w:rPr>
            </w:pPr>
            <w:r>
              <w:rPr>
                <w:rFonts w:ascii="Helvetica" w:hAnsi="Helvetica"/>
                <w:sz w:val="14"/>
              </w:rPr>
              <w:t>(1)</w:t>
            </w:r>
          </w:p>
        </w:tc>
        <w:tc>
          <w:tcPr>
            <w:tcW w:w="191"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present value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220,389</w:t>
            </w:r>
          </w:p>
        </w:tc>
        <w:tc>
          <w:tcPr>
            <w:tcW w:w="271" w:type="dxa"/>
            <w:tcBorders/>
            <w:shd w:fill="CCEEFF" w:val="clear"/>
            <w:vAlign w:val="center"/>
          </w:tcPr>
          <w:p>
            <w:pPr>
              <w:pStyle w:val="TableContents"/>
              <w:bidi w:val="0"/>
              <w:spacing w:before="0" w:after="0"/>
              <w:ind w:left="0" w:right="0" w:hanging="0"/>
              <w:jc w:val="center"/>
              <w:rPr>
                <w:rFonts w:ascii="Helvetica" w:hAnsi="Helvetica"/>
                <w:sz w:val="14"/>
              </w:rPr>
            </w:pPr>
            <w:r>
              <w:rPr>
                <w:rFonts w:ascii="Helvetica" w:hAnsi="Helvetica"/>
                <w:sz w:val="14"/>
              </w:rPr>
              <w:t>(2)</w:t>
            </w:r>
          </w:p>
        </w:tc>
        <w:tc>
          <w:tcPr>
            <w:tcW w:w="19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22"/>
        <w:ind w:left="360" w:right="0" w:hanging="0"/>
        <w:jc w:val="both"/>
        <w:rPr/>
      </w:pPr>
      <w:r>
        <w:rPr/>
        <w:t>​</w:t>
      </w:r>
    </w:p>
    <w:tbl>
      <w:tblPr>
        <w:tblW w:w="5166" w:type="dxa"/>
        <w:jc w:val="left"/>
        <w:tblInd w:w="0" w:type="dxa"/>
        <w:tblLayout w:type="fixed"/>
        <w:tblCellMar>
          <w:top w:w="28" w:type="dxa"/>
          <w:left w:w="28" w:type="dxa"/>
          <w:bottom w:w="28" w:type="dxa"/>
          <w:right w:w="28" w:type="dxa"/>
        </w:tblCellMar>
      </w:tblPr>
      <w:tblGrid>
        <w:gridCol w:w="124"/>
        <w:gridCol w:w="31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(1)</w:t>
            </w:r>
          </w:p>
        </w:tc>
        <w:tc>
          <w:tcPr>
            <w:tcW w:w="4726"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6"/>
              </w:rPr>
            </w:pPr>
            <w:r>
              <w:rPr>
                <w:rFonts w:ascii="Helvetica" w:hAnsi="Helvetica"/>
                <w:b w:val="false"/>
                <w:i w:val="false"/>
                <w:caps w:val="false"/>
                <w:smallCaps w:val="false"/>
                <w:sz w:val="16"/>
              </w:rPr>
              <w:t>Calculated using the incremental borrowing rate for each lease.</w:t>
            </w:r>
          </w:p>
        </w:tc>
      </w:tr>
    </w:tbl>
    <w:tbl>
      <w:tblPr>
        <w:tblW w:w="5706" w:type="dxa"/>
        <w:jc w:val="left"/>
        <w:tblInd w:w="0" w:type="dxa"/>
        <w:tblLayout w:type="fixed"/>
        <w:tblCellMar>
          <w:top w:w="28" w:type="dxa"/>
          <w:left w:w="28" w:type="dxa"/>
          <w:bottom w:w="28" w:type="dxa"/>
          <w:right w:w="28" w:type="dxa"/>
        </w:tblCellMar>
      </w:tblPr>
      <w:tblGrid>
        <w:gridCol w:w="124"/>
        <w:gridCol w:w="31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(2)</w:t>
            </w:r>
          </w:p>
        </w:tc>
        <w:tc>
          <w:tcPr>
            <w:tcW w:w="5266"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6"/>
              </w:rPr>
            </w:pPr>
            <w:r>
              <w:rPr>
                <w:rFonts w:ascii="Helvetica" w:hAnsi="Helvetica"/>
                <w:b w:val="false"/>
                <w:i w:val="false"/>
                <w:caps w:val="false"/>
                <w:smallCaps w:val="false"/>
                <w:sz w:val="16"/>
              </w:rPr>
              <w:t>Includes short-term and long-term portions of operating lease liabilities.</w:t>
            </w:r>
          </w:p>
        </w:tc>
      </w:tr>
    </w:tbl>
    <w:p>
      <w:pPr>
        <w:pStyle w:val="TextBody"/>
        <w:bidi w:val="0"/>
        <w:spacing w:before="0" w:after="22"/>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sz w:val="18"/>
        </w:rPr>
      </w:pPr>
      <w:bookmarkStart w:id="630" w:name="Tc_Sp3k8dbMQ0StcVky48qw3A_7_0"/>
      <w:bookmarkStart w:id="631" w:name="Tc_Uc5LVoP7ik-1kMIP58hYFg_6_0"/>
      <w:bookmarkStart w:id="632" w:name="Tc_W1C_kFmBpUCJqzrFMZWMhA_4_5"/>
      <w:bookmarkStart w:id="633" w:name="Tc_obVJIhEN40C-Un2vqQWGbg_4_2"/>
      <w:bookmarkStart w:id="634" w:name="Tc_przr-87Z-0iad8SJut9EGA_4_0"/>
      <w:bookmarkStart w:id="635" w:name="Tc_EOKZhwbQkUWsRaRIT-gLXA_3_5"/>
      <w:bookmarkStart w:id="636" w:name="Tc_eq-1QzLY5k6G44NhrRmsQQ_3_2"/>
      <w:bookmarkStart w:id="637" w:name="Tc_4Hyuz3yiLUunOmCUm9zWfQ_3_0"/>
      <w:bookmarkStart w:id="638" w:name="Tc_brdB1Ab5ekC_r5U_Y71QYA_2_5"/>
      <w:bookmarkStart w:id="639" w:name="Tc_A9tIyLalDUK2SwJSJELHXw_2_2"/>
      <w:bookmarkStart w:id="640" w:name="Tc_QRkifEQbGUC5PDmO8Uc_1Q_1_2"/>
      <w:bookmarkEnd w:id="630"/>
      <w:bookmarkEnd w:id="631"/>
      <w:bookmarkEnd w:id="632"/>
      <w:bookmarkEnd w:id="633"/>
      <w:bookmarkEnd w:id="634"/>
      <w:bookmarkEnd w:id="635"/>
      <w:bookmarkEnd w:id="636"/>
      <w:bookmarkEnd w:id="637"/>
      <w:bookmarkEnd w:id="638"/>
      <w:bookmarkEnd w:id="639"/>
      <w:bookmarkEnd w:id="640"/>
      <w:r>
        <w:rPr>
          <w:rFonts w:ascii="Helvetica" w:hAnsi="Helvetica"/>
          <w:sz w:val="18"/>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Supplemental cash flows and other information related to operating leases are as follows (in thousands, except for weighted average amounts):</w:t>
      </w:r>
    </w:p>
    <w:p>
      <w:pPr>
        <w:pStyle w:val="TextBody"/>
        <w:bidi w:val="0"/>
        <w:spacing w:before="0" w:after="0"/>
        <w:ind w:left="0" w:right="0" w:hanging="0"/>
        <w:jc w:val="left"/>
        <w:rPr/>
      </w:pPr>
      <w:r>
        <w:rPr/>
        <w:t>​</w:t>
      </w:r>
    </w:p>
    <w:tbl>
      <w:tblPr>
        <w:tblW w:w="8703" w:type="dxa"/>
        <w:jc w:val="left"/>
        <w:tblInd w:w="0" w:type="dxa"/>
        <w:tblLayout w:type="fixed"/>
        <w:tblCellMar>
          <w:top w:w="0" w:type="dxa"/>
          <w:left w:w="0" w:type="dxa"/>
          <w:bottom w:w="0" w:type="dxa"/>
          <w:right w:w="0" w:type="dxa"/>
        </w:tblCellMar>
      </w:tblPr>
      <w:tblGrid>
        <w:gridCol w:w="6211"/>
        <w:gridCol w:w="326"/>
        <w:gridCol w:w="239"/>
        <w:gridCol w:w="767"/>
        <w:gridCol w:w="109"/>
        <w:gridCol w:w="237"/>
        <w:gridCol w:w="814"/>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943985" cy="175260"/>
                      <wp:effectExtent l="0" t="0" r="0" b="0"/>
                      <wp:wrapNone/>
                      <wp:docPr id="99" name="Frame99"/>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1765" cy="175260"/>
                      <wp:effectExtent l="0" t="0" r="0" b="0"/>
                      <wp:wrapNone/>
                      <wp:docPr id="101" name="Frame10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87045" cy="175260"/>
                      <wp:effectExtent l="0" t="0" r="0" b="0"/>
                      <wp:wrapNone/>
                      <wp:docPr id="102" name="Frame102"/>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0495" cy="175260"/>
                      <wp:effectExtent l="0" t="0" r="0" b="0"/>
                      <wp:wrapNone/>
                      <wp:docPr id="104" name="Frame10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16890" cy="175260"/>
                      <wp:effectExtent l="0" t="0" r="0" b="0"/>
                      <wp:wrapNone/>
                      <wp:docPr id="105" name="Frame105"/>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 2025</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4, 2024</w:t>
            </w:r>
          </w:p>
        </w:tc>
      </w:tr>
      <w:tr>
        <w:trPr/>
        <w:tc>
          <w:tcPr>
            <w:tcW w:w="6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paid for 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6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15,182</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1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15,302</w:t>
            </w:r>
          </w:p>
        </w:tc>
      </w:tr>
      <w:tr>
        <w:trPr/>
        <w:tc>
          <w:tcPr>
            <w:tcW w:w="6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Right of use assets obtained in exchange for new operating lease liabilities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6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16,528</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14"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7,651</w:t>
            </w:r>
          </w:p>
        </w:tc>
      </w:tr>
      <w:tr>
        <w:trPr/>
        <w:tc>
          <w:tcPr>
            <w:tcW w:w="6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left"/>
              <w:rPr/>
            </w:pPr>
            <w:r>
              <w:rPr/>
              <w:t>​</w:t>
            </w:r>
          </w:p>
        </w:tc>
      </w:tr>
      <w:tr>
        <w:trPr/>
        <w:tc>
          <w:tcPr>
            <w:tcW w:w="6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remaining lease term (years) - operating leases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7.14</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7.47</w:t>
            </w:r>
          </w:p>
        </w:tc>
      </w:tr>
      <w:tr>
        <w:trPr/>
        <w:tc>
          <w:tcPr>
            <w:tcW w:w="6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discount rate -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5.78%</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60" w:hanging="0"/>
              <w:jc w:val="right"/>
              <w:rPr>
                <w:rFonts w:ascii="Helvetica" w:hAnsi="Helvetica"/>
                <w:sz w:val="18"/>
              </w:rPr>
            </w:pPr>
            <w:r>
              <w:rPr>
                <w:rFonts w:ascii="Helvetica" w:hAnsi="Helvetica"/>
                <w:sz w:val="18"/>
              </w:rPr>
              <w:t>5.18%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
        <w:ind w:left="0" w:right="0" w:hanging="0"/>
        <w:jc w:val="left"/>
        <w:rPr>
          <w:rFonts w:ascii="Helvetica" w:hAnsi="Helvetica"/>
          <w:sz w:val="18"/>
        </w:rPr>
      </w:pPr>
      <w:bookmarkStart w:id="641" w:name="Tc_74jYqnKB-0ebfXryIjR7Qw_18_4"/>
      <w:bookmarkStart w:id="642" w:name="Tc_UcjnGBfd4EWYDD2QBHKhPQ_18_1"/>
      <w:bookmarkStart w:id="643" w:name="Tc_fD2kTqBPYEal0J7B5XK8Ig_18_0"/>
      <w:bookmarkStart w:id="644" w:name="Tc_AtCNjYnrFEaoMERWe907BA_17_2"/>
      <w:bookmarkStart w:id="645" w:name="Tc_sJn8SFyI20qPfilcgVeUYg_17_0"/>
      <w:bookmarkStart w:id="646" w:name="Tc_wHtauk51jUGIYEovna7IFQ_16_0"/>
      <w:bookmarkStart w:id="647" w:name="Tc_jJ7ZCApZqkSoBxMjX7llgw_15_0"/>
      <w:bookmarkStart w:id="648" w:name="Tc_YFnOCyVZkkGhFPScYwBwhQ_14_5"/>
      <w:bookmarkStart w:id="649" w:name="Tc_Z-yfCD5nl0W8pmrDVf_XNQ_14_0"/>
      <w:bookmarkStart w:id="650" w:name="Tc_g8ptfkBcRkO_qg3fIbZ3DQ_13_0"/>
      <w:bookmarkStart w:id="651" w:name="Tc_3Z4JYoHIA0WYAKwgEhfvCw_12_0"/>
      <w:bookmarkStart w:id="652" w:name="Tc_VJqge4C3DUCfeLqCppgLfg_11_0"/>
      <w:bookmarkStart w:id="653" w:name="Tc_KJIEUp4ork2_QfUdMVZUXQ_10_0"/>
      <w:bookmarkStart w:id="654" w:name="Tc_kOPhvCRqhkuRU6ODPvVTsA_9_0"/>
      <w:bookmarkStart w:id="655" w:name="Tc_j2vt-stVM0KmcWU6-YgFPg_8_0"/>
      <w:bookmarkStart w:id="656" w:name="Tc_YIGWPSI6Z0qUgUuKo6zDqA_7_0"/>
      <w:bookmarkStart w:id="657" w:name="Tc_yhJ1717aEk6A2PJPnALveA_6_0"/>
      <w:bookmarkStart w:id="658" w:name="Tc_jbzeDrEBWESczOMe5Y_-Sg_5_0"/>
      <w:bookmarkStart w:id="659" w:name="Tc_F5ZTBwNJn0OyGhUvQBHkpQ_4_0"/>
      <w:bookmarkStart w:id="660" w:name="Tc_6VHYppmD9UOnw4JHA9pWRQ_3_4"/>
      <w:bookmarkStart w:id="661" w:name="Tc_krnqd8hlrkWyW6ZIFs-9Iw_3_1"/>
      <w:bookmarkStart w:id="662" w:name="Tc_-5pv9_ikw0O1dYhqt9qgaw_3_0"/>
      <w:bookmarkStart w:id="663" w:name="Tc_4zoDeTFGi0a7ibidsH26SA_2_4"/>
      <w:bookmarkStart w:id="664" w:name="Tc_4LMupb1D1kqRfCjisSSwLQ_2_1"/>
      <w:bookmarkStart w:id="665" w:name="Tc_0wyDhySrtEK5cad1IpGKdg_1_1"/>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Helvetica" w:hAnsi="Helvetica"/>
          <w:sz w:val="18"/>
        </w:rPr>
        <w:t>11. Segment Reporting</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Company is an off-price value retailer of fashion apparel, accessories and home trends primarily for African American families. The retail operations represent a single operating segment based on the way the Company manages its business. The Company</w:t>
      </w:r>
      <w:r>
        <w:rPr>
          <w:rFonts w:ascii="Times New Roman;Times;serif" w:hAnsi="Times New Roman;Times;serif"/>
          <w:sz w:val="18"/>
        </w:rPr>
        <w:t>’</w:t>
      </w:r>
      <w:r>
        <w:rPr>
          <w:rFonts w:ascii="Helvetica" w:hAnsi="Helvetica"/>
          <w:sz w:val="18"/>
        </w:rPr>
        <w:t>s Chief Executive Officer, as our chief operating decision maker (</w:t>
      </w:r>
      <w:r>
        <w:rPr>
          <w:rFonts w:ascii="Times New Roman;Times;serif" w:hAnsi="Times New Roman;Times;serif"/>
          <w:sz w:val="18"/>
        </w:rPr>
        <w:t>“</w:t>
      </w:r>
      <w:r>
        <w:rPr>
          <w:rFonts w:ascii="Helvetica" w:hAnsi="Helvetica"/>
          <w:sz w:val="18"/>
        </w:rPr>
        <w:t>CODM</w:t>
      </w:r>
      <w:r>
        <w:rPr>
          <w:rFonts w:ascii="Times New Roman;Times;serif" w:hAnsi="Times New Roman;Times;serif"/>
          <w:sz w:val="18"/>
        </w:rPr>
        <w:t>”</w:t>
      </w:r>
      <w:r>
        <w:rPr>
          <w:rFonts w:ascii="Helvetica" w:hAnsi="Helvetica"/>
          <w:sz w:val="18"/>
        </w:rPr>
        <w:t>), manages and allocates resources to the operations of the Company on a consolidated basis. This enables the Chief Executive Officer to assess the Company</w:t>
      </w:r>
      <w:r>
        <w:rPr>
          <w:rFonts w:ascii="Times New Roman;Times;serif" w:hAnsi="Times New Roman;Times;serif"/>
          <w:sz w:val="18"/>
        </w:rPr>
        <w:t>’</w:t>
      </w:r>
      <w:r>
        <w:rPr>
          <w:rFonts w:ascii="Helvetica" w:hAnsi="Helvetica"/>
          <w:sz w:val="18"/>
        </w:rPr>
        <w:t>s overall level of available resources and determine how best to deploy these resources across retail stores that are in line with the Company</w:t>
      </w:r>
      <w:r>
        <w:rPr>
          <w:rFonts w:ascii="Times New Roman;Times;serif" w:hAnsi="Times New Roman;Times;serif"/>
          <w:sz w:val="18"/>
        </w:rPr>
        <w:t>’</w:t>
      </w:r>
      <w:r>
        <w:rPr>
          <w:rFonts w:ascii="Helvetica" w:hAnsi="Helvetica"/>
          <w:sz w:val="18"/>
        </w:rPr>
        <w:t>s long-term company-wide strategic goals. The Company</w:t>
      </w:r>
      <w:r>
        <w:rPr>
          <w:rFonts w:ascii="Times New Roman;Times;serif" w:hAnsi="Times New Roman;Times;serif"/>
          <w:sz w:val="18"/>
        </w:rPr>
        <w:t>’</w:t>
      </w:r>
      <w:r>
        <w:rPr>
          <w:rFonts w:ascii="Helvetica" w:hAnsi="Helvetica"/>
          <w:sz w:val="18"/>
        </w:rPr>
        <w:t>s retail stores sell similar products, use similar processes to sell those products, and sell 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budget-to-actual variances on a monthly basis when making decisions about allocating capital and personnel. The CODM does not review assets in evaluating results, therefore such information is not provided.</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following table summarizes the Company</w:t>
      </w:r>
      <w:r>
        <w:rPr>
          <w:rFonts w:ascii="Times New Roman;Times;serif" w:hAnsi="Times New Roman;Times;serif"/>
          <w:sz w:val="18"/>
        </w:rPr>
        <w:t>’</w:t>
      </w:r>
      <w:r>
        <w:rPr>
          <w:rFonts w:ascii="Helvetica" w:hAnsi="Helvetica"/>
          <w:sz w:val="18"/>
        </w:rPr>
        <w:t>s one</w:t>
      </w:r>
      <w:r>
        <w:rPr>
          <w:rFonts w:ascii="Times New Roman;Times;serif" w:hAnsi="Times New Roman;Times;serif"/>
          <w:sz w:val="18"/>
        </w:rPr>
        <w:t xml:space="preserve"> </w:t>
      </w:r>
      <w:r>
        <w:rPr>
          <w:rFonts w:ascii="Helvetica" w:hAnsi="Helvetica"/>
          <w:sz w:val="18"/>
        </w:rPr>
        <w:t>reportable segment profit or loss, including significant segment expenses, and includes the reconciliation to consolidated net (loss) income (in thousands):</w:t>
      </w:r>
    </w:p>
    <w:p>
      <w:pPr>
        <w:pStyle w:val="TextBody"/>
        <w:bidi w:val="0"/>
        <w:spacing w:before="0" w:after="22"/>
        <w:ind w:left="0" w:right="0" w:hanging="0"/>
        <w:jc w:val="left"/>
        <w:rPr/>
      </w:pPr>
      <w:r>
        <w:rPr/>
        <w:t>​</w:t>
      </w:r>
    </w:p>
    <w:tbl>
      <w:tblPr>
        <w:tblW w:w="7764" w:type="dxa"/>
        <w:jc w:val="left"/>
        <w:tblInd w:w="0" w:type="dxa"/>
        <w:tblLayout w:type="fixed"/>
        <w:tblCellMar>
          <w:top w:w="0" w:type="dxa"/>
          <w:left w:w="0" w:type="dxa"/>
          <w:bottom w:w="0" w:type="dxa"/>
          <w:right w:w="0" w:type="dxa"/>
        </w:tblCellMar>
      </w:tblPr>
      <w:tblGrid>
        <w:gridCol w:w="5386"/>
        <w:gridCol w:w="211"/>
        <w:gridCol w:w="901"/>
        <w:gridCol w:w="109"/>
        <w:gridCol w:w="211"/>
        <w:gridCol w:w="94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420110" cy="175260"/>
                      <wp:effectExtent l="0" t="0" r="0" b="0"/>
                      <wp:wrapNone/>
                      <wp:docPr id="106" name="Frame106"/>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72135" cy="175260"/>
                      <wp:effectExtent l="0" t="0" r="0" b="0"/>
                      <wp:wrapNone/>
                      <wp:docPr id="108" name="Frame10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00710" cy="175260"/>
                      <wp:effectExtent l="0" t="0" r="0" b="0"/>
                      <wp:wrapNone/>
                      <wp:docPr id="111" name="Frame11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0"/>
              <w:ind w:left="0" w:right="0" w:hanging="0"/>
              <w:jc w:val="left"/>
              <w:rPr/>
            </w:pPr>
            <w:r>
              <w:rPr/>
              <w:t>​</w:t>
            </w:r>
          </w:p>
        </w:tc>
        <w:tc>
          <w:tcPr>
            <w:tcW w:w="23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r>
      <w:tr>
        <w:trPr/>
        <w:tc>
          <w:tcPr>
            <w:tcW w:w="538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3, 2025</w:t>
            </w:r>
          </w:p>
        </w:tc>
        <w:tc>
          <w:tcPr>
            <w:tcW w:w="109"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May 4, 2024</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sales</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201,728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186,289</w:t>
            </w:r>
          </w:p>
        </w:tc>
      </w:tr>
      <w:tr>
        <w:trPr/>
        <w:tc>
          <w:tcPr>
            <w:tcW w:w="538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Cost of sales (exclusive of depreciation shown separately below)</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Merchandising and other</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(111,857)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(104,299)</w:t>
            </w:r>
          </w:p>
        </w:tc>
      </w:tr>
      <w:tr>
        <w:trPr/>
        <w:tc>
          <w:tcPr>
            <w:tcW w:w="538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Freight in and out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(10,061)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(9,955)</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Selling, general, and administrative expenses</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Store expenses - payroll and related expenses</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(22,485)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(22,135)</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Store expenses - rent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(16,327)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(16,774)</w:t>
            </w:r>
          </w:p>
        </w:tc>
      </w:tr>
      <w:tr>
        <w:trPr/>
        <w:tc>
          <w:tcPr>
            <w:tcW w:w="538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Corporate expenses - payroll and related expenses</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(7,283)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(8,232)</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Distribution center expenses - payroll and related expenses</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(4,555)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(3,947)</w:t>
            </w:r>
          </w:p>
        </w:tc>
      </w:tr>
      <w:tr>
        <w:trPr/>
        <w:tc>
          <w:tcPr>
            <w:tcW w:w="538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Helvetica" w:hAnsi="Helvetica"/>
                <w:sz w:val="18"/>
              </w:rPr>
              <w:t xml:space="preserve">Other segment expenses </w:t>
            </w:r>
            <w:r>
              <w:rPr>
                <w:rFonts w:ascii="Helvetica" w:hAnsi="Helvetica"/>
                <w:sz w:val="14"/>
              </w:rPr>
              <w:t>(1)</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(24,237)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(23,123)</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Depreciation</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(4,370)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(4,793)</w:t>
            </w:r>
          </w:p>
        </w:tc>
      </w:tr>
      <w:tr>
        <w:trPr/>
        <w:tc>
          <w:tcPr>
            <w:tcW w:w="538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Asset impairment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income</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849</w:t>
            </w:r>
          </w:p>
        </w:tc>
      </w:tr>
      <w:tr>
        <w:trPr/>
        <w:tc>
          <w:tcPr>
            <w:tcW w:w="538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expense</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(79)</w:t>
            </w:r>
          </w:p>
        </w:tc>
      </w:tr>
      <w:tr>
        <w:trPr/>
        <w:tc>
          <w:tcPr>
            <w:tcW w:w="538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(provision) benefit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2,773</w:t>
            </w:r>
          </w:p>
        </w:tc>
      </w:tr>
      <w:tr>
        <w:trPr/>
        <w:tc>
          <w:tcPr>
            <w:tcW w:w="538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income (loss)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871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(3,426)</w:t>
            </w:r>
          </w:p>
        </w:tc>
      </w:tr>
    </w:tbl>
    <w:p>
      <w:pPr>
        <w:pStyle w:val="TextBody"/>
        <w:bidi w:val="0"/>
        <w:spacing w:before="0" w:after="22"/>
        <w:ind w:left="0" w:right="0" w:hanging="0"/>
        <w:jc w:val="left"/>
        <w:rPr/>
      </w:pPr>
      <w:r>
        <w:rPr/>
        <w:t>​</w:t>
      </w:r>
    </w:p>
    <w:p>
      <w:pPr>
        <w:pStyle w:val="TextBody"/>
        <w:bidi w:val="0"/>
        <w:spacing w:lineRule="auto" w:line="240" w:before="0" w:after="22"/>
        <w:ind w:left="0" w:right="0" w:hanging="0"/>
        <w:jc w:val="left"/>
        <w:rPr>
          <w:rFonts w:ascii="Times New Roman;Times;serif" w:hAnsi="Times New Roman;Times;serif"/>
          <w:sz w:val="14"/>
        </w:rPr>
      </w:pPr>
      <w:r>
        <w:rPr>
          <w:rFonts w:ascii="Helvetica" w:hAnsi="Helvetica"/>
          <w:sz w:val="11"/>
          <w:shd w:fill="FFFFFF" w:val="clear"/>
        </w:rPr>
        <w:t>(1) </w:t>
      </w:r>
      <w:r>
        <w:rPr>
          <w:rFonts w:ascii="Helvetica" w:hAnsi="Helvetica"/>
          <w:sz w:val="19"/>
          <w:shd w:fill="FFFFFF" w:val="clear"/>
        </w:rPr>
        <w:t>Other segment expenses represent other store, corporate and distribution center expenses including utilities, repairs, supplies, insurance, professional fees and other miscellaneous fees.</w:t>
      </w:r>
    </w:p>
    <w:p>
      <w:pPr>
        <w:pStyle w:val="TextBody"/>
        <w:bidi w:val="0"/>
        <w:spacing w:before="0" w:after="0"/>
        <w:ind w:left="0" w:right="0" w:hanging="0"/>
        <w:jc w:val="left"/>
        <w:rPr/>
      </w:pPr>
      <w:r>
        <w:rPr/>
        <w:t>​</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bookmarkStart w:id="666" w:name="Item2ManagementsDiscussionandAnalysis_36"/>
      <w:bookmarkStart w:id="667" w:name="_ebd6b214_7029_485b_8547_ca71f9cda828"/>
      <w:bookmarkEnd w:id="666"/>
      <w:bookmarkEnd w:id="667"/>
      <w:r>
        <w:rPr>
          <w:rFonts w:ascii="Helvetica" w:hAnsi="Helvetica"/>
          <w:b/>
          <w:sz w:val="18"/>
        </w:rPr>
        <w:t>Item 2. Management</w:t>
      </w:r>
      <w:r>
        <w:rPr>
          <w:rFonts w:ascii="Times New Roman;Times;serif" w:hAnsi="Times New Roman;Times;serif"/>
          <w:sz w:val="18"/>
        </w:rPr>
        <w:t>’</w:t>
      </w:r>
      <w:r>
        <w:rPr>
          <w:rFonts w:ascii="Helvetica" w:hAnsi="Helvetica"/>
          <w:b/>
          <w:sz w:val="18"/>
        </w:rPr>
        <w:t>s Discussion and Analysis of Financial Condition and Results of Operations.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Forward-Looking Statements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 xml:space="preserve">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as defined in the Private Securities Litigation Reform Act of 1995,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w:t>
      </w:r>
      <w:r>
        <w:rPr>
          <w:rFonts w:ascii="Times New Roman;Times;serif" w:hAnsi="Times New Roman;Times;serif"/>
          <w:sz w:val="18"/>
        </w:rPr>
        <w:t>“</w:t>
      </w:r>
      <w:r>
        <w:rPr>
          <w:rFonts w:ascii="Helvetica" w:hAnsi="Helvetica"/>
          <w:sz w:val="18"/>
        </w:rPr>
        <w:t>believe,</w:t>
      </w:r>
      <w:r>
        <w:rPr>
          <w:rFonts w:ascii="Times New Roman;Times;serif" w:hAnsi="Times New Roman;Times;serif"/>
          <w:sz w:val="18"/>
        </w:rPr>
        <w:t>” “</w:t>
      </w:r>
      <w:r>
        <w:rPr>
          <w:rFonts w:ascii="Helvetica" w:hAnsi="Helvetica"/>
          <w:sz w:val="18"/>
        </w:rPr>
        <w:t>anticipate,</w:t>
      </w:r>
      <w:r>
        <w:rPr>
          <w:rFonts w:ascii="Times New Roman;Times;serif" w:hAnsi="Times New Roman;Times;serif"/>
          <w:sz w:val="18"/>
        </w:rPr>
        <w:t>” “</w:t>
      </w:r>
      <w:r>
        <w:rPr>
          <w:rFonts w:ascii="Helvetica" w:hAnsi="Helvetica"/>
          <w:sz w:val="18"/>
        </w:rPr>
        <w:t>project,</w:t>
      </w:r>
      <w:r>
        <w:rPr>
          <w:rFonts w:ascii="Times New Roman;Times;serif" w:hAnsi="Times New Roman;Times;serif"/>
          <w:sz w:val="18"/>
        </w:rPr>
        <w:t>” “</w:t>
      </w:r>
      <w:r>
        <w:rPr>
          <w:rFonts w:ascii="Helvetica" w:hAnsi="Helvetica"/>
          <w:sz w:val="18"/>
        </w:rPr>
        <w:t>plan,</w:t>
      </w:r>
      <w:r>
        <w:rPr>
          <w:rFonts w:ascii="Times New Roman;Times;serif" w:hAnsi="Times New Roman;Times;serif"/>
          <w:sz w:val="18"/>
        </w:rPr>
        <w:t>” “</w:t>
      </w:r>
      <w:r>
        <w:rPr>
          <w:rFonts w:ascii="Helvetica" w:hAnsi="Helvetica"/>
          <w:sz w:val="18"/>
        </w:rPr>
        <w:t>expect,</w:t>
      </w:r>
      <w:r>
        <w:rPr>
          <w:rFonts w:ascii="Times New Roman;Times;serif" w:hAnsi="Times New Roman;Times;serif"/>
          <w:sz w:val="18"/>
        </w:rPr>
        <w:t>” “</w:t>
      </w:r>
      <w:r>
        <w:rPr>
          <w:rFonts w:ascii="Helvetica" w:hAnsi="Helvetica"/>
          <w:sz w:val="18"/>
        </w:rPr>
        <w:t>estimate,</w:t>
      </w:r>
      <w:r>
        <w:rPr>
          <w:rFonts w:ascii="Times New Roman;Times;serif" w:hAnsi="Times New Roman;Times;serif"/>
          <w:sz w:val="18"/>
        </w:rPr>
        <w:t>” “</w:t>
      </w:r>
      <w:r>
        <w:rPr>
          <w:rFonts w:ascii="Helvetica" w:hAnsi="Helvetica"/>
          <w:sz w:val="18"/>
        </w:rPr>
        <w:t>objective,</w:t>
      </w:r>
      <w:r>
        <w:rPr>
          <w:rFonts w:ascii="Times New Roman;Times;serif" w:hAnsi="Times New Roman;Times;serif"/>
          <w:sz w:val="18"/>
        </w:rPr>
        <w:t>” “</w:t>
      </w:r>
      <w:r>
        <w:rPr>
          <w:rFonts w:ascii="Helvetica" w:hAnsi="Helvetica"/>
          <w:sz w:val="18"/>
        </w:rPr>
        <w:t>forecast,</w:t>
      </w:r>
      <w:r>
        <w:rPr>
          <w:rFonts w:ascii="Times New Roman;Times;serif" w:hAnsi="Times New Roman;Times;serif"/>
          <w:sz w:val="18"/>
        </w:rPr>
        <w:t>” “</w:t>
      </w:r>
      <w:r>
        <w:rPr>
          <w:rFonts w:ascii="Helvetica" w:hAnsi="Helvetica"/>
          <w:sz w:val="18"/>
        </w:rPr>
        <w:t>goal,</w:t>
      </w:r>
      <w:r>
        <w:rPr>
          <w:rFonts w:ascii="Times New Roman;Times;serif" w:hAnsi="Times New Roman;Times;serif"/>
          <w:sz w:val="18"/>
        </w:rPr>
        <w:t>” “</w:t>
      </w:r>
      <w:r>
        <w:rPr>
          <w:rFonts w:ascii="Helvetica" w:hAnsi="Helvetica"/>
          <w:sz w:val="18"/>
        </w:rPr>
        <w:t>intend,</w:t>
      </w:r>
      <w:r>
        <w:rPr>
          <w:rFonts w:ascii="Times New Roman;Times;serif" w:hAnsi="Times New Roman;Times;serif"/>
          <w:sz w:val="18"/>
        </w:rPr>
        <w:t>” “</w:t>
      </w:r>
      <w:r>
        <w:rPr>
          <w:rFonts w:ascii="Helvetica" w:hAnsi="Helvetica"/>
          <w:sz w:val="18"/>
        </w:rPr>
        <w:t>could,</w:t>
      </w:r>
      <w:r>
        <w:rPr>
          <w:rFonts w:ascii="Times New Roman;Times;serif" w:hAnsi="Times New Roman;Times;serif"/>
          <w:sz w:val="18"/>
        </w:rPr>
        <w:t>” “</w:t>
      </w:r>
      <w:r>
        <w:rPr>
          <w:rFonts w:ascii="Helvetica" w:hAnsi="Helvetica"/>
          <w:sz w:val="18"/>
        </w:rPr>
        <w:t>will likely result,</w:t>
      </w:r>
      <w:r>
        <w:rPr>
          <w:rFonts w:ascii="Times New Roman;Times;serif" w:hAnsi="Times New Roman;Times;serif"/>
          <w:sz w:val="18"/>
        </w:rPr>
        <w:t xml:space="preserve">” </w:t>
      </w:r>
      <w:r>
        <w:rPr>
          <w:rFonts w:ascii="Helvetica" w:hAnsi="Helvetica"/>
          <w:sz w:val="18"/>
        </w:rPr>
        <w:t xml:space="preserve">or </w:t>
      </w:r>
      <w:r>
        <w:rPr>
          <w:rFonts w:ascii="Times New Roman;Times;serif" w:hAnsi="Times New Roman;Times;serif"/>
          <w:sz w:val="18"/>
        </w:rPr>
        <w:t>“</w:t>
      </w:r>
      <w:r>
        <w:rPr>
          <w:rFonts w:ascii="Helvetica" w:hAnsi="Helvetica"/>
          <w:sz w:val="18"/>
        </w:rPr>
        <w:t>will continue</w:t>
      </w:r>
      <w:r>
        <w:rPr>
          <w:rFonts w:ascii="Times New Roman;Times;serif" w:hAnsi="Times New Roman;Times;serif"/>
          <w:sz w:val="18"/>
        </w:rPr>
        <w:t xml:space="preserve">” </w:t>
      </w:r>
      <w:r>
        <w:rPr>
          <w:rFonts w:ascii="Helvetica" w:hAnsi="Helvetica"/>
          <w:sz w:val="18"/>
        </w:rPr>
        <w:t>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impact of natural disasters such as hurricanes; uncertainty and economic impact of pandemics, epidemics or other public health emergencies; transportation and distribution delays or interruptions; changes in freight rates; the Company</w:t>
      </w:r>
      <w:r>
        <w:rPr>
          <w:rFonts w:ascii="Times New Roman;Times;serif" w:hAnsi="Times New Roman;Times;serif"/>
          <w:sz w:val="18"/>
        </w:rPr>
        <w:t>’</w:t>
      </w:r>
      <w:r>
        <w:rPr>
          <w:rFonts w:ascii="Helvetica" w:hAnsi="Helvetica"/>
          <w:sz w:val="18"/>
        </w:rPr>
        <w:t>s ability to attract and retain workers; the Company</w:t>
      </w:r>
      <w:r>
        <w:rPr>
          <w:rFonts w:ascii="Times New Roman;Times;serif" w:hAnsi="Times New Roman;Times;serif"/>
          <w:sz w:val="18"/>
        </w:rPr>
        <w:t>’</w:t>
      </w:r>
      <w:r>
        <w:rPr>
          <w:rFonts w:ascii="Helvetica" w:hAnsi="Helvetica"/>
          <w:sz w:val="18"/>
        </w:rPr>
        <w:t>s ability to negotiate effectively the cost and purchase of merchandise; inventory risks due to shifts in market demand; the Company</w:t>
      </w:r>
      <w:r>
        <w:rPr>
          <w:rFonts w:ascii="Times New Roman;Times;serif" w:hAnsi="Times New Roman;Times;serif"/>
          <w:sz w:val="18"/>
        </w:rPr>
        <w:t>’</w:t>
      </w:r>
      <w:r>
        <w:rPr>
          <w:rFonts w:ascii="Helvetica" w:hAnsi="Helvetica"/>
          <w:sz w:val="18"/>
        </w:rPr>
        <w:t>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w:t>
      </w:r>
      <w:r>
        <w:rPr>
          <w:rFonts w:ascii="Times New Roman;Times;serif" w:hAnsi="Times New Roman;Times;serif"/>
          <w:sz w:val="18"/>
        </w:rPr>
        <w:t xml:space="preserve">’ </w:t>
      </w:r>
      <w:r>
        <w:rPr>
          <w:rFonts w:ascii="Helvetica" w:hAnsi="Helvetica"/>
          <w:sz w:val="18"/>
        </w:rPr>
        <w:t>businesses; risks related to cybersecurity, data privacy and intellectual property; temporary changes in demand due to weather patterns; seasonality of the Company</w:t>
      </w:r>
      <w:r>
        <w:rPr>
          <w:rFonts w:ascii="Times New Roman;Times;serif" w:hAnsi="Times New Roman;Times;serif"/>
          <w:sz w:val="18"/>
        </w:rPr>
        <w:t>’</w:t>
      </w:r>
      <w:r>
        <w:rPr>
          <w:rFonts w:ascii="Helvetica" w:hAnsi="Helvetica"/>
          <w:sz w:val="18"/>
        </w:rPr>
        <w:t xml:space="preserve">s business; the results of pending or threatened litigation; delays associated with building, opening, remodeling and operating new stores; delays associated with building, opening or expanding new or existing distribution centers; and other factors described in the section titled </w:t>
      </w:r>
      <w:r>
        <w:rPr>
          <w:rFonts w:ascii="Times New Roman;Times;serif" w:hAnsi="Times New Roman;Times;serif"/>
          <w:sz w:val="18"/>
        </w:rPr>
        <w:t>“</w:t>
      </w:r>
      <w:r>
        <w:rPr>
          <w:rFonts w:ascii="Helvetica" w:hAnsi="Helvetica"/>
          <w:sz w:val="18"/>
        </w:rPr>
        <w:t>Item 1A. Risk Factors</w:t>
      </w:r>
      <w:r>
        <w:rPr>
          <w:rFonts w:ascii="Times New Roman;Times;serif" w:hAnsi="Times New Roman;Times;serif"/>
          <w:sz w:val="18"/>
        </w:rPr>
        <w:t xml:space="preserve">” </w:t>
      </w:r>
      <w:r>
        <w:rPr>
          <w:rFonts w:ascii="Helvetica" w:hAnsi="Helvetica"/>
          <w:sz w:val="18"/>
        </w:rPr>
        <w:t>and elsewhere in the Company</w:t>
      </w:r>
      <w:r>
        <w:rPr>
          <w:rFonts w:ascii="Times New Roman;Times;serif" w:hAnsi="Times New Roman;Times;serif"/>
          <w:sz w:val="18"/>
        </w:rPr>
        <w:t>’</w:t>
      </w:r>
      <w:r>
        <w:rPr>
          <w:rFonts w:ascii="Helvetica" w:hAnsi="Helvetica"/>
          <w:sz w:val="18"/>
        </w:rPr>
        <w:t xml:space="preserve">s Annual Report on Form 10-K for the fiscal year ended February 1, 2025 and in Part II, </w:t>
      </w:r>
      <w:r>
        <w:rPr>
          <w:rFonts w:ascii="Times New Roman;Times;serif" w:hAnsi="Times New Roman;Times;serif"/>
          <w:sz w:val="18"/>
        </w:rPr>
        <w:t>“</w:t>
      </w:r>
      <w:r>
        <w:rPr>
          <w:rFonts w:ascii="Helvetica" w:hAnsi="Helvetica"/>
          <w:sz w:val="18"/>
        </w:rPr>
        <w:t>Item 1A. Risk Factors</w:t>
      </w:r>
      <w:r>
        <w:rPr>
          <w:rFonts w:ascii="Times New Roman;Times;serif" w:hAnsi="Times New Roman;Times;serif"/>
          <w:sz w:val="18"/>
        </w:rPr>
        <w:t xml:space="preserve">” </w:t>
      </w:r>
      <w:r>
        <w:rPr>
          <w:rFonts w:ascii="Helvetica" w:hAnsi="Helvetica"/>
          <w:sz w:val="18"/>
        </w:rPr>
        <w:t>and elsewhere in the Company</w:t>
      </w:r>
      <w:r>
        <w:rPr>
          <w:rFonts w:ascii="Times New Roman;Times;serif" w:hAnsi="Times New Roman;Times;serif"/>
          <w:sz w:val="18"/>
        </w:rPr>
        <w:t>’</w:t>
      </w:r>
      <w:r>
        <w:rPr>
          <w:rFonts w:ascii="Helvetica" w:hAnsi="Helvetica"/>
          <w:sz w:val="18"/>
        </w:rPr>
        <w:t>s Quarterly Reports on Form 10-Q and any amendments thereto and in the other documents the Company files with the SEC, including reports on Form 8-K.</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Executive Overview</w:t>
      </w:r>
    </w:p>
    <w:p>
      <w:pPr>
        <w:pStyle w:val="TextBody"/>
        <w:bidi w:val="0"/>
        <w:spacing w:before="0" w:after="22"/>
        <w:ind w:left="0" w:right="0" w:hanging="0"/>
        <w:jc w:val="left"/>
        <w:rPr/>
      </w:pPr>
      <w:r>
        <w:rPr/>
        <w:t>​</w:t>
      </w:r>
    </w:p>
    <w:p>
      <w:pPr>
        <w:pStyle w:val="TextBody"/>
        <w:bidi w:val="0"/>
        <w:spacing w:before="0" w:after="22"/>
        <w:ind w:left="1" w:right="0" w:hanging="0"/>
        <w:jc w:val="left"/>
        <w:rPr>
          <w:rFonts w:ascii="Times New Roman;Times;serif" w:hAnsi="Times New Roman;Times;serif"/>
          <w:sz w:val="18"/>
        </w:rPr>
      </w:pPr>
      <w:r>
        <w:rPr>
          <w:rFonts w:ascii="Helvetica" w:hAnsi="Helvetica"/>
          <w:sz w:val="18"/>
        </w:rPr>
        <w:t xml:space="preserve">We are a highly differentiated off-price value retailer known for trendy fashions, great brands and amazing prices. We offer culturally relevant fashion </w:t>
      </w:r>
      <w:r>
        <w:rPr>
          <w:rFonts w:ascii="Times New Roman;Times;serif" w:hAnsi="Times New Roman;Times;serif"/>
          <w:sz w:val="18"/>
        </w:rPr>
        <w:t xml:space="preserve">– </w:t>
      </w:r>
      <w:r>
        <w:rPr>
          <w:rFonts w:ascii="Helvetica" w:hAnsi="Helvetica"/>
          <w:sz w:val="18"/>
        </w:rPr>
        <w:t xml:space="preserve">what we call </w:t>
      </w:r>
      <w:r>
        <w:rPr>
          <w:rFonts w:ascii="Times New Roman;Times;serif" w:hAnsi="Times New Roman;Times;serif"/>
          <w:sz w:val="18"/>
        </w:rPr>
        <w:t>“</w:t>
      </w:r>
      <w:r>
        <w:rPr>
          <w:rFonts w:ascii="Helvetica" w:hAnsi="Helvetica"/>
          <w:sz w:val="18"/>
        </w:rPr>
        <w:t>Cultural Cachet</w:t>
      </w:r>
      <w:r>
        <w:rPr>
          <w:rFonts w:ascii="Times New Roman;Times;serif" w:hAnsi="Times New Roman;Times;serif"/>
          <w:sz w:val="18"/>
        </w:rPr>
        <w:t xml:space="preserve">” – </w:t>
      </w:r>
      <w:r>
        <w:rPr>
          <w:rFonts w:ascii="Helvetica" w:hAnsi="Helvetica"/>
          <w:sz w:val="18"/>
        </w:rPr>
        <w:t xml:space="preserve">in apparel, accessories and home trends primarily for African American families in the United States. We curate a three-tiered mix of product featuring well-known brands, core product and opening price goods, with intermittent extreme value deals. Our core product styles are curated trend-right, high quality, value for the price. We offer an assortment of opening price product for the price conscious customer, all sold at competitive prices. Plus, for the treasure hunters, we often have </w:t>
      </w:r>
      <w:r>
        <w:rPr>
          <w:rFonts w:ascii="Times New Roman;Times;serif" w:hAnsi="Times New Roman;Times;serif"/>
          <w:sz w:val="18"/>
        </w:rPr>
        <w:t>“</w:t>
      </w:r>
      <w:r>
        <w:rPr>
          <w:rFonts w:ascii="Helvetica" w:hAnsi="Helvetica"/>
          <w:sz w:val="18"/>
        </w:rPr>
        <w:t>extreme value</w:t>
      </w:r>
      <w:r>
        <w:rPr>
          <w:rFonts w:ascii="Times New Roman;Times;serif" w:hAnsi="Times New Roman;Times;serif"/>
          <w:sz w:val="18"/>
        </w:rPr>
        <w:t xml:space="preserve">” </w:t>
      </w:r>
      <w:r>
        <w:rPr>
          <w:rFonts w:ascii="Helvetica" w:hAnsi="Helvetica"/>
          <w:sz w:val="18"/>
        </w:rPr>
        <w:t>product deals on well-known branded product at 50% to 75% off the manufacturer</w:t>
      </w:r>
      <w:r>
        <w:rPr>
          <w:rFonts w:ascii="Times New Roman;Times;serif" w:hAnsi="Times New Roman;Times;serif"/>
          <w:sz w:val="18"/>
        </w:rPr>
        <w:t>’</w:t>
      </w:r>
      <w:r>
        <w:rPr>
          <w:rFonts w:ascii="Helvetica" w:hAnsi="Helvetica"/>
          <w:sz w:val="18"/>
        </w:rPr>
        <w:t xml:space="preserve">s suggested retail price. Consumer insights research validates that our unique culturally relevant styling, and strong value for the price, fosters deep customer loyalty and high shopping frequency in the neighborhoods in which we operate. </w:t>
      </w:r>
    </w:p>
    <w:p>
      <w:pPr>
        <w:pStyle w:val="TextBody"/>
        <w:bidi w:val="0"/>
        <w:spacing w:before="0" w:after="22"/>
        <w:ind w:left="1" w:right="0" w:hanging="0"/>
        <w:jc w:val="left"/>
        <w:rPr/>
      </w:pPr>
      <w:r>
        <w:rPr/>
        <w:t>​</w:t>
      </w:r>
    </w:p>
    <w:p>
      <w:pPr>
        <w:pStyle w:val="TextBody"/>
        <w:bidi w:val="0"/>
        <w:spacing w:before="0" w:after="22"/>
        <w:ind w:left="1" w:right="0" w:hanging="0"/>
        <w:jc w:val="left"/>
        <w:rPr>
          <w:rFonts w:ascii="Helvetica" w:hAnsi="Helvetica"/>
          <w:sz w:val="18"/>
        </w:rPr>
      </w:pPr>
      <w:r>
        <w:rPr>
          <w:rFonts w:ascii="Helvetica" w:hAnsi="Helvetica"/>
          <w:sz w:val="18"/>
        </w:rPr>
        <w:t>As of May 3, 2025, we operated 591 stores in urban, suburban and rural markets in 33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1" w:right="0" w:hanging="0"/>
        <w:jc w:val="left"/>
        <w:rPr/>
      </w:pPr>
      <w:r>
        <w:rPr/>
        <w:t>​</w:t>
      </w:r>
    </w:p>
    <w:p>
      <w:pPr>
        <w:pStyle w:val="TextBody"/>
        <w:pBdr/>
        <w:shd w:fill="FFFFFF" w:val="clear"/>
        <w:bidi w:val="0"/>
        <w:spacing w:before="0" w:after="0"/>
        <w:ind w:left="0" w:right="0" w:hanging="0"/>
        <w:jc w:val="left"/>
        <w:rPr>
          <w:rFonts w:ascii="Helvetica" w:hAnsi="Helvetica"/>
          <w:b/>
          <w:sz w:val="18"/>
        </w:rPr>
      </w:pPr>
      <w:r>
        <w:rPr>
          <w:rFonts w:ascii="Helvetica" w:hAnsi="Helvetica"/>
          <w:b/>
          <w:sz w:val="18"/>
        </w:rPr>
        <w:t>Uncertainties and Challenges</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General Economic Conditions</w:t>
      </w:r>
    </w:p>
    <w:p>
      <w:pPr>
        <w:pStyle w:val="TextBody"/>
        <w:pBdr/>
        <w:shd w:fill="FFFFFF" w:val="clear"/>
        <w:bidi w:val="0"/>
        <w:spacing w:before="0" w:after="0"/>
        <w:ind w:left="0" w:right="0" w:hanging="0"/>
        <w:jc w:val="left"/>
        <w:rPr>
          <w:rFonts w:ascii="Helvetica" w:hAnsi="Helvetica"/>
          <w:sz w:val="18"/>
        </w:rPr>
      </w:pPr>
      <w:r>
        <w:rPr>
          <w:rFonts w:ascii="Helvetica" w:hAnsi="Helvetica"/>
          <w:sz w:val="18"/>
        </w:rPr>
        <w:t>We expect that our operations in the short-term will continue to be influenced by general economic conditions, including on-going inflationary pressures, new tariff programs and changes in consumer sentiment.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Seasonality and Weather Patterns</w:t>
      </w:r>
    </w:p>
    <w:p>
      <w:pPr>
        <w:pStyle w:val="TextBody"/>
        <w:pBdr/>
        <w:shd w:fill="FFFFFF" w:val="clear"/>
        <w:bidi w:val="0"/>
        <w:spacing w:before="0" w:after="0"/>
        <w:ind w:left="0" w:right="0" w:hanging="0"/>
        <w:jc w:val="left"/>
        <w:rPr>
          <w:rFonts w:ascii="Helvetica" w:hAnsi="Helvetica"/>
          <w:sz w:val="18"/>
        </w:rPr>
      </w:pPr>
      <w:r>
        <w:rPr>
          <w:rFonts w:ascii="Helvetica" w:hAnsi="Helvetica"/>
          <w:sz w:val="18"/>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 traffic to our stores is still influenced by weather patterns to some extent.</w:t>
      </w:r>
    </w:p>
    <w:p>
      <w:pPr>
        <w:pStyle w:val="TextBody"/>
        <w:pBdr/>
        <w:shd w:fill="FFFFFF" w:val="clear"/>
        <w:bidi w:val="0"/>
        <w:spacing w:before="78" w:after="100"/>
        <w:ind w:left="0" w:right="0" w:hanging="0"/>
        <w:jc w:val="left"/>
        <w:rPr/>
      </w:pPr>
      <w:r>
        <w:rPr/>
        <w:t>​</w:t>
      </w:r>
    </w:p>
    <w:p>
      <w:pPr>
        <w:pStyle w:val="TextBody"/>
        <w:shd w:fill="FFFFFF" w:val="clear"/>
        <w:bidi w:val="0"/>
        <w:spacing w:before="0" w:after="160"/>
        <w:ind w:left="0" w:right="0" w:hanging="0"/>
        <w:jc w:val="left"/>
        <w:rPr>
          <w:rFonts w:ascii="Helvetica" w:hAnsi="Helvetica"/>
          <w:b/>
          <w:sz w:val="18"/>
        </w:rPr>
      </w:pPr>
      <w:r>
        <w:rPr>
          <w:rFonts w:ascii="Helvetica" w:hAnsi="Helvetica"/>
          <w:b/>
          <w:sz w:val="18"/>
        </w:rPr>
        <w:t>Basis of Presentation</w:t>
      </w:r>
    </w:p>
    <w:p>
      <w:pPr>
        <w:pStyle w:val="TextBody"/>
        <w:bidi w:val="0"/>
        <w:spacing w:before="0" w:after="22"/>
        <w:ind w:left="0" w:right="0" w:hanging="0"/>
        <w:jc w:val="left"/>
        <w:rPr>
          <w:rFonts w:ascii="Helvetica" w:hAnsi="Helvetica"/>
          <w:sz w:val="18"/>
          <w:shd w:fill="FFFFFF" w:val="clear"/>
        </w:rPr>
      </w:pPr>
      <w:r>
        <w:rPr>
          <w:rFonts w:ascii="Helvetica" w:hAnsi="Helvetica"/>
          <w:sz w:val="18"/>
          <w:shd w:fill="FFFFFF" w:val="clear"/>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 xml:space="preserve">The following discussion contains references to fiscal years 2025 and 2024, which represent fiscal years ending or ended on January 31, 2026 and February 1, 2025, respectively. Fiscal 2025 and fiscal 2024 have a 52-week accounting period. This discussion and analysis should be read with the unaudited condensed consolidated financial statements and the notes thereto contained in Part I, Item 1 of this Report. </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Results of Operations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The following discussion of the Company</w:t>
      </w:r>
      <w:r>
        <w:rPr>
          <w:rFonts w:ascii="Times New Roman;Times;serif" w:hAnsi="Times New Roman;Times;serif"/>
          <w:sz w:val="18"/>
        </w:rPr>
        <w:t>’</w:t>
      </w:r>
      <w:r>
        <w:rPr>
          <w:rFonts w:ascii="Helvetica" w:hAnsi="Helvetica"/>
          <w:sz w:val="18"/>
        </w:rPr>
        <w:t>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Key Operating Statistics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We measure performance using key operating statistics. One of the main performance measures we use is comparable store sales growth. We define a comparable store as a store that has been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the overall performance of each individual store. Finally, we monitor corporate and distribution center expenses against budgeted amounts.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Thirteen Weeks Ended May 3, 2025 and May 4, 2024</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i/>
          <w:sz w:val="18"/>
        </w:rPr>
        <w:t xml:space="preserve">Net Sales. </w:t>
      </w:r>
      <w:r>
        <w:rPr>
          <w:rFonts w:ascii="Helvetica" w:hAnsi="Helvetica"/>
          <w:sz w:val="18"/>
        </w:rPr>
        <w:t>Net sales increased $15.4 million, or 8.3%, to $201.7 million in the first quarter of 2025 from $186.3 million in the first quarter of 2024. The increase in sales was due to a 9.9% increase in comparable store sales.</w:t>
      </w:r>
    </w:p>
    <w:p>
      <w:pPr>
        <w:pStyle w:val="TextBody"/>
        <w:bidi w:val="0"/>
        <w:spacing w:before="0" w:after="22"/>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Helvetica" w:hAnsi="Helvetica"/>
          <w:i/>
          <w:sz w:val="18"/>
        </w:rPr>
        <w:t xml:space="preserve">Cost of Sales (exclusive of depreciation). </w:t>
      </w:r>
      <w:r>
        <w:rPr>
          <w:rFonts w:ascii="Helvetica" w:hAnsi="Helvetica"/>
          <w:sz w:val="18"/>
        </w:rPr>
        <w:t xml:space="preserve">Cost of sales (exclusive of depreciation) increased $7.6 million, or 6.6%, to $121.9 million in the first quarter of 2025 from $114.3 million in the first quarter of 2024. Cost of sales as a percentage of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sz w:val="18"/>
        </w:rPr>
      </w:pPr>
      <w:r>
        <w:rPr>
          <w:rFonts w:ascii="Helvetica" w:hAnsi="Helvetica"/>
          <w:sz w:val="18"/>
        </w:rPr>
        <w:t xml:space="preserve">decreased to 60.4% in the first quarter of 2025 from 61.3% in the first quarter of 2024. The change was due to a decrease in shrink expense, a decrease in freight expense and an increase in initial markup offset by an increase in markdowns. </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i/>
          <w:sz w:val="18"/>
        </w:rPr>
        <w:t xml:space="preserve">Selling, General and Administrative Expenses. </w:t>
      </w:r>
      <w:r>
        <w:rPr>
          <w:rFonts w:ascii="Helvetica" w:hAnsi="Helvetica"/>
          <w:sz w:val="18"/>
        </w:rPr>
        <w:t>Selling, general and administrative expenses increased $0.7 million, or 0.9%, to $74.9 million in the first quarter of 2025 from $74.2 million in the first quarter of 2024. The increase was primarily due to an increase in distribution center expenses and incentive compensation accrual, partially offset by lower corporate expenses. As a percentage of sales, selling, general and administrative expenses decreased to 37.1% in the first quarter of 2025 from 39.8% in the first quarter of 2024.</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i/>
          <w:sz w:val="18"/>
        </w:rPr>
        <w:t xml:space="preserve">Depreciation. </w:t>
      </w:r>
      <w:r>
        <w:rPr>
          <w:rFonts w:ascii="Helvetica" w:hAnsi="Helvetica"/>
          <w:sz w:val="18"/>
        </w:rPr>
        <w:t>Depreciation expense decreased $0.4 million, or 8.8%, to $4.4 million in the first quarter of 2025 from $4.8 million in the first quarter of 2024.</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i/>
          <w:sz w:val="18"/>
        </w:rPr>
        <w:t xml:space="preserve">Income Tax Benefit/Expense. </w:t>
      </w:r>
      <w:r>
        <w:rPr>
          <w:rFonts w:ascii="Helvetica" w:hAnsi="Helvetica"/>
          <w:sz w:val="18"/>
        </w:rPr>
        <w:t>There was no income tax expense in the first quarter of 2025 compared to a tax benefit of $2.8 million in the first quarter of 2024. For the first quarter of 2025 and the first quarter of 2024, we used the annual effective tax rate to determine income tax expense based upon interim period results.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i/>
          <w:sz w:val="18"/>
        </w:rPr>
        <w:t xml:space="preserve">Net Income/Loss. </w:t>
      </w:r>
      <w:r>
        <w:rPr>
          <w:rFonts w:ascii="Helvetica" w:hAnsi="Helvetica"/>
          <w:sz w:val="18"/>
        </w:rPr>
        <w:t>Net income was $0.9 million in the first quarter of 2025 compared to net loss of $3.4 million in the first quarter of 2024 due to the factors discussed above.</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Liquidity and Capital Resources</w:t>
      </w:r>
    </w:p>
    <w:p>
      <w:pPr>
        <w:pStyle w:val="TextBody"/>
        <w:pBdr/>
        <w:bidi w:val="0"/>
        <w:spacing w:before="0" w:after="0"/>
        <w:ind w:left="0" w:right="0" w:hanging="0"/>
        <w:jc w:val="left"/>
        <w:rPr/>
      </w:pPr>
      <w:r>
        <w:rPr/>
        <w:t>​</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Capital Allocation</w:t>
      </w:r>
    </w:p>
    <w:p>
      <w:pPr>
        <w:pStyle w:val="TextBody"/>
        <w:shd w:fill="FFFFFF" w:val="clear"/>
        <w:bidi w:val="0"/>
        <w:spacing w:before="0" w:after="160"/>
        <w:ind w:left="0" w:right="0" w:hanging="0"/>
        <w:jc w:val="left"/>
        <w:rPr>
          <w:rFonts w:ascii="Times New Roman;Times;serif" w:hAnsi="Times New Roman;Times;serif"/>
          <w:sz w:val="18"/>
        </w:rPr>
      </w:pPr>
      <w:r>
        <w:rPr>
          <w:rFonts w:ascii="Helvetica" w:hAnsi="Helvetica"/>
          <w:sz w:val="18"/>
        </w:rPr>
        <w:t>Our capital allocation strategy is to maintain adequate liquidity to prioritize investments in opportunities to profitably grow our business and maintain current operations, then to return excess cash to shareholders through our share repurchase programs. Our quarter-end cash and cash equivalents balance was $41.6 million</w:t>
      </w:r>
      <w:r>
        <w:rPr>
          <w:rFonts w:ascii="Times New Roman;Times;serif" w:hAnsi="Times New Roman;Times;serif"/>
          <w:sz w:val="18"/>
        </w:rPr>
        <w:t xml:space="preserve"> </w:t>
      </w:r>
      <w:r>
        <w:rPr>
          <w:rFonts w:ascii="Helvetica" w:hAnsi="Helvetica"/>
          <w:sz w:val="18"/>
        </w:rPr>
        <w:t>compared to $58.2 million at the end of the first quarter of 2024. Until required for other purposes, we maintain cash and cash equivalents in deposit or money market accounts.</w:t>
      </w:r>
    </w:p>
    <w:p>
      <w:pPr>
        <w:pStyle w:val="TextBody"/>
        <w:bidi w:val="0"/>
        <w:spacing w:before="0" w:after="22"/>
        <w:ind w:left="0" w:right="0" w:hanging="0"/>
        <w:jc w:val="left"/>
        <w:rPr>
          <w:rFonts w:ascii="Helvetica" w:hAnsi="Helvetica"/>
          <w:sz w:val="18"/>
        </w:rPr>
      </w:pPr>
      <w:r>
        <w:rPr>
          <w:rFonts w:ascii="Helvetica" w:hAnsi="Helvetica"/>
          <w:sz w:val="18"/>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pStyle w:val="TextBody"/>
        <w:pBdr/>
        <w:bidi w:val="0"/>
        <w:spacing w:before="0" w:after="0"/>
        <w:ind w:left="0" w:right="0" w:hanging="0"/>
        <w:jc w:val="left"/>
        <w:rPr/>
      </w:pPr>
      <w:r>
        <w:rPr/>
        <w:t>​</w:t>
      </w:r>
    </w:p>
    <w:p>
      <w:pPr>
        <w:pStyle w:val="TextBody"/>
        <w:shd w:fill="FFFFFF" w:val="clear"/>
        <w:bidi w:val="0"/>
        <w:spacing w:before="0" w:after="160"/>
        <w:ind w:left="0" w:right="0" w:hanging="0"/>
        <w:jc w:val="left"/>
        <w:rPr>
          <w:rFonts w:ascii="Helvetica" w:hAnsi="Helvetica"/>
          <w:b/>
          <w:i/>
          <w:sz w:val="18"/>
        </w:rPr>
      </w:pPr>
      <w:r>
        <w:rPr>
          <w:rFonts w:ascii="Helvetica" w:hAnsi="Helvetica"/>
          <w:b/>
          <w:i/>
          <w:sz w:val="18"/>
        </w:rPr>
        <w:t>Inventory</w:t>
      </w:r>
    </w:p>
    <w:p>
      <w:pPr>
        <w:pStyle w:val="TextBody"/>
        <w:pBdr/>
        <w:bidi w:val="0"/>
        <w:spacing w:before="0" w:after="0"/>
        <w:ind w:left="0" w:right="0" w:hanging="0"/>
        <w:jc w:val="left"/>
        <w:rPr>
          <w:rFonts w:ascii="Helvetica" w:hAnsi="Helvetica"/>
          <w:sz w:val="18"/>
        </w:rPr>
      </w:pPr>
      <w:r>
        <w:rPr>
          <w:rFonts w:ascii="Helvetica" w:hAnsi="Helvetica"/>
          <w:sz w:val="18"/>
        </w:rPr>
        <w:t>Our quarter-end inventory balance was $109.9 million, compared with $119.0 million at the end of the first quarter of 2024. The decrease was primarily due to a strategic decrease in our average in-store inventory and lower pack-and-hold inventory.</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Capital Expenditures</w:t>
      </w:r>
    </w:p>
    <w:p>
      <w:pPr>
        <w:pStyle w:val="TextBody"/>
        <w:pBdr/>
        <w:shd w:fill="FFFFFF" w:val="clear"/>
        <w:bidi w:val="0"/>
        <w:spacing w:before="0" w:after="0"/>
        <w:ind w:left="0" w:right="0" w:hanging="0"/>
        <w:jc w:val="left"/>
        <w:rPr>
          <w:rFonts w:ascii="Helvetica" w:hAnsi="Helvetica"/>
          <w:sz w:val="18"/>
        </w:rPr>
      </w:pPr>
      <w:r>
        <w:rPr>
          <w:rFonts w:ascii="Helvetica" w:hAnsi="Helvetica"/>
          <w:sz w:val="18"/>
        </w:rPr>
        <w:t>Capital expenditures in the first quarter of 2025 were $2.1 million, an increase of $0.5 million from the first quarter of 2024, as we invest in more existing store remodels. We anticipate capital expenditures in fiscal 2025 of approximately $20 million, primarily for opening up to five new stores and remodeling approximately 50 stores, combined with ongoing investments in various technology platforms.</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Share Repurchases</w:t>
      </w:r>
    </w:p>
    <w:p>
      <w:pPr>
        <w:pStyle w:val="TextBody"/>
        <w:pBdr/>
        <w:shd w:fill="FFFFFF" w:val="clear"/>
        <w:bidi w:val="0"/>
        <w:spacing w:before="0" w:after="0"/>
        <w:ind w:left="0" w:right="0" w:hanging="0"/>
        <w:jc w:val="left"/>
        <w:rPr>
          <w:rFonts w:ascii="Helvetica" w:hAnsi="Helvetica"/>
          <w:sz w:val="18"/>
        </w:rPr>
      </w:pPr>
      <w:r>
        <w:rPr>
          <w:rFonts w:ascii="Helvetica" w:hAnsi="Helvetica"/>
          <w:sz w:val="18"/>
        </w:rPr>
        <w:t>In the first quarter of fiscal 2025, we returned $6.3 million to shareholders through share repurchases. See Part II, Item 2 of this Report and Note 7 to the Financial Statements for more information.</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Revolving Credit Facility</w:t>
      </w:r>
    </w:p>
    <w:p>
      <w:pPr>
        <w:pStyle w:val="TextBody"/>
        <w:pBdr/>
        <w:shd w:fill="FFFFFF" w:val="clear"/>
        <w:bidi w:val="0"/>
        <w:spacing w:before="0" w:after="0"/>
        <w:ind w:left="0" w:right="0" w:hanging="0"/>
        <w:jc w:val="left"/>
        <w:rPr>
          <w:rFonts w:ascii="Times New Roman;Times;serif" w:hAnsi="Times New Roman;Times;serif"/>
          <w:sz w:val="18"/>
        </w:rPr>
      </w:pPr>
      <w:r>
        <w:rPr>
          <w:rFonts w:ascii="Helvetica" w:hAnsi="Helvetica"/>
          <w:sz w:val="18"/>
        </w:rPr>
        <w:t xml:space="preserve">We have a revolving credit facility that matures in April 2030 and provides a $75 million credit commitment and a $25 million uncommitted </w:t>
      </w:r>
      <w:r>
        <w:rPr>
          <w:rFonts w:ascii="Times New Roman;Times;serif" w:hAnsi="Times New Roman;Times;serif"/>
          <w:sz w:val="18"/>
        </w:rPr>
        <w:t>“</w:t>
      </w:r>
      <w:r>
        <w:rPr>
          <w:rFonts w:ascii="Helvetica" w:hAnsi="Helvetica"/>
          <w:sz w:val="18"/>
        </w:rPr>
        <w:t>accordion</w:t>
      </w:r>
      <w:r>
        <w:rPr>
          <w:rFonts w:ascii="Times New Roman;Times;serif" w:hAnsi="Times New Roman;Times;serif"/>
          <w:sz w:val="18"/>
        </w:rPr>
        <w:t xml:space="preserve">” </w:t>
      </w:r>
      <w:r>
        <w:rPr>
          <w:rFonts w:ascii="Helvetica" w:hAnsi="Helvetica"/>
          <w:sz w:val="18"/>
        </w:rPr>
        <w:t>feature. Additional details of the credit facility are in Note 4 to the Financial Statements. At the end of the first quarter of 2025, we had no borrowings under the credit facility and $2.2 million in letters of credit outstanding.</w:t>
      </w:r>
    </w:p>
    <w:p>
      <w:pPr>
        <w:pStyle w:val="TextBody"/>
        <w:shd w:fill="FFFFFF" w:val="clear"/>
        <w:bidi w:val="0"/>
        <w:spacing w:before="0" w:after="160"/>
        <w:ind w:left="0" w:right="0" w:hanging="0"/>
        <w:jc w:val="left"/>
        <w:rPr>
          <w:rFonts w:ascii="Helvetica" w:hAnsi="Helvetica"/>
          <w:b/>
          <w:sz w:val="18"/>
        </w:rPr>
      </w:pPr>
      <w:r>
        <w:rPr>
          <w:rFonts w:ascii="Helvetica" w:hAnsi="Helvetica"/>
          <w:b/>
          <w:sz w:val="18"/>
        </w:rPr>
        <w:t>Cash Flows</w:t>
      </w:r>
    </w:p>
    <w:p>
      <w:pPr>
        <w:pStyle w:val="TextBody"/>
        <w:bidi w:val="0"/>
        <w:spacing w:before="0" w:after="0"/>
        <w:ind w:left="0" w:right="0" w:hanging="0"/>
        <w:jc w:val="left"/>
        <w:rPr>
          <w:rFonts w:ascii="Times New Roman;Times;serif" w:hAnsi="Times New Roman;Times;serif"/>
          <w:sz w:val="18"/>
        </w:rPr>
      </w:pPr>
      <w:r>
        <w:rPr>
          <w:rFonts w:ascii="Helvetica" w:hAnsi="Helvetica"/>
          <w:i/>
          <w:sz w:val="18"/>
        </w:rPr>
        <w:t>Cash Flows From Operating Activities</w:t>
      </w:r>
      <w:r>
        <w:rPr>
          <w:rFonts w:ascii="Helvetica" w:hAnsi="Helvetica"/>
          <w:sz w:val="18"/>
        </w:rPr>
        <w:t xml:space="preserve">. Net cash used in operating activities was $11.0 million in the first quarter of 2025 compared to cash used of $19.6 million in the first quarter of 2024. Sources of cash in the first quarter of 2025 resulted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sz w:val="18"/>
        </w:rPr>
      </w:pPr>
      <w:r>
        <w:rPr>
          <w:rFonts w:ascii="Helvetica" w:hAnsi="Helvetica"/>
          <w:sz w:val="18"/>
        </w:rPr>
        <w:t>net income adjusted for non-cash expenses totaling $18.5 million (compared to a net loss adjusted for non-cash items of $11.5 million in the first quarter of 2024), and a decrease of $12.7 million in inventory (compared to a decrease of $11.4 million in 2024).</w:t>
      </w:r>
    </w:p>
    <w:p>
      <w:pPr>
        <w:pStyle w:val="TextBody"/>
        <w:bidi w:val="0"/>
        <w:spacing w:before="0" w:after="22"/>
        <w:ind w:left="0" w:right="0" w:hanging="0"/>
        <w:jc w:val="left"/>
        <w:rPr/>
      </w:pPr>
      <w:r>
        <w:rPr/>
        <w:t>​</w:t>
      </w:r>
    </w:p>
    <w:p>
      <w:pPr>
        <w:pStyle w:val="TextBody"/>
        <w:bidi w:val="0"/>
        <w:spacing w:before="0" w:after="22"/>
        <w:ind w:left="1" w:right="0" w:hanging="0"/>
        <w:jc w:val="left"/>
        <w:rPr>
          <w:rFonts w:ascii="Helvetica" w:hAnsi="Helvetica"/>
          <w:sz w:val="18"/>
        </w:rPr>
      </w:pPr>
      <w:r>
        <w:rPr>
          <w:rFonts w:ascii="Helvetica" w:hAnsi="Helvetica"/>
          <w:sz w:val="18"/>
        </w:rPr>
        <w:t>Significant uses of cash during the first quarter of 2025 included (1) a $21.9 million decrease in accounts payable (compared to a decrease of $28.1 million in the first quarter of 2024) due primarily to timing of vendor payments; and (2) a decrease of $19.4 million in accrued expenses and other long-term liabilities (compared to a decrease of $14.5 million in the first quarter of 2024) due primarily to payments of operating lease liabilities.</w:t>
      </w:r>
    </w:p>
    <w:p>
      <w:pPr>
        <w:pStyle w:val="TextBody"/>
        <w:bidi w:val="0"/>
        <w:spacing w:before="0" w:after="22"/>
        <w:ind w:left="1" w:right="0" w:hanging="0"/>
        <w:jc w:val="left"/>
        <w:rPr>
          <w:shd w:fill="FFFF00" w:val="clear"/>
        </w:rPr>
      </w:pPr>
      <w:r>
        <w:rPr>
          <w:shd w:fill="FFFF00" w:val="clear"/>
        </w:rPr>
        <w:t>​</w:t>
      </w:r>
    </w:p>
    <w:p>
      <w:pPr>
        <w:pStyle w:val="TextBody"/>
        <w:bidi w:val="0"/>
        <w:spacing w:before="0" w:after="22"/>
        <w:ind w:left="0" w:right="0" w:hanging="0"/>
        <w:jc w:val="left"/>
        <w:rPr>
          <w:rFonts w:ascii="Times New Roman;Times;serif" w:hAnsi="Times New Roman;Times;serif"/>
          <w:sz w:val="18"/>
        </w:rPr>
      </w:pPr>
      <w:r>
        <w:rPr>
          <w:rFonts w:ascii="Helvetica" w:hAnsi="Helvetica"/>
          <w:i/>
          <w:sz w:val="18"/>
        </w:rPr>
        <w:t>Cash Flows From Investing Activities.</w:t>
      </w:r>
      <w:r>
        <w:rPr>
          <w:rFonts w:ascii="Times New Roman;Times;serif" w:hAnsi="Times New Roman;Times;serif"/>
          <w:sz w:val="18"/>
        </w:rPr>
        <w:t xml:space="preserve"> </w:t>
      </w:r>
      <w:r>
        <w:rPr>
          <w:rFonts w:ascii="Helvetica" w:hAnsi="Helvetica"/>
          <w:sz w:val="18"/>
        </w:rPr>
        <w:t xml:space="preserve">Cash used in investing activities was $2.1 million in the first quarter of 2025 compared to $1.6 million in the first quarter of 2024. Cash used in the first quarter of 2025 and 2024 consisted of purchases of property and equipment. </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i/>
          <w:sz w:val="18"/>
        </w:rPr>
        <w:t>Cash Flows From Financing Activities.</w:t>
      </w:r>
      <w:r>
        <w:rPr>
          <w:rFonts w:ascii="Times New Roman;Times;serif" w:hAnsi="Times New Roman;Times;serif"/>
          <w:sz w:val="18"/>
        </w:rPr>
        <w:t xml:space="preserve"> </w:t>
      </w:r>
      <w:r>
        <w:rPr>
          <w:rFonts w:ascii="Helvetica" w:hAnsi="Helvetica"/>
          <w:sz w:val="18"/>
        </w:rPr>
        <w:t>Cash used in financing activities was $6.4 million in the first quarter of 2025 compared to $0.3 million in the first quarter of 2024. Cash used in the first quarter of 2025 was $0.1 million to settle withholding taxes on the vesting of restricted stock and $6.3 million for share repurchases, compared to $0.3 million used in the first quarter of 2024 to settle withholding taxes on the vesting of restricted stock.</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Cash Requirements and Commitments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May 3, 2025, our contractual commitments for operating leases totaled $220.4 million (with $50.4 million due within 12 months). See Note 10 to the Financial Statements for more information regarding lease commitments.</w:t>
      </w:r>
    </w:p>
    <w:p>
      <w:pPr>
        <w:pStyle w:val="TextBody"/>
        <w:bidi w:val="0"/>
        <w:spacing w:before="0" w:after="0"/>
        <w:ind w:left="0" w:right="0" w:hanging="0"/>
        <w:jc w:val="left"/>
        <w:rPr/>
      </w:pPr>
      <w:r>
        <w:rPr/>
        <w:t>​</w:t>
      </w:r>
    </w:p>
    <w:p>
      <w:pPr>
        <w:pStyle w:val="TextBody"/>
        <w:bidi w:val="0"/>
        <w:spacing w:before="0" w:after="22"/>
        <w:ind w:left="0" w:right="0" w:hanging="0"/>
        <w:jc w:val="left"/>
        <w:rPr>
          <w:rFonts w:ascii="Helvetica" w:hAnsi="Helvetica"/>
          <w:b/>
          <w:sz w:val="18"/>
        </w:rPr>
      </w:pPr>
      <w:r>
        <w:rPr>
          <w:rFonts w:ascii="Helvetica" w:hAnsi="Helvetica"/>
          <w:b/>
          <w:sz w:val="18"/>
        </w:rPr>
        <w:t>Critical Accounting Policies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 xml:space="preserve">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There have been no material changes to the Critical Accounting Policies outlined in our Annual Report on Form 10-K for the fiscal year ended February 1, 2025.</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bookmarkStart w:id="668" w:name="Item3Quantitative_526205"/>
      <w:bookmarkStart w:id="669" w:name="_83d45b56_6395_4c16_b948_8a6ef234e139"/>
      <w:bookmarkEnd w:id="668"/>
      <w:bookmarkEnd w:id="669"/>
      <w:r>
        <w:rPr>
          <w:rFonts w:ascii="Helvetica" w:hAnsi="Helvetica"/>
          <w:b/>
          <w:sz w:val="18"/>
        </w:rPr>
        <w:t>Item 3. Quantitative and Qualitative Disclosures About Market Risk.</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There have been no material changes in our market risk during the thirteen weeks ended May 3, 2025 compared to the disclosures in Part II, Item 7A of our Annual Report on Form 10-K for the fiscal year ended February 1, 2025.</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bookmarkStart w:id="670" w:name="Item4ControlsandProcedures_109413"/>
      <w:bookmarkStart w:id="671" w:name="_a8b95196_1174_4a5e_a976_f3042fe8cbe7"/>
      <w:bookmarkEnd w:id="670"/>
      <w:bookmarkEnd w:id="671"/>
      <w:r>
        <w:rPr>
          <w:rFonts w:ascii="Helvetica" w:hAnsi="Helvetica"/>
          <w:b/>
          <w:sz w:val="18"/>
        </w:rPr>
        <w:t>Item 4. Controls and Procedures.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May 3, 2025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w:t>
      </w:r>
      <w:r>
        <w:rPr>
          <w:rFonts w:ascii="Times New Roman;Times;serif" w:hAnsi="Times New Roman;Times;serif"/>
          <w:sz w:val="18"/>
        </w:rPr>
        <w:t>’</w:t>
      </w:r>
      <w:r>
        <w:rPr>
          <w:rFonts w:ascii="Helvetica" w:hAnsi="Helvetica"/>
          <w:sz w:val="18"/>
        </w:rPr>
        <w:t>s rules and forms, and that such information has been accumulated and communicated to our management, including the officers who certify our financial reports, as appropriate, to allow timely decisions regarding the required disclosures.</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sz w:val="18"/>
        </w:rPr>
      </w:pPr>
      <w:r>
        <w:rPr>
          <w:rFonts w:ascii="Helvetica" w:hAnsi="Helvetica"/>
          <w:sz w:val="18"/>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There were no changes in our internal control over financial reporting that occurred during the fiscal quarter ended May 3, 2025 that have materially affected, or are reasonably likely to materially affect, our internal control over financial reporting.</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bookmarkStart w:id="672" w:name="PARTIIOTHER_417392"/>
      <w:bookmarkStart w:id="673" w:name="_c99009aa_a79a_4714_8cbd_ce0f37c744f8"/>
      <w:bookmarkEnd w:id="672"/>
      <w:bookmarkEnd w:id="673"/>
      <w:r>
        <w:rPr>
          <w:rFonts w:ascii="Helvetica" w:hAnsi="Helvetica"/>
          <w:b/>
          <w:sz w:val="18"/>
        </w:rPr>
        <w:t xml:space="preserve">PART II </w:t>
      </w:r>
      <w:r>
        <w:rPr>
          <w:rFonts w:ascii="Times New Roman;Times;serif" w:hAnsi="Times New Roman;Times;serif"/>
          <w:sz w:val="18"/>
        </w:rPr>
        <w:t xml:space="preserve">— </w:t>
      </w:r>
      <w:r>
        <w:rPr>
          <w:rFonts w:ascii="Helvetica" w:hAnsi="Helvetica"/>
          <w:b/>
          <w:sz w:val="18"/>
        </w:rPr>
        <w:t>OTHER INFORMATION</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bookmarkStart w:id="674" w:name="Item1LegalProceedings_534485"/>
      <w:bookmarkEnd w:id="674"/>
      <w:r>
        <w:rPr>
          <w:rFonts w:ascii="Helvetica" w:hAnsi="Helvetica"/>
          <w:b/>
          <w:sz w:val="18"/>
        </w:rPr>
        <w:t>Item 1. Legal Proceedings.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bookmarkStart w:id="675" w:name="Item1ARiskFactors_712442"/>
      <w:bookmarkStart w:id="676" w:name="_db1fd427_d3b7_4aad_a3ec_60d57be06242"/>
      <w:bookmarkEnd w:id="675"/>
      <w:bookmarkEnd w:id="676"/>
      <w:r>
        <w:rPr>
          <w:rFonts w:ascii="Helvetica" w:hAnsi="Helvetica"/>
          <w:b/>
          <w:sz w:val="18"/>
        </w:rPr>
        <w:t>Item 1A. Risk Factors.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Times New Roman;Times;serif" w:hAnsi="Times New Roman;Times;serif"/>
          <w:sz w:val="18"/>
        </w:rPr>
      </w:pPr>
      <w:r>
        <w:rPr>
          <w:rFonts w:ascii="Helvetica" w:hAnsi="Helvetica"/>
          <w:sz w:val="18"/>
        </w:rPr>
        <w:t xml:space="preserve">There have been no material changes to the Risk Factors described under the section </w:t>
      </w:r>
      <w:r>
        <w:rPr>
          <w:rFonts w:ascii="Times New Roman;Times;serif" w:hAnsi="Times New Roman;Times;serif"/>
          <w:sz w:val="18"/>
        </w:rPr>
        <w:t>“</w:t>
      </w:r>
      <w:r>
        <w:rPr>
          <w:rFonts w:ascii="Helvetica" w:hAnsi="Helvetica"/>
          <w:sz w:val="18"/>
        </w:rPr>
        <w:t>Item 1A. RISK FACTORS</w:t>
      </w:r>
      <w:r>
        <w:rPr>
          <w:rFonts w:ascii="Times New Roman;Times;serif" w:hAnsi="Times New Roman;Times;serif"/>
          <w:sz w:val="18"/>
        </w:rPr>
        <w:t xml:space="preserve">” </w:t>
      </w:r>
      <w:r>
        <w:rPr>
          <w:rFonts w:ascii="Helvetica" w:hAnsi="Helvetica"/>
          <w:sz w:val="18"/>
        </w:rPr>
        <w:t>in our Annual Report on Form 10-K for the fiscal year ended February 1, 2025.</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b/>
          <w:sz w:val="18"/>
        </w:rPr>
      </w:pPr>
      <w:bookmarkStart w:id="677" w:name="Item2Unregistered_848127"/>
      <w:bookmarkStart w:id="678" w:name="_467b9f45_1556_4eff_ba98_c3dc3c57f948"/>
      <w:bookmarkEnd w:id="677"/>
      <w:bookmarkEnd w:id="678"/>
      <w:r>
        <w:rPr>
          <w:rFonts w:ascii="Helvetica" w:hAnsi="Helvetica"/>
          <w:b/>
          <w:sz w:val="18"/>
        </w:rPr>
        <w:t>Item 2. Unregistered Sales of Equity Securities and Use of Proceeds.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i/>
          <w:sz w:val="18"/>
        </w:rPr>
      </w:pPr>
      <w:r>
        <w:rPr>
          <w:rFonts w:ascii="Helvetica" w:hAnsi="Helvetica"/>
          <w:i/>
          <w:sz w:val="18"/>
        </w:rPr>
        <w:t>Information on Share Repurchases</w:t>
      </w:r>
    </w:p>
    <w:p>
      <w:pPr>
        <w:pStyle w:val="TextBody"/>
        <w:bidi w:val="0"/>
        <w:spacing w:before="0" w:after="22"/>
        <w:ind w:left="0" w:right="0" w:hanging="0"/>
        <w:jc w:val="left"/>
        <w:rPr/>
      </w:pPr>
      <w:r>
        <w:rPr/>
        <w:t>​</w:t>
      </w:r>
    </w:p>
    <w:p>
      <w:pPr>
        <w:pStyle w:val="TextBody"/>
        <w:bidi w:val="0"/>
        <w:spacing w:before="0" w:after="22"/>
        <w:ind w:left="0" w:right="0" w:hanging="0"/>
        <w:jc w:val="left"/>
        <w:rPr>
          <w:rFonts w:ascii="Helvetica" w:hAnsi="Helvetica"/>
          <w:sz w:val="18"/>
        </w:rPr>
      </w:pPr>
      <w:r>
        <w:rPr>
          <w:rFonts w:ascii="Helvetica" w:hAnsi="Helvetica"/>
          <w:sz w:val="18"/>
        </w:rPr>
        <w:t>The number of shares of common stock repurchased by the Company during the first quarter of 2025 and the average price paid per share are as follows:</w:t>
      </w:r>
    </w:p>
    <w:tbl>
      <w:tblPr>
        <w:tblW w:w="10205" w:type="dxa"/>
        <w:jc w:val="left"/>
        <w:tblInd w:w="0" w:type="dxa"/>
        <w:tblLayout w:type="fixed"/>
        <w:tblCellMar>
          <w:top w:w="0" w:type="dxa"/>
          <w:left w:w="0" w:type="dxa"/>
          <w:bottom w:w="0" w:type="dxa"/>
          <w:right w:w="0" w:type="dxa"/>
        </w:tblCellMar>
      </w:tblPr>
      <w:tblGrid>
        <w:gridCol w:w="1539"/>
        <w:gridCol w:w="326"/>
        <w:gridCol w:w="1516"/>
        <w:gridCol w:w="326"/>
        <w:gridCol w:w="425"/>
        <w:gridCol w:w="1151"/>
        <w:gridCol w:w="109"/>
        <w:gridCol w:w="326"/>
        <w:gridCol w:w="1951"/>
        <w:gridCol w:w="109"/>
        <w:gridCol w:w="379"/>
        <w:gridCol w:w="1857"/>
        <w:gridCol w:w="191"/>
      </w:tblGrid>
      <w:tr>
        <w:trPr/>
        <w:tc>
          <w:tcPr>
            <w:tcW w:w="1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77265" cy="175260"/>
                      <wp:effectExtent l="0" t="0" r="0" b="0"/>
                      <wp:wrapNone/>
                      <wp:docPr id="112" name="Frame112"/>
                      <a:graphic xmlns:a="http://schemas.openxmlformats.org/drawingml/2006/main">
                        <a:graphicData uri="http://schemas.microsoft.com/office/word/2010/wordprocessingShape">
                          <wps:wsp>
                            <wps:cNvSpPr txBox="1"/>
                            <wps:spPr>
                              <a:xfrm>
                                <a:off x="0" y="0"/>
                                <a:ext cx="977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62660" cy="175260"/>
                      <wp:effectExtent l="0" t="0" r="0" b="0"/>
                      <wp:wrapNone/>
                      <wp:docPr id="114" name="Frame11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9875" cy="175260"/>
                      <wp:effectExtent l="0" t="0" r="0" b="0"/>
                      <wp:wrapNone/>
                      <wp:docPr id="116" name="Frame116"/>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30885" cy="175260"/>
                      <wp:effectExtent l="0" t="0" r="0" b="0"/>
                      <wp:wrapNone/>
                      <wp:docPr id="117" name="Frame117"/>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38885" cy="175260"/>
                      <wp:effectExtent l="0" t="0" r="0" b="0"/>
                      <wp:wrapNone/>
                      <wp:docPr id="120" name="Frame12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40665" cy="175260"/>
                      <wp:effectExtent l="0" t="0" r="0" b="0"/>
                      <wp:wrapNone/>
                      <wp:docPr id="122" name="Frame122"/>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79195" cy="175260"/>
                      <wp:effectExtent l="0" t="0" r="0" b="0"/>
                      <wp:wrapNone/>
                      <wp:docPr id="123" name="Frame123"/>
                      <a:graphic xmlns:a="http://schemas.openxmlformats.org/drawingml/2006/main">
                        <a:graphicData uri="http://schemas.microsoft.com/office/word/2010/wordprocessingShape">
                          <wps:wsp>
                            <wps:cNvSpPr txBox="1"/>
                            <wps:spPr>
                              <a:xfrm>
                                <a:off x="0" y="0"/>
                                <a:ext cx="1179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1285" cy="175260"/>
                      <wp:effectExtent l="0" t="0" r="0" b="0"/>
                      <wp:wrapNone/>
                      <wp:docPr id="124" name="Frame12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25" w:type="dxa"/>
            <w:tcBorders/>
            <w:vAlign w:val="center"/>
          </w:tcPr>
          <w:p>
            <w:pPr>
              <w:pStyle w:val="TableContents"/>
              <w:bidi w:val="0"/>
              <w:spacing w:before="0" w:after="0"/>
              <w:ind w:left="0" w:right="0" w:hanging="0"/>
              <w:jc w:val="center"/>
              <w:rPr/>
            </w:pPr>
            <w:r>
              <w:rPr/>
              <w:t>​</w:t>
            </w:r>
          </w:p>
        </w:tc>
        <w:tc>
          <w:tcPr>
            <w:tcW w:w="11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36"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Maximum number (or</w:t>
            </w:r>
          </w:p>
        </w:tc>
        <w:tc>
          <w:tcPr>
            <w:tcW w:w="191" w:type="dxa"/>
            <w:tcBorders/>
            <w:vAlign w:val="center"/>
          </w:tcPr>
          <w:p>
            <w:pPr>
              <w:pStyle w:val="TableContents"/>
              <w:bidi w:val="0"/>
              <w:spacing w:before="0" w:after="0"/>
              <w:ind w:left="0" w:right="0" w:hanging="0"/>
              <w:jc w:val="center"/>
              <w:rPr/>
            </w:pPr>
            <w:r>
              <w:rPr/>
              <w:t> </w:t>
            </w:r>
          </w:p>
        </w:tc>
      </w:tr>
      <w:tr>
        <w:trPr/>
        <w:tc>
          <w:tcPr>
            <w:tcW w:w="15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25" w:type="dxa"/>
            <w:tcBorders/>
            <w:vAlign w:val="center"/>
          </w:tcPr>
          <w:p>
            <w:pPr>
              <w:pStyle w:val="TableContents"/>
              <w:bidi w:val="0"/>
              <w:spacing w:before="0" w:after="0"/>
              <w:ind w:left="0" w:right="0" w:hanging="0"/>
              <w:jc w:val="center"/>
              <w:rPr/>
            </w:pPr>
            <w:r>
              <w:rPr/>
              <w:t>​</w:t>
            </w:r>
          </w:p>
        </w:tc>
        <w:tc>
          <w:tcPr>
            <w:tcW w:w="11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51" w:type="dxa"/>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Total number of shares</w:t>
            </w:r>
          </w:p>
        </w:tc>
        <w:tc>
          <w:tcPr>
            <w:tcW w:w="109" w:type="dxa"/>
            <w:tcBorders/>
            <w:vAlign w:val="center"/>
          </w:tcPr>
          <w:p>
            <w:pPr>
              <w:pStyle w:val="TableContents"/>
              <w:bidi w:val="0"/>
              <w:spacing w:before="0" w:after="0"/>
              <w:ind w:left="0" w:right="0" w:hanging="0"/>
              <w:jc w:val="center"/>
              <w:rPr/>
            </w:pPr>
            <w:r>
              <w:rPr/>
              <w:t>​</w:t>
            </w:r>
          </w:p>
        </w:tc>
        <w:tc>
          <w:tcPr>
            <w:tcW w:w="2236"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approximate dollar value)</w:t>
            </w:r>
          </w:p>
        </w:tc>
        <w:tc>
          <w:tcPr>
            <w:tcW w:w="191" w:type="dxa"/>
            <w:tcBorders/>
            <w:vAlign w:val="center"/>
          </w:tcPr>
          <w:p>
            <w:pPr>
              <w:pStyle w:val="TableContents"/>
              <w:bidi w:val="0"/>
              <w:spacing w:before="0" w:after="0"/>
              <w:ind w:left="0" w:right="0" w:hanging="0"/>
              <w:jc w:val="center"/>
              <w:rPr/>
            </w:pPr>
            <w:r>
              <w:rPr/>
              <w:t> </w:t>
            </w:r>
          </w:p>
        </w:tc>
      </w:tr>
      <w:tr>
        <w:trPr/>
        <w:tc>
          <w:tcPr>
            <w:tcW w:w="15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25" w:type="dxa"/>
            <w:tcBorders/>
            <w:vAlign w:val="center"/>
          </w:tcPr>
          <w:p>
            <w:pPr>
              <w:pStyle w:val="TableContents"/>
              <w:bidi w:val="0"/>
              <w:spacing w:before="0" w:after="0"/>
              <w:ind w:left="0" w:right="0" w:hanging="0"/>
              <w:jc w:val="center"/>
              <w:rPr/>
            </w:pPr>
            <w:r>
              <w:rPr/>
              <w:t>​</w:t>
            </w:r>
          </w:p>
        </w:tc>
        <w:tc>
          <w:tcPr>
            <w:tcW w:w="11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51" w:type="dxa"/>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purchased as part of</w:t>
            </w:r>
          </w:p>
        </w:tc>
        <w:tc>
          <w:tcPr>
            <w:tcW w:w="109" w:type="dxa"/>
            <w:tcBorders/>
            <w:vAlign w:val="center"/>
          </w:tcPr>
          <w:p>
            <w:pPr>
              <w:pStyle w:val="TableContents"/>
              <w:bidi w:val="0"/>
              <w:spacing w:before="0" w:after="0"/>
              <w:ind w:left="0" w:right="0" w:hanging="0"/>
              <w:jc w:val="center"/>
              <w:rPr/>
            </w:pPr>
            <w:r>
              <w:rPr/>
              <w:t>​</w:t>
            </w:r>
          </w:p>
        </w:tc>
        <w:tc>
          <w:tcPr>
            <w:tcW w:w="2236"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of shares that may yet be</w:t>
            </w:r>
          </w:p>
        </w:tc>
        <w:tc>
          <w:tcPr>
            <w:tcW w:w="191" w:type="dxa"/>
            <w:tcBorders/>
            <w:vAlign w:val="center"/>
          </w:tcPr>
          <w:p>
            <w:pPr>
              <w:pStyle w:val="TableContents"/>
              <w:bidi w:val="0"/>
              <w:spacing w:before="0" w:after="0"/>
              <w:ind w:left="0" w:right="0" w:hanging="0"/>
              <w:jc w:val="center"/>
              <w:rPr/>
            </w:pPr>
            <w:r>
              <w:rPr/>
              <w:t> </w:t>
            </w:r>
          </w:p>
        </w:tc>
      </w:tr>
      <w:tr>
        <w:trPr/>
        <w:tc>
          <w:tcPr>
            <w:tcW w:w="15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1576"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Average price paid</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51" w:type="dxa"/>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publicly announced</w:t>
            </w:r>
          </w:p>
        </w:tc>
        <w:tc>
          <w:tcPr>
            <w:tcW w:w="109" w:type="dxa"/>
            <w:tcBorders/>
            <w:vAlign w:val="center"/>
          </w:tcPr>
          <w:p>
            <w:pPr>
              <w:pStyle w:val="TableContents"/>
              <w:bidi w:val="0"/>
              <w:spacing w:before="0" w:after="0"/>
              <w:ind w:left="0" w:right="0" w:hanging="0"/>
              <w:jc w:val="center"/>
              <w:rPr/>
            </w:pPr>
            <w:r>
              <w:rPr/>
              <w:t>​</w:t>
            </w:r>
          </w:p>
        </w:tc>
        <w:tc>
          <w:tcPr>
            <w:tcW w:w="2236"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purchased under the plans</w:t>
            </w:r>
          </w:p>
        </w:tc>
        <w:tc>
          <w:tcPr>
            <w:tcW w:w="191" w:type="dxa"/>
            <w:tcBorders/>
            <w:vAlign w:val="center"/>
          </w:tcPr>
          <w:p>
            <w:pPr>
              <w:pStyle w:val="TableContents"/>
              <w:bidi w:val="0"/>
              <w:spacing w:before="0" w:after="0"/>
              <w:ind w:left="0" w:right="0" w:hanging="0"/>
              <w:jc w:val="center"/>
              <w:rPr/>
            </w:pPr>
            <w:r>
              <w:rPr/>
              <w:t> </w:t>
            </w:r>
          </w:p>
        </w:tc>
      </w:tr>
      <w:tr>
        <w:trPr/>
        <w:tc>
          <w:tcPr>
            <w:tcW w:w="1539"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 w:hAnsi="Helvetica"/>
                <w:b/>
                <w:sz w:val="16"/>
              </w:rPr>
            </w:pPr>
            <w:r>
              <w:rPr>
                <w:rFonts w:ascii="Helvetica" w:hAnsi="Helvetica"/>
                <w:b/>
                <w:sz w:val="16"/>
              </w:rPr>
              <w:t>Period</w:t>
            </w:r>
          </w:p>
        </w:tc>
        <w:tc>
          <w:tcPr>
            <w:tcW w:w="326"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Helvetica" w:hAnsi="Helvetica"/>
                <w:b/>
                <w:sz w:val="16"/>
              </w:rPr>
              <w:t>per share </w:t>
            </w:r>
            <w:r>
              <w:rPr>
                <w:rFonts w:ascii="Helvetica" w:hAnsi="Helvetica"/>
                <w:b/>
                <w:sz w:val="14"/>
              </w:rPr>
              <w:t>(1)</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Helvetica" w:hAnsi="Helvetica"/>
                <w:b/>
                <w:sz w:val="16"/>
              </w:rPr>
              <w:t xml:space="preserve">plans or programs </w:t>
            </w:r>
            <w:r>
              <w:rPr>
                <w:rFonts w:ascii="Helvetica" w:hAnsi="Helvetica"/>
                <w:b/>
                <w:sz w:val="14"/>
              </w:rPr>
              <w:t>(2)</w:t>
            </w:r>
          </w:p>
        </w:tc>
        <w:tc>
          <w:tcPr>
            <w:tcW w:w="109" w:type="dxa"/>
            <w:tcBorders/>
            <w:vAlign w:val="center"/>
          </w:tcPr>
          <w:p>
            <w:pPr>
              <w:pStyle w:val="TableContents"/>
              <w:bidi w:val="0"/>
              <w:spacing w:before="0" w:after="0"/>
              <w:ind w:left="0" w:right="0" w:hanging="0"/>
              <w:jc w:val="center"/>
              <w:rPr/>
            </w:pPr>
            <w:r>
              <w:rPr/>
              <w:t>​</w:t>
            </w:r>
          </w:p>
        </w:tc>
        <w:tc>
          <w:tcPr>
            <w:tcW w:w="2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or programs</w:t>
            </w:r>
          </w:p>
        </w:tc>
        <w:tc>
          <w:tcPr>
            <w:tcW w:w="191" w:type="dxa"/>
            <w:tcBorders/>
            <w:vAlign w:val="center"/>
          </w:tcPr>
          <w:p>
            <w:pPr>
              <w:pStyle w:val="TableContents"/>
              <w:bidi w:val="0"/>
              <w:spacing w:before="0" w:after="0"/>
              <w:ind w:left="0" w:right="0" w:hanging="0"/>
              <w:jc w:val="center"/>
              <w:rPr/>
            </w:pPr>
            <w:r>
              <w:rPr/>
              <w:t> </w:t>
            </w:r>
          </w:p>
        </w:tc>
      </w:tr>
      <w:tr>
        <w:trPr/>
        <w:tc>
          <w:tcPr>
            <w:tcW w:w="153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February (2/2/25 - 3/1/25)</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159,980</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115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26.12</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5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159,980</w:t>
            </w:r>
          </w:p>
        </w:tc>
        <w:tc>
          <w:tcPr>
            <w:tcW w:w="109" w:type="dxa"/>
            <w:tcBorders/>
            <w:shd w:fill="CCEEFF" w:val="clear"/>
            <w:vAlign w:val="center"/>
          </w:tcPr>
          <w:p>
            <w:pPr>
              <w:pStyle w:val="TableContents"/>
              <w:bidi w:val="0"/>
              <w:spacing w:before="0" w:after="0"/>
              <w:ind w:left="0" w:right="0" w:hanging="0"/>
              <w:jc w:val="right"/>
              <w:rPr/>
            </w:pPr>
            <w:r>
              <w:rPr/>
              <w:t>​</w:t>
            </w:r>
          </w:p>
        </w:tc>
        <w:tc>
          <w:tcPr>
            <w:tcW w:w="37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1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42,061,571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3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March (3/2/25 - 4/5/25)</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90,575</w:t>
            </w:r>
          </w:p>
        </w:tc>
        <w:tc>
          <w:tcPr>
            <w:tcW w:w="32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115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22.49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5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90,575</w:t>
            </w:r>
          </w:p>
        </w:tc>
        <w:tc>
          <w:tcPr>
            <w:tcW w:w="109" w:type="dxa"/>
            <w:tcBorders/>
            <w:vAlign w:val="center"/>
          </w:tcPr>
          <w:p>
            <w:pPr>
              <w:pStyle w:val="TableContents"/>
              <w:bidi w:val="0"/>
              <w:spacing w:before="0" w:after="0"/>
              <w:ind w:left="0" w:right="0" w:hanging="0"/>
              <w:jc w:val="right"/>
              <w:rPr/>
            </w:pPr>
            <w:r>
              <w:rPr/>
              <w:t>​</w:t>
            </w:r>
          </w:p>
        </w:tc>
        <w:tc>
          <w:tcPr>
            <w:tcW w:w="37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185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40,026,598</w:t>
            </w:r>
          </w:p>
        </w:tc>
        <w:tc>
          <w:tcPr>
            <w:tcW w:w="191" w:type="dxa"/>
            <w:tcBorders/>
            <w:vAlign w:val="center"/>
          </w:tcPr>
          <w:p>
            <w:pPr>
              <w:pStyle w:val="TableContents"/>
              <w:bidi w:val="0"/>
              <w:spacing w:before="0" w:after="0"/>
              <w:ind w:left="0" w:right="0" w:hanging="0"/>
              <w:jc w:val="left"/>
              <w:rPr/>
            </w:pPr>
            <w:r>
              <w:rPr/>
              <w:t>​</w:t>
            </w:r>
          </w:p>
        </w:tc>
      </w:tr>
      <w:tr>
        <w:trPr/>
        <w:tc>
          <w:tcPr>
            <w:tcW w:w="153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April (4/6/25 - 5/3/25)</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11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9"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185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40,026,598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39"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w:t>
            </w:r>
          </w:p>
        </w:tc>
        <w:tc>
          <w:tcPr>
            <w:tcW w:w="326" w:type="dxa"/>
            <w:tcBorders/>
            <w:vAlign w:val="center"/>
          </w:tcPr>
          <w:p>
            <w:pPr>
              <w:pStyle w:val="TableContents"/>
              <w:bidi w:val="0"/>
              <w:spacing w:before="0" w:after="0"/>
              <w:ind w:left="0" w:right="0" w:hanging="0"/>
              <w:jc w:val="left"/>
              <w:rPr/>
            </w:pPr>
            <w:r>
              <w:rPr/>
              <w:t> </w:t>
            </w:r>
          </w:p>
        </w:tc>
        <w:tc>
          <w:tcPr>
            <w:tcW w:w="151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250,555</w:t>
            </w:r>
          </w:p>
        </w:tc>
        <w:tc>
          <w:tcPr>
            <w:tcW w:w="32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5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250,555</w:t>
            </w:r>
          </w:p>
        </w:tc>
        <w:tc>
          <w:tcPr>
            <w:tcW w:w="109" w:type="dxa"/>
            <w:tcBorders/>
            <w:vAlign w:val="center"/>
          </w:tcPr>
          <w:p>
            <w:pPr>
              <w:pStyle w:val="TableContents"/>
              <w:bidi w:val="0"/>
              <w:spacing w:before="0" w:after="0"/>
              <w:ind w:left="0" w:right="0" w:hanging="0"/>
              <w:jc w:val="right"/>
              <w:rPr/>
            </w:pPr>
            <w:r>
              <w:rPr/>
              <w:t>​</w:t>
            </w:r>
          </w:p>
        </w:tc>
        <w:tc>
          <w:tcPr>
            <w:tcW w:w="379" w:type="dxa"/>
            <w:tcBorders/>
            <w:vAlign w:val="center"/>
          </w:tcPr>
          <w:p>
            <w:pPr>
              <w:pStyle w:val="TableContents"/>
              <w:bidi w:val="0"/>
              <w:spacing w:before="0" w:after="0"/>
              <w:ind w:left="0" w:right="0" w:hanging="0"/>
              <w:jc w:val="left"/>
              <w:rPr/>
            </w:pPr>
            <w:r>
              <w:rPr/>
              <w:t>​</w:t>
            </w:r>
          </w:p>
        </w:tc>
        <w:tc>
          <w:tcPr>
            <w:tcW w:w="1857"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22"/>
        <w:ind w:left="0" w:right="0" w:hanging="0"/>
        <w:jc w:val="left"/>
        <w:rPr/>
      </w:pPr>
      <w:r>
        <w:rPr/>
        <w:t>​</w:t>
      </w:r>
    </w:p>
    <w:tbl>
      <w:tblPr>
        <w:tblW w:w="7731" w:type="dxa"/>
        <w:jc w:val="left"/>
        <w:tblInd w:w="0" w:type="dxa"/>
        <w:tblLayout w:type="fixed"/>
        <w:tblCellMar>
          <w:top w:w="28" w:type="dxa"/>
          <w:left w:w="28" w:type="dxa"/>
          <w:bottom w:w="28" w:type="dxa"/>
          <w:right w:w="28" w:type="dxa"/>
        </w:tblCellMar>
      </w:tblPr>
      <w:tblGrid>
        <w:gridCol w:w="124"/>
        <w:gridCol w:w="271"/>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Helvetica" w:hAnsi="Helvetica"/>
                <w:sz w:val="14"/>
              </w:rPr>
            </w:pPr>
            <w:r>
              <w:rPr>
                <w:rFonts w:ascii="Helvetica" w:hAnsi="Helvetica"/>
                <w:sz w:val="14"/>
              </w:rPr>
              <w:t>(1)</w:t>
            </w:r>
          </w:p>
        </w:tc>
        <w:tc>
          <w:tcPr>
            <w:tcW w:w="7336"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8"/>
              </w:rPr>
            </w:pPr>
            <w:r>
              <w:rPr>
                <w:rFonts w:ascii="Helvetica" w:hAnsi="Helvetica"/>
                <w:b w:val="false"/>
                <w:i w:val="false"/>
                <w:caps w:val="false"/>
                <w:smallCaps w:val="false"/>
                <w:sz w:val="18"/>
              </w:rPr>
              <w:t>Includes commissions from the shares repurchased under the stock repurchase program</w:t>
            </w:r>
          </w:p>
        </w:tc>
      </w:tr>
    </w:tbl>
    <w:tbl>
      <w:tblPr>
        <w:tblW w:w="10205" w:type="dxa"/>
        <w:jc w:val="left"/>
        <w:tblInd w:w="0" w:type="dxa"/>
        <w:tblLayout w:type="fixed"/>
        <w:tblCellMar>
          <w:top w:w="28" w:type="dxa"/>
          <w:left w:w="28" w:type="dxa"/>
          <w:bottom w:w="28" w:type="dxa"/>
          <w:right w:w="28" w:type="dxa"/>
        </w:tblCellMar>
      </w:tblPr>
      <w:tblGrid>
        <w:gridCol w:w="124"/>
        <w:gridCol w:w="242"/>
        <w:gridCol w:w="98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Helvetica" w:hAnsi="Helvetica"/>
                <w:sz w:val="14"/>
              </w:rPr>
            </w:pPr>
            <w:r>
              <w:rPr>
                <w:rFonts w:ascii="Helvetica" w:hAnsi="Helvetica"/>
                <w:sz w:val="14"/>
              </w:rPr>
              <w:t>(2)</w:t>
            </w:r>
          </w:p>
        </w:tc>
        <w:tc>
          <w:tcPr>
            <w:tcW w:w="9839"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8"/>
              </w:rPr>
            </w:pPr>
            <w:r>
              <w:rPr>
                <w:rFonts w:ascii="Helvetica" w:hAnsi="Helvetica"/>
                <w:b w:val="false"/>
                <w:i w:val="false"/>
                <w:caps w:val="false"/>
                <w:smallCaps w:val="false"/>
                <w:sz w:val="18"/>
              </w:rPr>
              <w:t>On November 30, 2021, the Company announced that its board of directors approved a $30 million stock repurchase program. On March 15, 2022, the Company announced that its board of directors approved an additional $30 million stock repurchase program. The programs do not have expiration dates.</w:t>
            </w:r>
          </w:p>
        </w:tc>
      </w:tr>
    </w:tbl>
    <w:p>
      <w:pPr>
        <w:pStyle w:val="TextBody"/>
        <w:pBdr/>
        <w:bidi w:val="0"/>
        <w:spacing w:before="0" w:after="0"/>
        <w:ind w:left="360" w:right="0" w:hanging="360"/>
        <w:jc w:val="left"/>
        <w:rPr/>
      </w:pPr>
      <w:r>
        <w:rPr/>
        <w:t>​</w:t>
      </w:r>
    </w:p>
    <w:p>
      <w:pPr>
        <w:pStyle w:val="TextBody"/>
        <w:bidi w:val="0"/>
        <w:spacing w:before="0" w:after="20"/>
        <w:ind w:left="0" w:right="0" w:hanging="0"/>
        <w:jc w:val="left"/>
        <w:rPr>
          <w:rFonts w:ascii="Helvetica" w:hAnsi="Helvetica"/>
          <w:b/>
          <w:sz w:val="18"/>
        </w:rPr>
      </w:pPr>
      <w:bookmarkStart w:id="679" w:name="Item3DefaultsUponSeniorSecurities_256165"/>
      <w:bookmarkStart w:id="680" w:name="_b2a4efd4_b86e_4c23_bfaa_813324b259b5"/>
      <w:bookmarkEnd w:id="679"/>
      <w:bookmarkEnd w:id="680"/>
      <w:r>
        <w:rPr>
          <w:rFonts w:ascii="Helvetica" w:hAnsi="Helvetica"/>
          <w:b/>
          <w:sz w:val="18"/>
        </w:rPr>
        <w:t>Item 3. Defaults Upon Senior Securities.</w:t>
      </w:r>
    </w:p>
    <w:p>
      <w:pPr>
        <w:pStyle w:val="TextBody"/>
        <w:bidi w:val="0"/>
        <w:spacing w:before="0" w:after="20"/>
        <w:ind w:left="0" w:right="0" w:hanging="0"/>
        <w:jc w:val="left"/>
        <w:rPr/>
      </w:pPr>
      <w:r>
        <w:rPr/>
        <w:t>​</w:t>
      </w:r>
    </w:p>
    <w:p>
      <w:pPr>
        <w:pStyle w:val="TextBody"/>
        <w:bidi w:val="0"/>
        <w:spacing w:before="0" w:after="20"/>
        <w:ind w:left="0" w:right="0" w:firstLine="720"/>
        <w:jc w:val="left"/>
        <w:rPr>
          <w:rFonts w:ascii="Helvetica" w:hAnsi="Helvetica"/>
          <w:sz w:val="18"/>
        </w:rPr>
      </w:pPr>
      <w:r>
        <w:rPr>
          <w:rFonts w:ascii="Helvetica" w:hAnsi="Helvetica"/>
          <w:sz w:val="18"/>
        </w:rPr>
        <w:t>Not applicable.</w:t>
      </w:r>
    </w:p>
    <w:p>
      <w:pPr>
        <w:pStyle w:val="TextBody"/>
        <w:bidi w:val="0"/>
        <w:spacing w:before="0" w:after="22"/>
        <w:ind w:left="0" w:right="0" w:hanging="0"/>
        <w:jc w:val="left"/>
        <w:rPr/>
      </w:pPr>
      <w:r>
        <w:rPr/>
        <w:t>​</w:t>
      </w:r>
    </w:p>
    <w:p>
      <w:pPr>
        <w:pStyle w:val="TextBody"/>
        <w:bidi w:val="0"/>
        <w:spacing w:before="0" w:after="20"/>
        <w:ind w:left="0" w:right="0" w:hanging="0"/>
        <w:jc w:val="left"/>
        <w:rPr>
          <w:rFonts w:ascii="Helvetica" w:hAnsi="Helvetica"/>
          <w:b/>
          <w:sz w:val="18"/>
        </w:rPr>
      </w:pPr>
      <w:bookmarkStart w:id="681" w:name="Item4MineSafetyDisclosures_796715"/>
      <w:bookmarkStart w:id="682" w:name="_34687176_4e96_4bcb_9136_249f89c948b3"/>
      <w:bookmarkEnd w:id="681"/>
      <w:bookmarkEnd w:id="682"/>
      <w:r>
        <w:rPr>
          <w:rFonts w:ascii="Helvetica" w:hAnsi="Helvetica"/>
          <w:b/>
          <w:sz w:val="18"/>
        </w:rPr>
        <w:t>Item 4. Mine Safety Disclosures.</w:t>
      </w:r>
    </w:p>
    <w:p>
      <w:pPr>
        <w:pStyle w:val="TextBody"/>
        <w:bidi w:val="0"/>
        <w:spacing w:before="0" w:after="20"/>
        <w:ind w:left="0" w:right="0" w:hanging="0"/>
        <w:jc w:val="left"/>
        <w:rPr/>
      </w:pPr>
      <w:r>
        <w:rPr/>
        <w:t>​</w:t>
      </w:r>
    </w:p>
    <w:p>
      <w:pPr>
        <w:pStyle w:val="TextBody"/>
        <w:bidi w:val="0"/>
        <w:spacing w:before="0" w:after="20"/>
        <w:ind w:left="0" w:right="0" w:firstLine="720"/>
        <w:jc w:val="left"/>
        <w:rPr>
          <w:rFonts w:ascii="Helvetica" w:hAnsi="Helvetica"/>
          <w:sz w:val="18"/>
        </w:rPr>
      </w:pPr>
      <w:r>
        <w:rPr>
          <w:rFonts w:ascii="Helvetica" w:hAnsi="Helvetica"/>
          <w:sz w:val="18"/>
        </w:rPr>
        <w:t>Not applicable.</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b/>
          <w:sz w:val="18"/>
        </w:rPr>
      </w:pPr>
      <w:bookmarkStart w:id="683" w:name="Item5OtherInformation_995576"/>
      <w:bookmarkStart w:id="684" w:name="_f0728af6_ff88_4ca5_a8e8_b5c1bbc9d321"/>
      <w:bookmarkEnd w:id="683"/>
      <w:bookmarkEnd w:id="684"/>
      <w:r>
        <w:rPr>
          <w:rFonts w:ascii="Helvetica" w:hAnsi="Helvetica"/>
          <w:b/>
          <w:sz w:val="18"/>
        </w:rPr>
        <w:t>Item 5. Other Information.</w:t>
      </w:r>
    </w:p>
    <w:p>
      <w:pPr>
        <w:pStyle w:val="TextBody"/>
        <w:bidi w:val="0"/>
        <w:spacing w:before="0" w:after="22"/>
        <w:ind w:left="0" w:right="0" w:hanging="0"/>
        <w:jc w:val="left"/>
        <w:rPr/>
      </w:pPr>
      <w:r>
        <w:rPr/>
        <w:t>​</w:t>
      </w:r>
    </w:p>
    <w:p>
      <w:pPr>
        <w:pStyle w:val="TextBody"/>
        <w:bidi w:val="0"/>
        <w:spacing w:before="0" w:after="22"/>
        <w:ind w:left="0" w:right="0" w:firstLine="720"/>
        <w:jc w:val="left"/>
        <w:rPr>
          <w:rFonts w:ascii="Helvetica" w:hAnsi="Helvetica"/>
          <w:sz w:val="18"/>
        </w:rPr>
      </w:pPr>
      <w:r>
        <w:rPr>
          <w:rFonts w:ascii="Helvetica" w:hAnsi="Helvetica"/>
          <w:sz w:val="18"/>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left"/>
        <w:rPr>
          <w:rFonts w:ascii="Helvetica" w:hAnsi="Helvetica"/>
          <w:b/>
          <w:sz w:val="18"/>
        </w:rPr>
      </w:pPr>
      <w:bookmarkStart w:id="685" w:name="Item6Exhibits_688103"/>
      <w:bookmarkStart w:id="686" w:name="_8a711030_82ea_454a_ad94_19b36d3f316b"/>
      <w:bookmarkEnd w:id="685"/>
      <w:bookmarkEnd w:id="686"/>
      <w:r>
        <w:rPr>
          <w:rFonts w:ascii="Helvetica" w:hAnsi="Helvetica"/>
          <w:b/>
          <w:sz w:val="18"/>
        </w:rPr>
        <w:t>Item 6. Exhibits.</w:t>
      </w:r>
    </w:p>
    <w:p>
      <w:pPr>
        <w:pStyle w:val="TextBody"/>
        <w:bidi w:val="0"/>
        <w:spacing w:before="0" w:after="22"/>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109"/>
        <w:gridCol w:w="9615"/>
      </w:tblGrid>
      <w:tr>
        <w:trPr/>
        <w:tc>
          <w:tcPr>
            <w:tcW w:w="4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2"/>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2"/>
                              <w:ind w:left="0" w:right="0" w:hanging="0"/>
                              <w:jc w:val="left"/>
                              <w:rPr/>
                            </w:pPr>
                            <w:r>
                              <w:rPr/>
                              <w:t>​</w:t>
                            </w:r>
                          </w:p>
                        </w:txbxContent>
                      </v:textbox>
                      <w10:wrap type="none"/>
                    </v:rect>
                  </w:pict>
                </mc:Fallback>
              </mc:AlternateContent>
            </w:r>
          </w:p>
        </w:tc>
        <w:tc>
          <w:tcPr>
            <w:tcW w:w="9615"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3.1</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hyperlink r:id="rId2">
              <w:r>
                <w:rPr>
                  <w:rStyle w:val="InternetLink"/>
                  <w:rFonts w:ascii="Times New Roman;Times;serif" w:hAnsi="Times New Roman;Times;serif"/>
                  <w:b w:val="false"/>
                  <w:i w:val="false"/>
                  <w:caps w:val="false"/>
                  <w:smallCaps w:val="false"/>
                  <w:sz w:val="18"/>
                </w:rPr>
                <w:t>Third Amended and Restated Certificate of Incorporation (incorporated by reference to Exhibit 3.1 to the Company</w:t>
              </w:r>
            </w:hyperlink>
            <w:hyperlink r:id="rId3">
              <w:r>
                <w:rPr>
                  <w:rStyle w:val="InternetLink"/>
                  <w:rFonts w:ascii="Times New Roman;Times;serif" w:hAnsi="Times New Roman;Times;serif"/>
                  <w:caps w:val="false"/>
                  <w:smallCaps w:val="false"/>
                  <w:sz w:val="18"/>
                </w:rPr>
                <w:t>’</w:t>
              </w:r>
            </w:hyperlink>
            <w:hyperlink r:id="rId4">
              <w:r>
                <w:rPr>
                  <w:rStyle w:val="InternetLink"/>
                  <w:rFonts w:ascii="Times New Roman;Times;serif" w:hAnsi="Times New Roman;Times;serif"/>
                  <w:b w:val="false"/>
                  <w:i w:val="false"/>
                  <w:caps w:val="false"/>
                  <w:smallCaps w:val="false"/>
                  <w:sz w:val="18"/>
                </w:rPr>
                <w:t>s Current Report on Form 8-K filed with the SEC on June 7, 2018)</w:t>
              </w:r>
            </w:hyperlink>
            <w:r>
              <w:rPr>
                <w:rFonts w:ascii="Helvetica" w:hAnsi="Helvetica"/>
                <w:sz w:val="18"/>
              </w:rPr>
              <w:t>.</w:t>
            </w:r>
          </w:p>
        </w:tc>
      </w:tr>
      <w:tr>
        <w:trPr/>
        <w:tc>
          <w:tcPr>
            <w:tcW w:w="481" w:type="dxa"/>
            <w:tcBorders/>
            <w:vAlign w:val="center"/>
          </w:tcPr>
          <w:p>
            <w:pPr>
              <w:pStyle w:val="TableContents"/>
              <w:pBdr/>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3.2</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hyperlink r:id="rId5">
              <w:r>
                <w:rPr>
                  <w:rStyle w:val="InternetLink"/>
                  <w:rFonts w:ascii="Times New Roman;Times;serif" w:hAnsi="Times New Roman;Times;serif"/>
                  <w:b w:val="false"/>
                  <w:i w:val="false"/>
                  <w:caps w:val="false"/>
                  <w:smallCaps w:val="false"/>
                  <w:sz w:val="18"/>
                </w:rPr>
                <w:t>Fourth Amended and Restated Bylaws (incorporated by reference to Exhibit 3.2 to the Company</w:t>
              </w:r>
            </w:hyperlink>
            <w:hyperlink r:id="rId6">
              <w:r>
                <w:rPr>
                  <w:rStyle w:val="InternetLink"/>
                  <w:rFonts w:ascii="Times New Roman;Times;serif" w:hAnsi="Times New Roman;Times;serif"/>
                  <w:caps w:val="false"/>
                  <w:smallCaps w:val="false"/>
                  <w:sz w:val="18"/>
                </w:rPr>
                <w:t>’</w:t>
              </w:r>
            </w:hyperlink>
            <w:hyperlink r:id="rId7">
              <w:r>
                <w:rPr>
                  <w:rStyle w:val="InternetLink"/>
                  <w:rFonts w:ascii="Times New Roman;Times;serif" w:hAnsi="Times New Roman;Times;serif"/>
                  <w:b w:val="false"/>
                  <w:i w:val="false"/>
                  <w:caps w:val="false"/>
                  <w:smallCaps w:val="false"/>
                  <w:sz w:val="18"/>
                </w:rPr>
                <w:t>s Current Report on Form 8-K filed with the SEC on October 31, 2022)</w:t>
              </w:r>
            </w:hyperlink>
            <w:r>
              <w:rPr>
                <w:rFonts w:ascii="Helvetica" w:hAnsi="Helvetica"/>
                <w:sz w:val="18"/>
              </w:rPr>
              <w:t>.</w:t>
            </w:r>
          </w:p>
        </w:tc>
      </w:tr>
      <w:tr>
        <w:trPr/>
        <w:tc>
          <w:tcPr>
            <w:tcW w:w="481" w:type="dxa"/>
            <w:tcBorders/>
            <w:vAlign w:val="center"/>
          </w:tcPr>
          <w:p>
            <w:pPr>
              <w:pStyle w:val="TableContents"/>
              <w:pBdr/>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10.1</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hyperlink r:id="rId8">
              <w:r>
                <w:rPr>
                  <w:rStyle w:val="InternetLink"/>
                  <w:rFonts w:ascii="Times New Roman;Times;serif" w:hAnsi="Times New Roman;Times;serif"/>
                  <w:b w:val="false"/>
                  <w:i w:val="false"/>
                  <w:caps w:val="false"/>
                  <w:smallCaps w:val="false"/>
                  <w:sz w:val="18"/>
                </w:rPr>
                <w:t>Amended and Restated Cooperation Agreement, dated March 25, 2025, by and between Citi Trends, Inc. and Fund 1 Investments, LLC (incorporated by reference to Exhibit 10.1 to the Company</w:t>
              </w:r>
            </w:hyperlink>
            <w:hyperlink r:id="rId9">
              <w:r>
                <w:rPr>
                  <w:rStyle w:val="InternetLink"/>
                  <w:rFonts w:ascii="Times New Roman;Times;serif" w:hAnsi="Times New Roman;Times;serif"/>
                  <w:caps w:val="false"/>
                  <w:smallCaps w:val="false"/>
                  <w:sz w:val="18"/>
                </w:rPr>
                <w:t>’</w:t>
              </w:r>
            </w:hyperlink>
            <w:hyperlink r:id="rId10">
              <w:r>
                <w:rPr>
                  <w:rStyle w:val="InternetLink"/>
                  <w:rFonts w:ascii="Times New Roman;Times;serif" w:hAnsi="Times New Roman;Times;serif"/>
                  <w:b w:val="false"/>
                  <w:i w:val="false"/>
                  <w:caps w:val="false"/>
                  <w:smallCaps w:val="false"/>
                  <w:sz w:val="18"/>
                </w:rPr>
                <w:t>s Current Report on Form 8-K filed with the SEC on March 27, 2025)</w:t>
              </w:r>
            </w:hyperlink>
            <w:r>
              <w:rPr>
                <w:rFonts w:ascii="Helvetica" w:hAnsi="Helvetica"/>
                <w:sz w:val="18"/>
              </w:rPr>
              <w:t>.</w:t>
            </w:r>
          </w:p>
        </w:tc>
      </w:tr>
      <w:tr>
        <w:trPr/>
        <w:tc>
          <w:tcPr>
            <w:tcW w:w="481" w:type="dxa"/>
            <w:tcBorders/>
            <w:vAlign w:val="center"/>
          </w:tcPr>
          <w:p>
            <w:pPr>
              <w:pStyle w:val="TableContents"/>
              <w:pBdr/>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10.2</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hyperlink r:id="rId11">
              <w:r>
                <w:rPr>
                  <w:rStyle w:val="InternetLink"/>
                  <w:rFonts w:ascii="Times New Roman;Times;serif" w:hAnsi="Times New Roman;Times;serif"/>
                  <w:b w:val="false"/>
                  <w:i w:val="false"/>
                  <w:caps w:val="false"/>
                  <w:smallCaps w:val="false"/>
                  <w:sz w:val="18"/>
                </w:rPr>
                <w:t>Fourth Amendment to Credit Agreement, dated as of April 10, 2025, by and among Citi Trends, Inc., as Borrower, Citi Trends Marketing Solutions, Inc., as Guarantor, and Bank of America, N.A., as Lender (incorporated by reference to Exhibit 10.1 to the Company</w:t>
              </w:r>
            </w:hyperlink>
            <w:hyperlink r:id="rId12">
              <w:r>
                <w:rPr>
                  <w:rStyle w:val="InternetLink"/>
                  <w:rFonts w:ascii="Times New Roman;Times;serif" w:hAnsi="Times New Roman;Times;serif"/>
                  <w:caps w:val="false"/>
                  <w:smallCaps w:val="false"/>
                  <w:sz w:val="18"/>
                </w:rPr>
                <w:t>’</w:t>
              </w:r>
            </w:hyperlink>
            <w:hyperlink r:id="rId13">
              <w:r>
                <w:rPr>
                  <w:rStyle w:val="InternetLink"/>
                  <w:rFonts w:ascii="Times New Roman;Times;serif" w:hAnsi="Times New Roman;Times;serif"/>
                  <w:b w:val="false"/>
                  <w:i w:val="false"/>
                  <w:caps w:val="false"/>
                  <w:smallCaps w:val="false"/>
                  <w:sz w:val="18"/>
                </w:rPr>
                <w:t>s Current Report on Form 8-K filed with the SEC on April 15, 2025)</w:t>
              </w:r>
            </w:hyperlink>
            <w:r>
              <w:rPr>
                <w:rFonts w:ascii="Helvetica" w:hAnsi="Helvetica"/>
                <w:sz w:val="18"/>
              </w:rPr>
              <w:t>.</w:t>
            </w:r>
          </w:p>
        </w:tc>
      </w:tr>
      <w:tr>
        <w:trPr/>
        <w:tc>
          <w:tcPr>
            <w:tcW w:w="481" w:type="dxa"/>
            <w:tcBorders/>
            <w:vAlign w:val="center"/>
          </w:tcPr>
          <w:p>
            <w:pPr>
              <w:pStyle w:val="TableContents"/>
              <w:pBdr/>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31.1</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hyperlink w:anchor="ctrn-20250503xex31d1.htm">
              <w:r>
                <w:rPr>
                  <w:rStyle w:val="InternetLink"/>
                  <w:rFonts w:ascii="Times New Roman;Times;serif" w:hAnsi="Times New Roman;Times;serif"/>
                  <w:b w:val="false"/>
                  <w:i w:val="false"/>
                  <w:caps w:val="false"/>
                  <w:smallCaps w:val="false"/>
                  <w:sz w:val="18"/>
                </w:rPr>
                <w:t>Certification of Principal Executive Officer, Pursuant to Rule 13a-14(a) of the Securities Exchange Act of 1934, Adopted Pursuant to Section 302 of the Sarbanes-Oxley Act of 2002.</w:t>
              </w:r>
            </w:hyperlink>
            <w:r>
              <w:rPr>
                <w:rFonts w:ascii="Helvetica" w:hAnsi="Helvetica"/>
                <w:sz w:val="18"/>
              </w:rPr>
              <w:t>+</w:t>
            </w:r>
          </w:p>
        </w:tc>
      </w:tr>
      <w:tr>
        <w:trPr/>
        <w:tc>
          <w:tcPr>
            <w:tcW w:w="481" w:type="dxa"/>
            <w:tcBorders/>
            <w:vAlign w:val="center"/>
          </w:tcPr>
          <w:p>
            <w:pPr>
              <w:pStyle w:val="TableContents"/>
              <w:pBdr/>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31.2</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hyperlink w:anchor="ctrn-20250503xex31d2.htm">
              <w:r>
                <w:rPr>
                  <w:rStyle w:val="InternetLink"/>
                  <w:rFonts w:ascii="Times New Roman;Times;serif" w:hAnsi="Times New Roman;Times;serif"/>
                  <w:b w:val="false"/>
                  <w:i w:val="false"/>
                  <w:caps w:val="false"/>
                  <w:smallCaps w:val="false"/>
                  <w:sz w:val="18"/>
                </w:rPr>
                <w:t>Certification of Principal Financial Officer, Pursuant to Rule 13a-14(a) of the Securities Exchange Act of 1934, Adopted Pursuant to Section 302 of the Sarbanes-Oxley Act of 2002.</w:t>
              </w:r>
            </w:hyperlink>
            <w:r>
              <w:rPr>
                <w:rFonts w:ascii="Helvetica" w:hAnsi="Helvetica"/>
                <w:sz w:val="18"/>
              </w:rPr>
              <w:t>+</w:t>
            </w:r>
          </w:p>
        </w:tc>
      </w:tr>
      <w:tr>
        <w:trPr/>
        <w:tc>
          <w:tcPr>
            <w:tcW w:w="481" w:type="dxa"/>
            <w:tcBorders/>
            <w:vAlign w:val="center"/>
          </w:tcPr>
          <w:p>
            <w:pPr>
              <w:pStyle w:val="TableContents"/>
              <w:pBdr/>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32.1</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hyperlink w:anchor="ctrn-20250503xex32d1.htm">
              <w:r>
                <w:rPr>
                  <w:rStyle w:val="InternetLink"/>
                  <w:rFonts w:ascii="Times New Roman;Times;serif" w:hAnsi="Times New Roman;Times;serif"/>
                  <w:b w:val="false"/>
                  <w:i w:val="false"/>
                  <w:caps w:val="false"/>
                  <w:smallCaps w:val="false"/>
                  <w:sz w:val="18"/>
                </w:rPr>
                <w:t>Certifications Pursuant to 18 U.S.C. Section 1350, as adopted pursuant to Section 906 of the Sarbanes-Oxley Act of 2002.</w:t>
              </w:r>
            </w:hyperlink>
            <w:r>
              <w:rPr>
                <w:rFonts w:ascii="Helvetica" w:hAnsi="Helvetica"/>
                <w:sz w:val="18"/>
              </w:rPr>
              <w:t>+</w:t>
            </w:r>
            <w:r>
              <w:rPr>
                <w:rFonts w:ascii="Times New Roman;Times;serif" w:hAnsi="Times New Roman;Times;serif"/>
                <w:sz w:val="18"/>
              </w:rPr>
              <w:t xml:space="preserve"> †</w:t>
            </w:r>
          </w:p>
        </w:tc>
      </w:tr>
      <w:tr>
        <w:trPr/>
        <w:tc>
          <w:tcPr>
            <w:tcW w:w="481" w:type="dxa"/>
            <w:tcBorders/>
            <w:vAlign w:val="center"/>
          </w:tcPr>
          <w:p>
            <w:pPr>
              <w:pStyle w:val="TableContents"/>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pPr>
            <w: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101</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rFonts w:ascii="Times New Roman;Times;serif" w:hAnsi="Times New Roman;Times;serif"/>
                <w:sz w:val="18"/>
              </w:rPr>
            </w:pPr>
            <w:r>
              <w:rPr>
                <w:rFonts w:ascii="Helvetica" w:hAnsi="Helvetica"/>
                <w:sz w:val="18"/>
                <w:shd w:fill="FFFFFF" w:val="clear"/>
              </w:rPr>
              <w:t xml:space="preserve">Inline XBRL Document Set for the condensed consolidated financial statements and accompanying notes in Part I, Item 1, </w:t>
            </w:r>
            <w:r>
              <w:rPr>
                <w:rFonts w:ascii="Times New Roman;Times;serif" w:hAnsi="Times New Roman;Times;serif"/>
                <w:sz w:val="18"/>
                <w:shd w:fill="FFFFFF" w:val="clear"/>
              </w:rPr>
              <w:t>“</w:t>
            </w:r>
            <w:r>
              <w:rPr>
                <w:rFonts w:ascii="Helvetica" w:hAnsi="Helvetica"/>
                <w:sz w:val="18"/>
                <w:shd w:fill="FFFFFF" w:val="clear"/>
              </w:rPr>
              <w:t>Financial Statements</w:t>
            </w:r>
            <w:r>
              <w:rPr>
                <w:rFonts w:ascii="Times New Roman;Times;serif" w:hAnsi="Times New Roman;Times;serif"/>
                <w:sz w:val="18"/>
                <w:shd w:fill="FFFFFF" w:val="clear"/>
              </w:rPr>
              <w:t xml:space="preserve">” </w:t>
            </w:r>
            <w:r>
              <w:rPr>
                <w:rFonts w:ascii="Helvetica" w:hAnsi="Helvetica"/>
                <w:sz w:val="18"/>
                <w:shd w:fill="FFFFFF" w:val="clear"/>
              </w:rPr>
              <w:t>of this Quarterly Report on Form 10-Q.+</w:t>
            </w:r>
          </w:p>
        </w:tc>
      </w:tr>
      <w:tr>
        <w:trPr/>
        <w:tc>
          <w:tcPr>
            <w:tcW w:w="481" w:type="dxa"/>
            <w:tcBorders/>
            <w:vAlign w:val="center"/>
          </w:tcPr>
          <w:p>
            <w:pPr>
              <w:pStyle w:val="TableContents"/>
              <w:pBdr/>
              <w:bidi w:val="0"/>
              <w:spacing w:lineRule="auto" w:line="328" w:before="0" w:after="22"/>
              <w:ind w:left="0" w:right="0" w:hanging="0"/>
              <w:jc w:val="left"/>
              <w:rPr/>
            </w:pPr>
            <w:r>
              <w:rPr/>
              <w:t>​</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shd w:fill="FFFFFF" w:val="clear"/>
              </w:rPr>
            </w:pPr>
            <w:r>
              <w:rPr>
                <w:shd w:fill="FFFFFF" w:val="clear"/>
              </w:rPr>
              <w:t>​</w:t>
            </w:r>
          </w:p>
        </w:tc>
      </w:tr>
      <w:tr>
        <w:trPr/>
        <w:tc>
          <w:tcPr>
            <w:tcW w:w="481" w:type="dxa"/>
            <w:tcBorders/>
            <w:vAlign w:val="center"/>
          </w:tcPr>
          <w:p>
            <w:pPr>
              <w:pStyle w:val="TableContents"/>
              <w:pBdr/>
              <w:bidi w:val="0"/>
              <w:spacing w:lineRule="auto" w:line="328" w:before="0" w:after="22"/>
              <w:ind w:left="0" w:right="0" w:hanging="0"/>
              <w:jc w:val="left"/>
              <w:rPr>
                <w:rFonts w:ascii="Helvetica" w:hAnsi="Helvetica"/>
                <w:sz w:val="18"/>
              </w:rPr>
            </w:pPr>
            <w:r>
              <w:rPr>
                <w:rFonts w:ascii="Helvetica" w:hAnsi="Helvetica"/>
                <w:sz w:val="18"/>
              </w:rPr>
              <w:t>104</w:t>
            </w:r>
          </w:p>
        </w:tc>
        <w:tc>
          <w:tcPr>
            <w:tcW w:w="109" w:type="dxa"/>
            <w:tcBorders/>
            <w:vAlign w:val="center"/>
          </w:tcPr>
          <w:p>
            <w:pPr>
              <w:pStyle w:val="TableContents"/>
              <w:bidi w:val="0"/>
              <w:spacing w:lineRule="auto" w:line="328" w:before="0" w:after="22"/>
              <w:ind w:left="0" w:right="0" w:hanging="0"/>
              <w:jc w:val="left"/>
              <w:rPr/>
            </w:pPr>
            <w:r>
              <w:rPr/>
              <w:t>​</w:t>
            </w:r>
          </w:p>
        </w:tc>
        <w:tc>
          <w:tcPr>
            <w:tcW w:w="9615" w:type="dxa"/>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Inline XBRL for the cover page of this Quarterly Report on Form 10-Q, included in the Exhibit 101 Inline XBRL Document Set.+</w:t>
            </w:r>
          </w:p>
        </w:tc>
      </w:tr>
    </w:tbl>
    <w:p>
      <w:pPr>
        <w:pStyle w:val="TextBody"/>
        <w:pBdr/>
        <w:bidi w:val="0"/>
        <w:spacing w:lineRule="atLeast" w:line="160" w:before="0" w:after="5"/>
        <w:ind w:left="0" w:right="0" w:hanging="400"/>
        <w:jc w:val="left"/>
        <w:rPr>
          <w:rFonts w:ascii="Helvetica" w:hAnsi="Helvetica"/>
          <w:sz w:val="18"/>
        </w:rPr>
      </w:pPr>
      <w:r>
        <w:rPr>
          <w:rFonts w:ascii="Helvetica" w:hAnsi="Helvetica"/>
          <w:sz w:val="18"/>
        </w:rPr>
        <w:t>+      Included herewith.</w:t>
      </w:r>
    </w:p>
    <w:p>
      <w:pPr>
        <w:pStyle w:val="TextBody"/>
        <w:pBdr/>
        <w:bidi w:val="0"/>
        <w:spacing w:lineRule="atLeast" w:line="160" w:before="0" w:after="5"/>
        <w:ind w:left="0" w:right="0" w:hanging="400"/>
        <w:jc w:val="left"/>
        <w:rPr/>
      </w:pPr>
      <w:r>
        <w:rPr/>
        <w:t>​</w:t>
      </w:r>
    </w:p>
    <w:p>
      <w:pPr>
        <w:pStyle w:val="TextBody"/>
        <w:bidi w:val="0"/>
        <w:spacing w:lineRule="atLeast" w:line="220" w:before="0" w:after="5"/>
        <w:ind w:left="0" w:right="0" w:hanging="0"/>
        <w:jc w:val="left"/>
        <w:rPr/>
      </w:pPr>
      <w:r>
        <w:rPr/>
        <w:t xml:space="preserve">†       </w:t>
      </w:r>
      <w:r>
        <w:rPr>
          <w:rFonts w:ascii="Helvetica" w:hAnsi="Helvetica"/>
          <w:sz w:val="18"/>
        </w:rPr>
        <w:t xml:space="preserve">Pursuant to Securities and Exchange Commission Release No. 33-8238, this certification will be treated as </w:t>
      </w:r>
      <w:r>
        <w:rPr>
          <w:rFonts w:ascii="Times New Roman;Times;serif" w:hAnsi="Times New Roman;Times;serif"/>
          <w:sz w:val="18"/>
        </w:rPr>
        <w:t>“</w:t>
      </w:r>
      <w:r>
        <w:rPr>
          <w:rFonts w:ascii="Helvetica" w:hAnsi="Helvetica"/>
          <w:sz w:val="18"/>
        </w:rPr>
        <w:t>accompanying</w:t>
      </w:r>
      <w:r>
        <w:rPr>
          <w:rFonts w:ascii="Times New Roman;Times;serif" w:hAnsi="Times New Roman;Times;serif"/>
          <w:sz w:val="18"/>
        </w:rPr>
        <w:t xml:space="preserve">” </w:t>
      </w:r>
      <w:r>
        <w:rPr>
          <w:rFonts w:ascii="Helvetica" w:hAnsi="Helvetica"/>
          <w:sz w:val="18"/>
        </w:rPr>
        <w:t xml:space="preserve">this Quarterly Report on Form 10-Q and not </w:t>
      </w:r>
      <w:r>
        <w:rPr>
          <w:rFonts w:ascii="Times New Roman;Times;serif" w:hAnsi="Times New Roman;Times;serif"/>
          <w:sz w:val="18"/>
        </w:rPr>
        <w:t>“</w:t>
      </w:r>
      <w:r>
        <w:rPr>
          <w:rFonts w:ascii="Helvetica" w:hAnsi="Helvetica"/>
          <w:sz w:val="18"/>
        </w:rPr>
        <w:t>filed</w:t>
      </w:r>
      <w:r>
        <w:rPr>
          <w:rFonts w:ascii="Times New Roman;Times;serif" w:hAnsi="Times New Roman;Times;serif"/>
          <w:sz w:val="18"/>
        </w:rPr>
        <w:t xml:space="preserve">” </w:t>
      </w:r>
      <w:r>
        <w:rPr>
          <w:rFonts w:ascii="Helvetica" w:hAnsi="Helvetica"/>
          <w:sz w:val="18"/>
        </w:rPr>
        <w:t>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Helvetica" w:hAnsi="Helvetica"/>
          <w:b/>
          <w:sz w:val="18"/>
        </w:rPr>
      </w:pPr>
      <w:bookmarkStart w:id="687" w:name="SIGNATURES_26064"/>
      <w:bookmarkStart w:id="688" w:name="_fda7b22e_cb97_4c2d_b227_e16b6b6124d9"/>
      <w:bookmarkEnd w:id="687"/>
      <w:bookmarkEnd w:id="688"/>
      <w:r>
        <w:rPr>
          <w:rFonts w:ascii="Helvetica" w:hAnsi="Helvetica"/>
          <w:b/>
          <w:sz w:val="18"/>
        </w:rPr>
        <w:t>SIGNATURES</w:t>
      </w:r>
    </w:p>
    <w:p>
      <w:pPr>
        <w:pStyle w:val="TextBody"/>
        <w:bidi w:val="0"/>
        <w:spacing w:before="0" w:after="22"/>
        <w:ind w:left="0" w:right="0" w:hanging="0"/>
        <w:jc w:val="left"/>
        <w:rPr/>
      </w:pPr>
      <w:r>
        <w:rPr/>
        <w:t>​</w:t>
      </w:r>
    </w:p>
    <w:p>
      <w:pPr>
        <w:pStyle w:val="TextBody"/>
        <w:bidi w:val="0"/>
        <w:spacing w:before="0" w:after="22"/>
        <w:ind w:left="1" w:right="0" w:firstLine="720"/>
        <w:jc w:val="left"/>
        <w:rPr>
          <w:rFonts w:ascii="Times New Roman;Times;serif" w:hAnsi="Times New Roman;Times;serif"/>
          <w:sz w:val="18"/>
        </w:rPr>
      </w:pPr>
      <w:r>
        <w:rPr>
          <w:rFonts w:ascii="Helvetica" w:hAnsi="Helvetica"/>
          <w:sz w:val="18"/>
        </w:rPr>
        <w:t>Pursuant to the requirements of the Securities Exchange Act of 1934, the Registrant has duly caused this report to be signed on its behalf by the undersigned, thereunto duly authorized, and the undersigned also has signed this report in her capacity as the Registrant</w:t>
      </w:r>
      <w:r>
        <w:rPr>
          <w:rFonts w:ascii="Times New Roman;Times;serif" w:hAnsi="Times New Roman;Times;serif"/>
          <w:sz w:val="18"/>
        </w:rPr>
        <w:t>’</w:t>
      </w:r>
      <w:r>
        <w:rPr>
          <w:rFonts w:ascii="Helvetica" w:hAnsi="Helvetica"/>
          <w:sz w:val="18"/>
        </w:rPr>
        <w:t>s Principal Financial Officer.</w:t>
      </w:r>
    </w:p>
    <w:p>
      <w:pPr>
        <w:pStyle w:val="TextBody"/>
        <w:bidi w:val="0"/>
        <w:spacing w:before="0" w:after="22"/>
        <w:ind w:left="0" w:right="0" w:hanging="0"/>
        <w:jc w:val="left"/>
        <w:rPr/>
      </w:pPr>
      <w:r>
        <w:rPr/>
        <w:t>​</w:t>
      </w:r>
    </w:p>
    <w:tbl>
      <w:tblPr>
        <w:tblW w:w="4413" w:type="dxa"/>
        <w:jc w:val="left"/>
        <w:tblInd w:w="0" w:type="dxa"/>
        <w:tblLayout w:type="fixed"/>
        <w:tblCellMar>
          <w:top w:w="0" w:type="dxa"/>
          <w:left w:w="0" w:type="dxa"/>
          <w:bottom w:w="0" w:type="dxa"/>
          <w:right w:w="0" w:type="dxa"/>
        </w:tblCellMar>
      </w:tblPr>
      <w:tblGrid>
        <w:gridCol w:w="1771"/>
        <w:gridCol w:w="691"/>
        <w:gridCol w:w="1951"/>
      </w:tblGrid>
      <w:tr>
        <w:trPr/>
        <w:tc>
          <w:tcPr>
            <w:tcW w:w="1771" w:type="dxa"/>
            <w:tcBorders/>
            <w:vAlign w:val="center"/>
          </w:tcPr>
          <w:p>
            <w:pPr>
              <w:pStyle w:val="TableContents"/>
              <w:bidi w:val="0"/>
              <w:spacing w:before="0" w:after="22"/>
              <w:ind w:left="0" w:right="0" w:hanging="0"/>
              <w:jc w:val="left"/>
              <w:rPr/>
            </w:pPr>
            <w:r>
              <w:rPr/>
              <w:t>​</w:t>
            </w:r>
          </w:p>
        </w:tc>
        <w:tc>
          <w:tcPr>
            <w:tcW w:w="691" w:type="dxa"/>
            <w:tcBorders/>
            <w:vAlign w:val="center"/>
          </w:tcPr>
          <w:p>
            <w:pPr>
              <w:pStyle w:val="TableContents"/>
              <w:bidi w:val="0"/>
              <w:spacing w:before="0" w:after="22"/>
              <w:ind w:left="0" w:right="0" w:hanging="0"/>
              <w:jc w:val="left"/>
              <w:rPr/>
            </w:pPr>
            <w:r>
              <w:rPr/>
              <w:t>​</w:t>
            </w:r>
          </w:p>
        </w:tc>
        <w:tc>
          <w:tcPr>
            <w:tcW w:w="1951" w:type="dxa"/>
            <w:tcBorders/>
            <w:vAlign w:val="center"/>
          </w:tcPr>
          <w:p>
            <w:pPr>
              <w:pStyle w:val="TableContents"/>
              <w:bidi w:val="0"/>
              <w:spacing w:before="0" w:after="22"/>
              <w:ind w:left="0" w:right="0" w:hanging="0"/>
              <w:jc w:val="left"/>
              <w:rPr/>
            </w:pPr>
            <w:r>
              <w:rPr/>
              <w:t>​</w:t>
            </w:r>
          </w:p>
        </w:tc>
      </w:tr>
      <w:tr>
        <w:trPr/>
        <w:tc>
          <w:tcPr>
            <w:tcW w:w="1771" w:type="dxa"/>
            <w:tcBorders/>
            <w:vAlign w:val="center"/>
          </w:tcPr>
          <w:p>
            <w:pPr>
              <w:pStyle w:val="TableContents"/>
              <w:bidi w:val="0"/>
              <w:spacing w:lineRule="auto" w:line="328" w:before="0" w:after="22"/>
              <w:ind w:left="0" w:right="0" w:hanging="0"/>
              <w:jc w:val="left"/>
              <w:rPr/>
            </w:pPr>
            <w:r>
              <w:rPr/>
              <w:t>​</w:t>
            </w:r>
          </w:p>
        </w:tc>
        <w:tc>
          <w:tcPr>
            <w:tcW w:w="2642" w:type="dxa"/>
            <w:gridSpan w:val="2"/>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CITI TRENDS, INC.</w:t>
            </w:r>
          </w:p>
        </w:tc>
      </w:tr>
      <w:tr>
        <w:trPr/>
        <w:tc>
          <w:tcPr>
            <w:tcW w:w="1771" w:type="dxa"/>
            <w:tcBorders/>
            <w:vAlign w:val="center"/>
          </w:tcPr>
          <w:p>
            <w:pPr>
              <w:pStyle w:val="TableContents"/>
              <w:bidi w:val="0"/>
              <w:spacing w:lineRule="auto" w:line="328" w:before="0" w:after="22"/>
              <w:ind w:left="0" w:right="0" w:hanging="0"/>
              <w:jc w:val="left"/>
              <w:rPr/>
            </w:pPr>
            <w:r>
              <w:rPr/>
              <w:t>​</w:t>
            </w:r>
          </w:p>
        </w:tc>
        <w:tc>
          <w:tcPr>
            <w:tcW w:w="2642" w:type="dxa"/>
            <w:gridSpan w:val="2"/>
            <w:tcBorders/>
            <w:vAlign w:val="center"/>
          </w:tcPr>
          <w:p>
            <w:pPr>
              <w:pStyle w:val="TableContents"/>
              <w:bidi w:val="0"/>
              <w:spacing w:lineRule="auto" w:line="328" w:before="0" w:after="22"/>
              <w:ind w:left="0" w:right="0" w:hanging="0"/>
              <w:jc w:val="left"/>
              <w:rPr/>
            </w:pPr>
            <w:r>
              <w:rPr/>
              <w:t>​</w:t>
            </w:r>
          </w:p>
        </w:tc>
      </w:tr>
      <w:tr>
        <w:trPr/>
        <w:tc>
          <w:tcPr>
            <w:tcW w:w="1771" w:type="dxa"/>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Date: June 11, 2025</w:t>
            </w:r>
          </w:p>
        </w:tc>
        <w:tc>
          <w:tcPr>
            <w:tcW w:w="2642" w:type="dxa"/>
            <w:gridSpan w:val="2"/>
            <w:tcBorders/>
            <w:vAlign w:val="center"/>
          </w:tcPr>
          <w:p>
            <w:pPr>
              <w:pStyle w:val="TableContents"/>
              <w:bidi w:val="0"/>
              <w:spacing w:lineRule="auto" w:line="328" w:before="0" w:after="22"/>
              <w:ind w:left="0" w:right="0" w:hanging="0"/>
              <w:jc w:val="left"/>
              <w:rPr/>
            </w:pPr>
            <w:r>
              <w:rPr/>
              <w:t>​</w:t>
            </w:r>
          </w:p>
        </w:tc>
      </w:tr>
      <w:tr>
        <w:trPr/>
        <w:tc>
          <w:tcPr>
            <w:tcW w:w="1771" w:type="dxa"/>
            <w:tcBorders/>
            <w:vAlign w:val="center"/>
          </w:tcPr>
          <w:p>
            <w:pPr>
              <w:pStyle w:val="TableContents"/>
              <w:bidi w:val="0"/>
              <w:spacing w:lineRule="auto" w:line="328" w:before="0" w:after="22"/>
              <w:ind w:left="0" w:right="0" w:hanging="0"/>
              <w:jc w:val="left"/>
              <w:rPr/>
            </w:pPr>
            <w:r>
              <w:rPr/>
              <w:t>​</w:t>
            </w:r>
          </w:p>
        </w:tc>
        <w:tc>
          <w:tcPr>
            <w:tcW w:w="691" w:type="dxa"/>
            <w:tcBorders/>
            <w:vAlign w:val="center"/>
          </w:tcPr>
          <w:p>
            <w:pPr>
              <w:pStyle w:val="TableContents"/>
              <w:bidi w:val="0"/>
              <w:spacing w:lineRule="auto" w:line="328" w:before="0" w:after="22"/>
              <w:ind w:left="0" w:right="0" w:hanging="0"/>
              <w:jc w:val="left"/>
              <w:rPr/>
            </w:pPr>
            <w:r>
              <w:rPr/>
              <w:t>​</w:t>
            </w:r>
          </w:p>
        </w:tc>
        <w:tc>
          <w:tcPr>
            <w:tcW w:w="1951" w:type="dxa"/>
            <w:tcBorders/>
            <w:vAlign w:val="center"/>
          </w:tcPr>
          <w:p>
            <w:pPr>
              <w:pStyle w:val="TableContents"/>
              <w:bidi w:val="0"/>
              <w:spacing w:lineRule="auto" w:line="328" w:before="0" w:after="22"/>
              <w:ind w:left="0" w:right="0" w:hanging="0"/>
              <w:jc w:val="left"/>
              <w:rPr/>
            </w:pPr>
            <w:r>
              <w:rPr/>
              <w:t>​</w:t>
            </w:r>
          </w:p>
        </w:tc>
      </w:tr>
      <w:tr>
        <w:trPr/>
        <w:tc>
          <w:tcPr>
            <w:tcW w:w="1771" w:type="dxa"/>
            <w:tcBorders/>
            <w:vAlign w:val="center"/>
          </w:tcPr>
          <w:p>
            <w:pPr>
              <w:pStyle w:val="TableContents"/>
              <w:bidi w:val="0"/>
              <w:spacing w:lineRule="auto" w:line="328" w:before="0" w:after="22"/>
              <w:ind w:left="0" w:right="0" w:hanging="0"/>
              <w:jc w:val="left"/>
              <w:rPr/>
            </w:pPr>
            <w:r>
              <w:rPr/>
              <w:t>​</w:t>
            </w:r>
          </w:p>
        </w:tc>
        <w:tc>
          <w:tcPr>
            <w:tcW w:w="691" w:type="dxa"/>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 xml:space="preserve">By: </w:t>
            </w:r>
          </w:p>
        </w:tc>
        <w:tc>
          <w:tcPr>
            <w:tcW w:w="1951" w:type="dxa"/>
            <w:tcBorders>
              <w:bottom w:val="single" w:sz="2" w:space="0" w:color="000000"/>
            </w:tcBorders>
            <w:tcMar>
              <w:bottom w:w="28" w:type="dxa"/>
            </w:tcMar>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/s/ Heather Plutino</w:t>
            </w:r>
          </w:p>
        </w:tc>
      </w:tr>
      <w:tr>
        <w:trPr/>
        <w:tc>
          <w:tcPr>
            <w:tcW w:w="1771" w:type="dxa"/>
            <w:tcBorders/>
            <w:vAlign w:val="center"/>
          </w:tcPr>
          <w:p>
            <w:pPr>
              <w:pStyle w:val="TableContents"/>
              <w:bidi w:val="0"/>
              <w:spacing w:lineRule="auto" w:line="328" w:before="0" w:after="22"/>
              <w:ind w:left="0" w:right="0" w:hanging="0"/>
              <w:jc w:val="left"/>
              <w:rPr/>
            </w:pPr>
            <w:r>
              <w:rPr/>
              <w:t>​</w:t>
            </w:r>
          </w:p>
        </w:tc>
        <w:tc>
          <w:tcPr>
            <w:tcW w:w="691" w:type="dxa"/>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 xml:space="preserve">Name: </w:t>
            </w:r>
          </w:p>
        </w:tc>
        <w:tc>
          <w:tcPr>
            <w:tcW w:w="1951" w:type="dxa"/>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Heather Plutino</w:t>
            </w:r>
          </w:p>
        </w:tc>
      </w:tr>
      <w:tr>
        <w:trPr/>
        <w:tc>
          <w:tcPr>
            <w:tcW w:w="1771" w:type="dxa"/>
            <w:tcBorders/>
            <w:vAlign w:val="center"/>
          </w:tcPr>
          <w:p>
            <w:pPr>
              <w:pStyle w:val="TableContents"/>
              <w:bidi w:val="0"/>
              <w:spacing w:lineRule="auto" w:line="328" w:before="0" w:after="22"/>
              <w:ind w:left="0" w:right="0" w:hanging="0"/>
              <w:jc w:val="left"/>
              <w:rPr/>
            </w:pPr>
            <w:r>
              <w:rPr/>
              <w:t>​</w:t>
            </w:r>
          </w:p>
        </w:tc>
        <w:tc>
          <w:tcPr>
            <w:tcW w:w="691" w:type="dxa"/>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 xml:space="preserve">Title: </w:t>
            </w:r>
          </w:p>
        </w:tc>
        <w:tc>
          <w:tcPr>
            <w:tcW w:w="1951" w:type="dxa"/>
            <w:tcBorders/>
            <w:vAlign w:val="center"/>
          </w:tcPr>
          <w:p>
            <w:pPr>
              <w:pStyle w:val="TableContents"/>
              <w:bidi w:val="0"/>
              <w:spacing w:lineRule="auto" w:line="328" w:before="0" w:after="22"/>
              <w:ind w:left="0" w:right="0" w:hanging="0"/>
              <w:jc w:val="left"/>
              <w:rPr>
                <w:rFonts w:ascii="Helvetica" w:hAnsi="Helvetica"/>
                <w:sz w:val="18"/>
              </w:rPr>
            </w:pPr>
            <w:r>
              <w:rPr>
                <w:rFonts w:ascii="Helvetica" w:hAnsi="Helvetica"/>
                <w:sz w:val="18"/>
              </w:rPr>
              <w:t>Chief Financial Officer</w:t>
            </w:r>
          </w:p>
        </w:tc>
      </w:tr>
    </w:tbl>
    <w:p>
      <w:pPr>
        <w:pStyle w:val="TextBody"/>
        <w:bidi w:val="0"/>
        <w:spacing w:before="0" w:after="22"/>
        <w:ind w:left="0" w:right="0" w:hanging="0"/>
        <w:jc w:val="left"/>
        <w:rPr/>
      </w:pPr>
      <w:r>
        <w:rPr/>
        <w:t>​</w:t>
      </w:r>
    </w:p>
    <w:p>
      <w:pPr>
        <w:pStyle w:val="TextBody"/>
        <w:bidi w:val="0"/>
        <w:spacing w:before="0" w:after="22"/>
        <w:ind w:left="0" w:right="0" w:hanging="0"/>
        <w:jc w:val="left"/>
        <w:rPr/>
      </w:pPr>
      <w:r>
        <w:rPr/>
        <w:t>​</w:t>
      </w:r>
    </w:p>
    <w:p>
      <w:pPr>
        <w:pStyle w:val="TextBody"/>
        <w:bidi w:val="0"/>
        <w:spacing w:before="0" w:after="22"/>
        <w:ind w:left="0" w:right="0" w:hanging="0"/>
        <w:jc w:val="left"/>
        <w:rPr/>
      </w:pPr>
      <w:r>
        <w:rPr/>
        <w:t>​</w:t>
      </w:r>
    </w:p>
    <w:p>
      <w:pPr>
        <w:pStyle w:val="TextBody"/>
        <w:bidi w:val="0"/>
        <w:spacing w:before="0" w:after="22"/>
        <w:ind w:left="0" w:right="0" w:hanging="0"/>
        <w:jc w:val="left"/>
        <w:rPr/>
      </w:pPr>
      <w:r>
        <w:rPr/>
        <w:t>​</w:t>
      </w:r>
    </w:p>
    <w:p>
      <w:pPr>
        <w:pStyle w:val="TextBody"/>
        <w:bidi w:val="0"/>
        <w:spacing w:before="0" w:after="22"/>
        <w:ind w:left="0" w:right="0" w:hanging="0"/>
        <w:jc w:val="left"/>
        <w:rPr/>
      </w:pPr>
      <w:r>
        <w:rPr/>
        <w:t>​</w:t>
      </w:r>
    </w:p>
    <w:p>
      <w:pPr>
        <w:pStyle w:val="TextBody"/>
        <w:bidi w:val="0"/>
        <w:spacing w:before="0" w:after="22"/>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0"/>
        <w:ind w:left="0" w:right="0" w:hanging="0"/>
        <w:jc w:val="right"/>
        <w:rPr>
          <w:rFonts w:ascii="Times New Roman;Times;serif" w:hAnsi="Times New Roman;Times;serif"/>
          <w:b/>
          <w:sz w:val="20"/>
        </w:rPr>
      </w:pPr>
      <w:bookmarkStart w:id="689" w:name="ctrn-20250503xex31d1.htm"/>
      <w:bookmarkStart w:id="690" w:name="ksctrn20250503xex31d1"/>
      <w:bookmarkEnd w:id="689"/>
      <w:bookmarkEnd w:id="690"/>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I, Kenneth D. Seipel, certify that:</w:t>
      </w:r>
    </w:p>
    <w:p>
      <w:pPr>
        <w:pStyle w:val="TextBody"/>
        <w:bidi w:val="0"/>
        <w:spacing w:lineRule="auto" w:line="285" w:before="0" w:after="0"/>
        <w:ind w:left="0" w:right="0" w:hanging="0"/>
        <w:jc w:val="left"/>
        <w:rPr/>
      </w:pPr>
      <w:r>
        <w:rPr/>
        <w:t>​</w:t>
      </w:r>
    </w:p>
    <w:tbl>
      <w:tblPr>
        <w:tblW w:w="8770" w:type="dxa"/>
        <w:jc w:val="left"/>
        <w:tblInd w:w="0" w:type="dxa"/>
        <w:tblLayout w:type="fixed"/>
        <w:tblCellMar>
          <w:top w:w="0" w:type="dxa"/>
          <w:left w:w="0" w:type="dxa"/>
          <w:bottom w:w="0" w:type="dxa"/>
          <w:right w:w="0" w:type="dxa"/>
        </w:tblCellMar>
      </w:tblPr>
      <w:tblGrid>
        <w:gridCol w:w="170"/>
        <w:gridCol w:w="8600"/>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860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May 3, 2025 of Citi Trends,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June 11, 2025</w:t>
      </w:r>
    </w:p>
    <w:p>
      <w:pPr>
        <w:pStyle w:val="TextBody"/>
        <w:bidi w:val="0"/>
        <w:spacing w:lineRule="auto" w:line="285" w:before="0" w:after="0"/>
        <w:ind w:left="0" w:right="0" w:hanging="0"/>
        <w:jc w:val="left"/>
        <w:rPr/>
      </w:pPr>
      <w:r>
        <w:rPr/>
        <w:t>​</w:t>
      </w:r>
    </w:p>
    <w:tbl>
      <w:tblPr>
        <w:tblW w:w="3785" w:type="dxa"/>
        <w:jc w:val="left"/>
        <w:tblInd w:w="0" w:type="dxa"/>
        <w:tblLayout w:type="fixed"/>
        <w:tblCellMar>
          <w:top w:w="0" w:type="dxa"/>
          <w:left w:w="0" w:type="dxa"/>
          <w:bottom w:w="0" w:type="dxa"/>
          <w:right w:w="0" w:type="dxa"/>
        </w:tblCellMar>
      </w:tblPr>
      <w:tblGrid>
        <w:gridCol w:w="3631"/>
        <w:gridCol w:w="154"/>
      </w:tblGrid>
      <w:tr>
        <w:trPr/>
        <w:tc>
          <w:tcPr>
            <w:tcW w:w="363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Kenneth D. Seipel</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Kenneth D. Seipel</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Chairman</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691" w:name="ctrn-20250503xex31d2.htm"/>
      <w:bookmarkStart w:id="692" w:name="ksctrn20250503xex31d2"/>
      <w:bookmarkEnd w:id="691"/>
      <w:bookmarkEnd w:id="692"/>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I, Heather Plutino, certify that:</w:t>
      </w:r>
    </w:p>
    <w:p>
      <w:pPr>
        <w:pStyle w:val="TextBody"/>
        <w:bidi w:val="0"/>
        <w:spacing w:lineRule="auto" w:line="285" w:before="0" w:after="0"/>
        <w:ind w:left="0" w:right="0" w:hanging="0"/>
        <w:jc w:val="left"/>
        <w:rPr/>
      </w:pPr>
      <w:r>
        <w:rPr/>
        <w:t>​</w:t>
      </w:r>
    </w:p>
    <w:tbl>
      <w:tblPr>
        <w:tblW w:w="8770" w:type="dxa"/>
        <w:jc w:val="left"/>
        <w:tblInd w:w="0" w:type="dxa"/>
        <w:tblLayout w:type="fixed"/>
        <w:tblCellMar>
          <w:top w:w="0" w:type="dxa"/>
          <w:left w:w="0" w:type="dxa"/>
          <w:bottom w:w="0" w:type="dxa"/>
          <w:right w:w="0" w:type="dxa"/>
        </w:tblCellMar>
      </w:tblPr>
      <w:tblGrid>
        <w:gridCol w:w="170"/>
        <w:gridCol w:w="8600"/>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860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May 3, 2025 of Citi Trends,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June 11, 2025</w:t>
      </w:r>
    </w:p>
    <w:p>
      <w:pPr>
        <w:pStyle w:val="TextBody"/>
        <w:bidi w:val="0"/>
        <w:spacing w:lineRule="auto" w:line="285" w:before="0" w:after="0"/>
        <w:ind w:left="0" w:right="0" w:hanging="0"/>
        <w:jc w:val="left"/>
        <w:rPr/>
      </w:pPr>
      <w:r>
        <w:rPr/>
        <w:t>​</w:t>
      </w:r>
    </w:p>
    <w:tbl>
      <w:tblPr>
        <w:tblW w:w="2431" w:type="dxa"/>
        <w:jc w:val="left"/>
        <w:tblInd w:w="0" w:type="dxa"/>
        <w:tblLayout w:type="fixed"/>
        <w:tblCellMar>
          <w:top w:w="0" w:type="dxa"/>
          <w:left w:w="0" w:type="dxa"/>
          <w:bottom w:w="0" w:type="dxa"/>
          <w:right w:w="0" w:type="dxa"/>
        </w:tblCellMar>
      </w:tblPr>
      <w:tblGrid>
        <w:gridCol w:w="2431"/>
      </w:tblGrid>
      <w:tr>
        <w:trPr/>
        <w:tc>
          <w:tcPr>
            <w:tcW w:w="2431" w:type="dxa"/>
            <w:tcBorders/>
            <w:vAlign w:val="center"/>
          </w:tcPr>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tc>
      </w:tr>
      <w:tr>
        <w:trPr/>
        <w:tc>
          <w:tcPr>
            <w:tcW w:w="243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 Heather Plutino</w:t>
            </w:r>
          </w:p>
        </w:tc>
      </w:tr>
      <w:tr>
        <w:trPr/>
        <w:tc>
          <w:tcPr>
            <w:tcW w:w="2431" w:type="dxa"/>
            <w:tcBorders/>
            <w:vAlign w:val="center"/>
          </w:tcPr>
          <w:p>
            <w:pPr>
              <w:pStyle w:val="TableContents"/>
              <w:bidi w:val="0"/>
              <w:spacing w:lineRule="auto" w:line="304"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Heather Plutino</w:t>
            </w:r>
          </w:p>
        </w:tc>
      </w:tr>
      <w:tr>
        <w:trPr/>
        <w:tc>
          <w:tcPr>
            <w:tcW w:w="2431" w:type="dxa"/>
            <w:tcBorders/>
            <w:vAlign w:val="center"/>
          </w:tcPr>
          <w:p>
            <w:pPr>
              <w:pStyle w:val="TableContents"/>
              <w:bidi w:val="0"/>
              <w:spacing w:lineRule="auto" w:line="304"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2431" w:type="dxa"/>
            <w:tcBorders/>
            <w:vAlign w:val="center"/>
          </w:tcPr>
          <w:p>
            <w:pPr>
              <w:pStyle w:val="TableContents"/>
              <w:bidi w:val="0"/>
              <w:spacing w:lineRule="auto" w:line="304"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693" w:name="ctrn-20250503xex32d1.htm"/>
      <w:bookmarkStart w:id="694" w:name="ksctrn20250503xex32d1"/>
      <w:bookmarkEnd w:id="693"/>
      <w:bookmarkEnd w:id="694"/>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Certifications pursuant to Section 906 of the Sarbanes-Oxley Act of 2002 (18 U.S.C. § 1350, as adopted).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 Kenneth D. Seipel, Chief Executive Officer of Citi Trends, Inc.,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Heather Plutino, Interim Chief Financial Officer of Citi Trends, Inc.,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 We have reviewed this quarterly report on Form 10-Q of Citi Trends, Inc. for the period ended May 3, 2025;</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 Based on our knowledge, this quarterly report fully complies with the requirements of Section 13(a) or Section 15(d) of the Securities Exchange Act of 1934, as amended;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 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pStyle w:val="TextBody"/>
        <w:bidi w:val="0"/>
        <w:spacing w:lineRule="auto" w:line="285" w:before="0" w:after="0"/>
        <w:ind w:left="0" w:right="0" w:hanging="0"/>
        <w:jc w:val="left"/>
        <w:rPr/>
      </w:pPr>
      <w:r>
        <w:rPr/>
        <w:t>​</w:t>
      </w:r>
    </w:p>
    <w:tbl>
      <w:tblPr>
        <w:tblW w:w="5402" w:type="dxa"/>
        <w:jc w:val="left"/>
        <w:tblInd w:w="0" w:type="dxa"/>
        <w:tblLayout w:type="fixed"/>
        <w:tblCellMar>
          <w:top w:w="0" w:type="dxa"/>
          <w:left w:w="0" w:type="dxa"/>
          <w:bottom w:w="0" w:type="dxa"/>
          <w:right w:w="0" w:type="dxa"/>
        </w:tblCellMar>
      </w:tblPr>
      <w:tblGrid>
        <w:gridCol w:w="1741"/>
        <w:gridCol w:w="3661"/>
      </w:tblGrid>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June 11, 2025</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Kenneth D. Seipel</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Kenneth D. Seipel</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Chairman</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June 11, 2025</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Heather Plutino</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Heather Plutino</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Citi Trends, Inc. and will be retained by Citi Trends,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18484/000110465918038871/a18-15022_1ex3d1.htm" TargetMode="External"/><Relationship Id="rId3" Type="http://schemas.openxmlformats.org/officeDocument/2006/relationships/hyperlink" Target="http://www.sec.gov/Archives/edgar/data/1318484/000110465918038871/a18-15022_1ex3d1.htm" TargetMode="External"/><Relationship Id="rId4" Type="http://schemas.openxmlformats.org/officeDocument/2006/relationships/hyperlink" Target="http://www.sec.gov/Archives/edgar/data/1318484/000110465918038871/a18-15022_1ex3d1.htm" TargetMode="External"/><Relationship Id="rId5" Type="http://schemas.openxmlformats.org/officeDocument/2006/relationships/hyperlink" Target="https://www.sec.gov/Archives/edgar/data/1318484/000110465922113020/tm2229093d1_ex3-2.htm" TargetMode="External"/><Relationship Id="rId6" Type="http://schemas.openxmlformats.org/officeDocument/2006/relationships/hyperlink" Target="https://www.sec.gov/Archives/edgar/data/1318484/000110465922113020/tm2229093d1_ex3-2.htm" TargetMode="External"/><Relationship Id="rId7" Type="http://schemas.openxmlformats.org/officeDocument/2006/relationships/hyperlink" Target="https://www.sec.gov/Archives/edgar/data/1318484/000110465922113020/tm2229093d1_ex3-2.htm" TargetMode="External"/><Relationship Id="rId8" Type="http://schemas.openxmlformats.org/officeDocument/2006/relationships/hyperlink" Target="https://www.sec.gov/Archives/edgar/data/1318484/000110465925028777/tm2510591d1_ex10-1.htm" TargetMode="External"/><Relationship Id="rId9" Type="http://schemas.openxmlformats.org/officeDocument/2006/relationships/hyperlink" Target="https://www.sec.gov/Archives/edgar/data/1318484/000110465925028777/tm2510591d1_ex10-1.htm" TargetMode="External"/><Relationship Id="rId10" Type="http://schemas.openxmlformats.org/officeDocument/2006/relationships/hyperlink" Target="https://www.sec.gov/Archives/edgar/data/1318484/000110465925028777/tm2510591d1_ex10-1.htm" TargetMode="External"/><Relationship Id="rId11" Type="http://schemas.openxmlformats.org/officeDocument/2006/relationships/hyperlink" Target="https://www.sec.gov/Archives/edgar/data/1318484/000110465925035185/tm2512374d1_ex10-1.htm" TargetMode="External"/><Relationship Id="rId12" Type="http://schemas.openxmlformats.org/officeDocument/2006/relationships/hyperlink" Target="https://www.sec.gov/Archives/edgar/data/1318484/000110465925035185/tm2512374d1_ex10-1.htm" TargetMode="External"/><Relationship Id="rId13" Type="http://schemas.openxmlformats.org/officeDocument/2006/relationships/hyperlink" Target="https://www.sec.gov/Archives/edgar/data/1318484/000110465925035185/tm2512374d1_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8970</Words>
  <Characters>49579</Characters>
  <CharactersWithSpaces>59208</CharactersWithSpaces>
  <Paragraphs>2558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