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97" w:lineRule="exact"/>
        <w:rPr>
          <w:sz w:val="24"/>
          <w:szCs w:val="24"/>
          <w:color w:val="auto"/>
        </w:rPr>
      </w:pPr>
    </w:p>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325120</wp:posOffset>
            </wp:positionV>
            <wp:extent cx="6296025"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6025" cy="317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365125</wp:posOffset>
            </wp:positionV>
            <wp:extent cx="62960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6025" cy="8255"/>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UNITED STATES</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Washington, D.C. 20549</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Form 10-Q</w:t>
      </w:r>
    </w:p>
    <w:p>
      <w:pPr>
        <w:spacing w:after="0" w:line="1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266" w:lineRule="exact"/>
        <w:rPr>
          <w:sz w:val="24"/>
          <w:szCs w:val="24"/>
          <w:color w:val="auto"/>
        </w:rPr>
      </w:pPr>
    </w:p>
    <w:p>
      <w:pPr>
        <w:ind w:left="660" w:hanging="396"/>
        <w:spacing w:after="0"/>
        <w:tabs>
          <w:tab w:leader="none" w:pos="660"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QUARTERLY REPORT PURSUANT TO SECTION 13 OR 15(d) OF THE SECURITIES EXCHANGE ACT OF 1934</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For the quarterly period ended November 2, 2024</w:t>
      </w:r>
    </w:p>
    <w:p>
      <w:pPr>
        <w:spacing w:after="0" w:line="91"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OR</w:t>
      </w:r>
    </w:p>
    <w:p>
      <w:pPr>
        <w:spacing w:after="0" w:line="280" w:lineRule="exact"/>
        <w:rPr>
          <w:sz w:val="24"/>
          <w:szCs w:val="24"/>
          <w:color w:val="auto"/>
        </w:rPr>
      </w:pPr>
    </w:p>
    <w:p>
      <w:pPr>
        <w:ind w:left="3680" w:right="1540" w:hanging="3416"/>
        <w:spacing w:after="0" w:line="454" w:lineRule="auto"/>
        <w:tabs>
          <w:tab w:leader="none" w:pos="667"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TRANSITION REPORT PURSUANT TO SECTION 13 OR 15(d) OF THE SECURITIES EXCHANGE ACT OF 1934 Commission File Number 000-41886</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CITI TRENDS, INC.</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5"/>
          <w:szCs w:val="15"/>
          <w:color w:val="auto"/>
        </w:rPr>
        <w:t>(Exact name of registrant as specified in its charter)</w:t>
      </w:r>
    </w:p>
    <w:p>
      <w:pPr>
        <w:spacing w:after="0" w:line="354" w:lineRule="exact"/>
        <w:rPr>
          <w:sz w:val="24"/>
          <w:szCs w:val="24"/>
          <w:color w:val="auto"/>
        </w:rPr>
      </w:pPr>
    </w:p>
    <w:tbl>
      <w:tblPr>
        <w:tblLayout w:type="fixed"/>
        <w:tblInd w:w="1140" w:type="dxa"/>
        <w:tblCellMar>
          <w:top w:w="0" w:type="dxa"/>
          <w:left w:w="0" w:type="dxa"/>
          <w:bottom w:w="0" w:type="dxa"/>
          <w:right w:w="0" w:type="dxa"/>
        </w:tblCellMar>
      </w:tblPr>
      <w:tr>
        <w:trPr>
          <w:trHeight w:val="176"/>
        </w:trPr>
        <w:tc>
          <w:tcPr>
            <w:tcW w:w="4180" w:type="dxa"/>
            <w:vAlign w:val="bottom"/>
          </w:tcPr>
          <w:p>
            <w:pPr>
              <w:jc w:val="center"/>
              <w:ind w:right="1525"/>
              <w:spacing w:after="0"/>
              <w:rPr>
                <w:sz w:val="20"/>
                <w:szCs w:val="20"/>
                <w:color w:val="auto"/>
              </w:rPr>
            </w:pPr>
            <w:r>
              <w:rPr>
                <w:rFonts w:ascii="Arial" w:cs="Arial" w:eastAsia="Arial" w:hAnsi="Arial"/>
                <w:sz w:val="15"/>
                <w:szCs w:val="15"/>
                <w:b w:val="1"/>
                <w:bCs w:val="1"/>
                <w:color w:val="auto"/>
              </w:rPr>
              <w:t>Delaware</w:t>
            </w:r>
          </w:p>
        </w:tc>
        <w:tc>
          <w:tcPr>
            <w:tcW w:w="2760" w:type="dxa"/>
            <w:vAlign w:val="bottom"/>
          </w:tcPr>
          <w:p>
            <w:pPr>
              <w:jc w:val="right"/>
              <w:ind w:right="105"/>
              <w:spacing w:after="0"/>
              <w:rPr>
                <w:sz w:val="20"/>
                <w:szCs w:val="20"/>
                <w:color w:val="auto"/>
              </w:rPr>
            </w:pPr>
            <w:r>
              <w:rPr>
                <w:rFonts w:ascii="Arial" w:cs="Arial" w:eastAsia="Arial" w:hAnsi="Arial"/>
                <w:sz w:val="15"/>
                <w:szCs w:val="15"/>
                <w:b w:val="1"/>
                <w:bCs w:val="1"/>
                <w:color w:val="auto"/>
              </w:rPr>
              <w:t>52-2150697</w:t>
            </w:r>
          </w:p>
        </w:tc>
      </w:tr>
      <w:tr>
        <w:trPr>
          <w:trHeight w:val="176"/>
        </w:trPr>
        <w:tc>
          <w:tcPr>
            <w:tcW w:w="4180" w:type="dxa"/>
            <w:vAlign w:val="bottom"/>
          </w:tcPr>
          <w:p>
            <w:pPr>
              <w:jc w:val="center"/>
              <w:ind w:right="1505"/>
              <w:spacing w:after="0"/>
              <w:rPr>
                <w:sz w:val="20"/>
                <w:szCs w:val="20"/>
                <w:color w:val="auto"/>
              </w:rPr>
            </w:pPr>
            <w:r>
              <w:rPr>
                <w:rFonts w:ascii="Arial" w:cs="Arial" w:eastAsia="Arial" w:hAnsi="Arial"/>
                <w:sz w:val="15"/>
                <w:szCs w:val="15"/>
                <w:color w:val="auto"/>
              </w:rPr>
              <w:t>(State or other jurisdiction of</w:t>
            </w:r>
          </w:p>
        </w:tc>
        <w:tc>
          <w:tcPr>
            <w:tcW w:w="2760" w:type="dxa"/>
            <w:vAlign w:val="bottom"/>
          </w:tcPr>
          <w:p>
            <w:pPr>
              <w:jc w:val="center"/>
              <w:ind w:left="1505"/>
              <w:spacing w:after="0"/>
              <w:rPr>
                <w:sz w:val="20"/>
                <w:szCs w:val="20"/>
                <w:color w:val="auto"/>
              </w:rPr>
            </w:pPr>
            <w:r>
              <w:rPr>
                <w:rFonts w:ascii="Arial" w:cs="Arial" w:eastAsia="Arial" w:hAnsi="Arial"/>
                <w:sz w:val="15"/>
                <w:szCs w:val="15"/>
                <w:color w:val="auto"/>
                <w:w w:val="99"/>
              </w:rPr>
              <w:t>(I.R.S. Employer</w:t>
            </w:r>
          </w:p>
        </w:tc>
      </w:tr>
      <w:tr>
        <w:trPr>
          <w:trHeight w:val="198"/>
        </w:trPr>
        <w:tc>
          <w:tcPr>
            <w:tcW w:w="4180" w:type="dxa"/>
            <w:vAlign w:val="bottom"/>
          </w:tcPr>
          <w:p>
            <w:pPr>
              <w:jc w:val="center"/>
              <w:ind w:right="1505"/>
              <w:spacing w:after="0"/>
              <w:rPr>
                <w:sz w:val="20"/>
                <w:szCs w:val="20"/>
                <w:color w:val="auto"/>
              </w:rPr>
            </w:pPr>
            <w:r>
              <w:rPr>
                <w:rFonts w:ascii="Arial" w:cs="Arial" w:eastAsia="Arial" w:hAnsi="Arial"/>
                <w:sz w:val="15"/>
                <w:szCs w:val="15"/>
                <w:color w:val="auto"/>
              </w:rPr>
              <w:t>incorporation or organization)</w:t>
            </w:r>
          </w:p>
        </w:tc>
        <w:tc>
          <w:tcPr>
            <w:tcW w:w="2760" w:type="dxa"/>
            <w:vAlign w:val="bottom"/>
          </w:tcPr>
          <w:p>
            <w:pPr>
              <w:jc w:val="center"/>
              <w:ind w:left="1505"/>
              <w:spacing w:after="0"/>
              <w:rPr>
                <w:sz w:val="20"/>
                <w:szCs w:val="20"/>
                <w:color w:val="auto"/>
              </w:rPr>
            </w:pPr>
            <w:r>
              <w:rPr>
                <w:rFonts w:ascii="Arial" w:cs="Arial" w:eastAsia="Arial" w:hAnsi="Arial"/>
                <w:sz w:val="15"/>
                <w:szCs w:val="15"/>
                <w:color w:val="auto"/>
              </w:rPr>
              <w:t>Identification No.)</w:t>
            </w:r>
          </w:p>
        </w:tc>
      </w:tr>
      <w:tr>
        <w:trPr>
          <w:trHeight w:val="329"/>
        </w:trPr>
        <w:tc>
          <w:tcPr>
            <w:tcW w:w="4180" w:type="dxa"/>
            <w:vAlign w:val="bottom"/>
          </w:tcPr>
          <w:p>
            <w:pPr>
              <w:jc w:val="center"/>
              <w:ind w:right="1505"/>
              <w:spacing w:after="0"/>
              <w:rPr>
                <w:sz w:val="20"/>
                <w:szCs w:val="20"/>
                <w:color w:val="auto"/>
              </w:rPr>
            </w:pPr>
            <w:r>
              <w:rPr>
                <w:rFonts w:ascii="Arial" w:cs="Arial" w:eastAsia="Arial" w:hAnsi="Arial"/>
                <w:sz w:val="15"/>
                <w:szCs w:val="15"/>
                <w:b w:val="1"/>
                <w:bCs w:val="1"/>
                <w:color w:val="auto"/>
              </w:rPr>
              <w:t>104 Coleman Boulevard</w:t>
            </w:r>
          </w:p>
        </w:tc>
        <w:tc>
          <w:tcPr>
            <w:tcW w:w="2760" w:type="dxa"/>
            <w:vAlign w:val="bottom"/>
          </w:tcPr>
          <w:p>
            <w:pPr>
              <w:spacing w:after="0"/>
              <w:rPr>
                <w:sz w:val="24"/>
                <w:szCs w:val="24"/>
                <w:color w:val="auto"/>
              </w:rPr>
            </w:pPr>
          </w:p>
        </w:tc>
      </w:tr>
      <w:tr>
        <w:trPr>
          <w:trHeight w:val="176"/>
        </w:trPr>
        <w:tc>
          <w:tcPr>
            <w:tcW w:w="4180" w:type="dxa"/>
            <w:vAlign w:val="bottom"/>
          </w:tcPr>
          <w:p>
            <w:pPr>
              <w:jc w:val="center"/>
              <w:ind w:right="1505"/>
              <w:spacing w:after="0"/>
              <w:rPr>
                <w:sz w:val="20"/>
                <w:szCs w:val="20"/>
                <w:color w:val="auto"/>
              </w:rPr>
            </w:pPr>
            <w:r>
              <w:rPr>
                <w:rFonts w:ascii="Arial" w:cs="Arial" w:eastAsia="Arial" w:hAnsi="Arial"/>
                <w:sz w:val="15"/>
                <w:szCs w:val="15"/>
                <w:b w:val="1"/>
                <w:bCs w:val="1"/>
                <w:color w:val="auto"/>
              </w:rPr>
              <w:t>Savannah, Georgia</w:t>
            </w:r>
          </w:p>
        </w:tc>
        <w:tc>
          <w:tcPr>
            <w:tcW w:w="2760" w:type="dxa"/>
            <w:vAlign w:val="bottom"/>
          </w:tcPr>
          <w:p>
            <w:pPr>
              <w:jc w:val="right"/>
              <w:ind w:right="305"/>
              <w:spacing w:after="0"/>
              <w:rPr>
                <w:sz w:val="20"/>
                <w:szCs w:val="20"/>
                <w:color w:val="auto"/>
              </w:rPr>
            </w:pPr>
            <w:r>
              <w:rPr>
                <w:rFonts w:ascii="Arial" w:cs="Arial" w:eastAsia="Arial" w:hAnsi="Arial"/>
                <w:sz w:val="15"/>
                <w:szCs w:val="15"/>
                <w:b w:val="1"/>
                <w:bCs w:val="1"/>
                <w:color w:val="auto"/>
              </w:rPr>
              <w:t>31408</w:t>
            </w:r>
          </w:p>
        </w:tc>
      </w:tr>
      <w:tr>
        <w:trPr>
          <w:trHeight w:val="198"/>
        </w:trPr>
        <w:tc>
          <w:tcPr>
            <w:tcW w:w="4180" w:type="dxa"/>
            <w:vAlign w:val="bottom"/>
          </w:tcPr>
          <w:p>
            <w:pPr>
              <w:jc w:val="center"/>
              <w:ind w:right="1525"/>
              <w:spacing w:after="0"/>
              <w:rPr>
                <w:sz w:val="20"/>
                <w:szCs w:val="20"/>
                <w:color w:val="auto"/>
              </w:rPr>
            </w:pPr>
            <w:r>
              <w:rPr>
                <w:rFonts w:ascii="Arial" w:cs="Arial" w:eastAsia="Arial" w:hAnsi="Arial"/>
                <w:sz w:val="15"/>
                <w:szCs w:val="15"/>
                <w:color w:val="auto"/>
              </w:rPr>
              <w:t>(Address of principal executive offices)</w:t>
            </w:r>
          </w:p>
        </w:tc>
        <w:tc>
          <w:tcPr>
            <w:tcW w:w="2760" w:type="dxa"/>
            <w:vAlign w:val="bottom"/>
          </w:tcPr>
          <w:p>
            <w:pPr>
              <w:jc w:val="center"/>
              <w:ind w:left="1525"/>
              <w:spacing w:after="0"/>
              <w:rPr>
                <w:sz w:val="20"/>
                <w:szCs w:val="20"/>
                <w:color w:val="auto"/>
              </w:rPr>
            </w:pPr>
            <w:r>
              <w:rPr>
                <w:rFonts w:ascii="Arial" w:cs="Arial" w:eastAsia="Arial" w:hAnsi="Arial"/>
                <w:sz w:val="15"/>
                <w:szCs w:val="15"/>
                <w:color w:val="auto"/>
              </w:rPr>
              <w:t>(Zip Code)</w:t>
            </w:r>
          </w:p>
        </w:tc>
      </w:tr>
    </w:tbl>
    <w:p>
      <w:pPr>
        <w:spacing w:after="0" w:line="91" w:lineRule="exact"/>
        <w:rPr>
          <w:sz w:val="24"/>
          <w:szCs w:val="24"/>
          <w:color w:val="auto"/>
        </w:rPr>
      </w:pPr>
    </w:p>
    <w:p>
      <w:pPr>
        <w:jc w:val="center"/>
        <w:ind w:right="20"/>
        <w:spacing w:after="0"/>
        <w:rPr>
          <w:sz w:val="20"/>
          <w:szCs w:val="20"/>
          <w:color w:val="auto"/>
        </w:rPr>
      </w:pPr>
      <w:r>
        <w:rPr>
          <w:rFonts w:ascii="Arial" w:cs="Arial" w:eastAsia="Arial" w:hAnsi="Arial"/>
          <w:sz w:val="15"/>
          <w:szCs w:val="15"/>
          <w:color w:val="auto"/>
        </w:rPr>
        <w:t>Registrant’s telephone number, including area code (</w:t>
      </w:r>
      <w:r>
        <w:rPr>
          <w:rFonts w:ascii="Arial" w:cs="Arial" w:eastAsia="Arial" w:hAnsi="Arial"/>
          <w:sz w:val="15"/>
          <w:szCs w:val="15"/>
          <w:b w:val="1"/>
          <w:bCs w:val="1"/>
          <w:color w:val="auto"/>
        </w:rPr>
        <w:t>912) 236-1561</w:t>
      </w:r>
    </w:p>
    <w:p>
      <w:pPr>
        <w:spacing w:after="0" w:line="318"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159" w:lineRule="exact"/>
        <w:rPr>
          <w:sz w:val="24"/>
          <w:szCs w:val="24"/>
          <w:color w:val="auto"/>
        </w:rPr>
      </w:pPr>
    </w:p>
    <w:tbl>
      <w:tblPr>
        <w:tblLayout w:type="fixed"/>
        <w:tblInd w:w="10" w:type="dxa"/>
        <w:tblCellMar>
          <w:top w:w="0" w:type="dxa"/>
          <w:left w:w="0" w:type="dxa"/>
          <w:bottom w:w="0" w:type="dxa"/>
          <w:right w:w="0" w:type="dxa"/>
        </w:tblCellMar>
      </w:tblPr>
      <w:tr>
        <w:trPr>
          <w:trHeight w:val="188"/>
        </w:trPr>
        <w:tc>
          <w:tcPr>
            <w:tcW w:w="3140" w:type="dxa"/>
            <w:vAlign w:val="bottom"/>
            <w:tcBorders>
              <w:top w:val="single" w:sz="8" w:color="auto"/>
              <w:left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rPr>
              <w:t>Title of each class</w:t>
            </w:r>
          </w:p>
        </w:tc>
        <w:tc>
          <w:tcPr>
            <w:tcW w:w="256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rPr>
              <w:t>Trading symbol</w:t>
            </w:r>
          </w:p>
        </w:tc>
        <w:tc>
          <w:tcPr>
            <w:tcW w:w="4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168"/>
        </w:trPr>
        <w:tc>
          <w:tcPr>
            <w:tcW w:w="2900" w:type="dxa"/>
            <w:vAlign w:val="bottom"/>
            <w:tcBorders>
              <w:top w:val="single" w:sz="8" w:color="auto"/>
              <w:left w:val="single" w:sz="8" w:color="auto"/>
              <w:bottom w:val="single" w:sz="8" w:color="auto"/>
            </w:tcBorders>
          </w:tcPr>
          <w:p>
            <w:pPr>
              <w:jc w:val="center"/>
              <w:spacing w:after="0" w:line="169" w:lineRule="exact"/>
              <w:rPr>
                <w:sz w:val="20"/>
                <w:szCs w:val="20"/>
                <w:color w:val="auto"/>
              </w:rPr>
            </w:pPr>
            <w:r>
              <w:rPr>
                <w:rFonts w:ascii="Arial" w:cs="Arial" w:eastAsia="Arial" w:hAnsi="Arial"/>
                <w:sz w:val="15"/>
                <w:szCs w:val="15"/>
                <w:color w:val="auto"/>
              </w:rPr>
              <w:t>Common Stock, $0.01 par value</w:t>
            </w:r>
          </w:p>
        </w:tc>
        <w:tc>
          <w:tcPr>
            <w:tcW w:w="240" w:type="dxa"/>
            <w:vAlign w:val="bottom"/>
            <w:tcBorders>
              <w:bottom w:val="single" w:sz="8" w:color="auto"/>
            </w:tcBorders>
          </w:tcPr>
          <w:p>
            <w:pPr>
              <w:spacing w:after="0"/>
              <w:rPr>
                <w:sz w:val="14"/>
                <w:szCs w:val="14"/>
                <w:color w:val="auto"/>
              </w:rPr>
            </w:pPr>
          </w:p>
        </w:tc>
        <w:tc>
          <w:tcPr>
            <w:tcW w:w="2320" w:type="dxa"/>
            <w:vAlign w:val="bottom"/>
            <w:tcBorders>
              <w:top w:val="single" w:sz="8" w:color="auto"/>
              <w:bottom w:val="single" w:sz="8" w:color="auto"/>
            </w:tcBorders>
          </w:tcPr>
          <w:p>
            <w:pPr>
              <w:jc w:val="center"/>
              <w:spacing w:after="0" w:line="169" w:lineRule="exact"/>
              <w:rPr>
                <w:sz w:val="20"/>
                <w:szCs w:val="20"/>
                <w:color w:val="auto"/>
              </w:rPr>
            </w:pPr>
            <w:r>
              <w:rPr>
                <w:rFonts w:ascii="Arial" w:cs="Arial" w:eastAsia="Arial" w:hAnsi="Arial"/>
                <w:sz w:val="15"/>
                <w:szCs w:val="15"/>
                <w:color w:val="auto"/>
              </w:rPr>
              <w:t>CTRN</w:t>
            </w:r>
          </w:p>
        </w:tc>
        <w:tc>
          <w:tcPr>
            <w:tcW w:w="240" w:type="dxa"/>
            <w:vAlign w:val="bottom"/>
            <w:tcBorders>
              <w:bottom w:val="single" w:sz="8" w:color="auto"/>
            </w:tcBorders>
          </w:tcPr>
          <w:p>
            <w:pPr>
              <w:spacing w:after="0"/>
              <w:rPr>
                <w:sz w:val="14"/>
                <w:szCs w:val="14"/>
                <w:color w:val="auto"/>
              </w:rPr>
            </w:pPr>
          </w:p>
        </w:tc>
        <w:tc>
          <w:tcPr>
            <w:tcW w:w="4240" w:type="dxa"/>
            <w:vAlign w:val="bottom"/>
            <w:tcBorders>
              <w:top w:val="single" w:sz="8" w:color="auto"/>
              <w:bottom w:val="single" w:sz="8" w:color="auto"/>
              <w:right w:val="single" w:sz="8" w:color="auto"/>
            </w:tcBorders>
          </w:tcPr>
          <w:p>
            <w:pPr>
              <w:jc w:val="center"/>
              <w:spacing w:after="0" w:line="169" w:lineRule="exact"/>
              <w:rPr>
                <w:sz w:val="20"/>
                <w:szCs w:val="20"/>
                <w:color w:val="auto"/>
              </w:rPr>
            </w:pPr>
            <w:r>
              <w:rPr>
                <w:rFonts w:ascii="Arial" w:cs="Arial" w:eastAsia="Arial" w:hAnsi="Arial"/>
                <w:sz w:val="15"/>
                <w:szCs w:val="15"/>
                <w:color w:val="auto"/>
              </w:rPr>
              <w:t>NASDAQ Stock Market</w:t>
            </w:r>
          </w:p>
        </w:tc>
      </w:tr>
    </w:tbl>
    <w:p>
      <w:pPr>
        <w:spacing w:after="0" w:line="76" w:lineRule="exact"/>
        <w:rPr>
          <w:sz w:val="24"/>
          <w:szCs w:val="24"/>
          <w:color w:val="auto"/>
        </w:rPr>
      </w:pPr>
    </w:p>
    <w:p>
      <w:pPr>
        <w:jc w:val="both"/>
        <w:ind w:right="280"/>
        <w:spacing w:after="0" w:line="199"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4" w:lineRule="exact"/>
        <w:rPr>
          <w:sz w:val="24"/>
          <w:szCs w:val="24"/>
          <w:color w:val="auto"/>
        </w:rPr>
      </w:pPr>
    </w:p>
    <w:p>
      <w:pPr>
        <w:ind w:right="100"/>
        <w:spacing w:after="0" w:line="20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3" w:lineRule="exact"/>
        <w:rPr>
          <w:sz w:val="24"/>
          <w:szCs w:val="24"/>
          <w:color w:val="auto"/>
        </w:rPr>
      </w:pPr>
    </w:p>
    <w:p>
      <w:pPr>
        <w:ind w:right="40"/>
        <w:spacing w:after="0" w:line="289"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40"/>
          </w:cols>
          <w:pgMar w:left="980" w:top="333" w:right="979" w:bottom="1440" w:gutter="0" w:footer="0" w:header="0"/>
        </w:sectPr>
      </w:pPr>
    </w:p>
    <w:p>
      <w:pPr>
        <w:spacing w:after="0" w:line="9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ind w:right="108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ind w:right="178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3">
            <w:col w:w="2700" w:space="720"/>
            <w:col w:w="2380" w:space="720"/>
            <w:col w:w="3420"/>
          </w:cols>
          <w:pgMar w:left="980" w:top="333" w:right="979" w:bottom="1440" w:gutter="0" w:footer="0" w:header="0"/>
          <w:type w:val="continuous"/>
        </w:sectPr>
      </w:pPr>
    </w:p>
    <w:p>
      <w:pPr>
        <w:spacing w:after="0" w:line="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44"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74" w:lineRule="exact"/>
        <w:rPr>
          <w:sz w:val="24"/>
          <w:szCs w:val="24"/>
          <w:color w:val="auto"/>
        </w:rPr>
      </w:pPr>
    </w:p>
    <w:p>
      <w:pPr>
        <w:sectPr>
          <w:pgSz w:w="11900" w:h="16838" w:orient="portrait"/>
          <w:cols w:equalWidth="0" w:num="2">
            <w:col w:w="5800" w:space="720"/>
            <w:col w:w="3420"/>
          </w:cols>
          <w:pgMar w:left="980" w:top="333" w:right="979" w:bottom="1440" w:gutter="0" w:footer="0" w:header="0"/>
          <w:type w:val="continuous"/>
        </w:sectPr>
      </w:pPr>
    </w:p>
    <w:p>
      <w:pPr>
        <w:ind w:right="100"/>
        <w:spacing w:after="0" w:line="204"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50" w:lineRule="exact"/>
        <w:rPr>
          <w:sz w:val="24"/>
          <w:szCs w:val="24"/>
          <w:color w:val="auto"/>
        </w:rPr>
      </w:pPr>
    </w:p>
    <w:p>
      <w:pPr>
        <w:ind w:right="1400"/>
        <w:spacing w:after="0" w:line="27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29, 2024, the registrant had 8,710,024 outstanding shares of common stock, $0.01 par value per share</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492760</wp:posOffset>
            </wp:positionV>
            <wp:extent cx="6296025"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6025" cy="1587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142240</wp:posOffset>
            </wp:positionV>
            <wp:extent cx="6296025" cy="31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6025" cy="317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125730</wp:posOffset>
            </wp:positionV>
            <wp:extent cx="62960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6025" cy="8255"/>
                    </a:xfrm>
                    <a:prstGeom prst="rect">
                      <a:avLst/>
                    </a:prstGeom>
                    <a:noFill/>
                  </pic:spPr>
                </pic:pic>
              </a:graphicData>
            </a:graphic>
          </wp:anchor>
        </w:drawing>
      </w:r>
    </w:p>
    <w:p>
      <w:pPr>
        <w:sectPr>
          <w:pgSz w:w="11900" w:h="16838" w:orient="portrait"/>
          <w:cols w:equalWidth="0" w:num="1">
            <w:col w:w="9940"/>
          </w:cols>
          <w:pgMar w:left="980" w:top="333" w:right="9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Borders>
              <w:bottom w:val="single" w:sz="8" w:color="auto"/>
            </w:tcBorders>
            <w:gridSpan w:val="9"/>
          </w:tcPr>
          <w:p>
            <w:pPr>
              <w:jc w:val="center"/>
              <w:spacing w:after="0"/>
              <w:rPr>
                <w:sz w:val="20"/>
                <w:szCs w:val="20"/>
                <w:color w:val="auto"/>
              </w:rPr>
            </w:pPr>
            <w:r>
              <w:rPr>
                <w:rFonts w:ascii="Arial" w:cs="Arial" w:eastAsia="Arial" w:hAnsi="Arial"/>
                <w:sz w:val="15"/>
                <w:szCs w:val="15"/>
                <w:b w:val="1"/>
                <w:bCs w:val="1"/>
                <w:color w:val="auto"/>
              </w:rPr>
              <w:t>CITI TRENDS, INC.</w:t>
            </w:r>
          </w:p>
        </w:tc>
        <w:tc>
          <w:tcPr>
            <w:tcW w:w="3360" w:type="dxa"/>
            <w:vAlign w:val="bottom"/>
            <w:gridSpan w:val="3"/>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bottom w:val="single" w:sz="8" w:color="auto"/>
            </w:tcBorders>
            <w:gridSpan w:val="5"/>
          </w:tcPr>
          <w:p>
            <w:pPr>
              <w:jc w:val="center"/>
              <w:spacing w:after="0" w:line="156" w:lineRule="exact"/>
              <w:rPr>
                <w:sz w:val="20"/>
                <w:szCs w:val="20"/>
                <w:color w:val="auto"/>
              </w:rPr>
            </w:pPr>
            <w:r>
              <w:rPr>
                <w:rFonts w:ascii="Arial" w:cs="Arial" w:eastAsia="Arial" w:hAnsi="Arial"/>
                <w:sz w:val="15"/>
                <w:szCs w:val="15"/>
                <w:b w:val="1"/>
                <w:bCs w:val="1"/>
                <w:color w:val="auto"/>
              </w:rPr>
              <w:t>FORM 10-Q</w:t>
            </w:r>
          </w:p>
        </w:tc>
        <w:tc>
          <w:tcPr>
            <w:tcW w:w="3620" w:type="dxa"/>
            <w:vAlign w:val="bottom"/>
            <w:gridSpan w:val="4"/>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80" w:type="dxa"/>
            <w:vAlign w:val="bottom"/>
            <w:gridSpan w:val="14"/>
          </w:tcPr>
          <w:p>
            <w:pPr>
              <w:jc w:val="center"/>
              <w:ind w:right="2780"/>
              <w:spacing w:after="0" w:line="156" w:lineRule="exact"/>
              <w:rPr>
                <w:sz w:val="20"/>
                <w:szCs w:val="20"/>
                <w:color w:val="auto"/>
              </w:rPr>
            </w:pPr>
            <w:r>
              <w:rPr>
                <w:rFonts w:ascii="Arial" w:cs="Arial" w:eastAsia="Arial" w:hAnsi="Arial"/>
                <w:sz w:val="15"/>
                <w:szCs w:val="15"/>
                <w:b w:val="1"/>
                <w:bCs w:val="1"/>
                <w:color w:val="auto"/>
              </w:rPr>
              <w:t>TABLE OF CONTENTS</w:t>
            </w:r>
          </w:p>
        </w:tc>
        <w:tc>
          <w:tcPr>
            <w:tcW w:w="920" w:type="dxa"/>
            <w:vAlign w:val="bottom"/>
            <w:vMerge w:val="restart"/>
          </w:tcPr>
          <w:p>
            <w:pPr>
              <w:jc w:val="right"/>
              <w:ind w:right="165"/>
              <w:spacing w:after="0"/>
              <w:rPr>
                <w:sz w:val="20"/>
                <w:szCs w:val="20"/>
                <w:color w:val="auto"/>
              </w:rPr>
            </w:pPr>
            <w:r>
              <w:rPr>
                <w:rFonts w:ascii="Arial" w:cs="Arial" w:eastAsia="Arial" w:hAnsi="Arial"/>
                <w:sz w:val="15"/>
                <w:szCs w:val="15"/>
                <w:b w:val="1"/>
                <w:bCs w:val="1"/>
                <w:color w:val="auto"/>
              </w:rPr>
              <w:t>PAGE</w:t>
            </w:r>
          </w:p>
        </w:tc>
        <w:tc>
          <w:tcPr>
            <w:tcW w:w="0" w:type="dxa"/>
            <w:vAlign w:val="bottom"/>
          </w:tcPr>
          <w:p>
            <w:pPr>
              <w:spacing w:after="0"/>
              <w:rPr>
                <w:sz w:val="1"/>
                <w:szCs w:val="1"/>
                <w:color w:val="auto"/>
              </w:rPr>
            </w:pPr>
          </w:p>
        </w:tc>
      </w:tr>
      <w:tr>
        <w:trPr>
          <w:trHeight w:val="219"/>
        </w:trPr>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2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NUMBER</w:t>
            </w:r>
          </w:p>
        </w:tc>
        <w:tc>
          <w:tcPr>
            <w:tcW w:w="0" w:type="dxa"/>
            <w:vAlign w:val="bottom"/>
          </w:tcPr>
          <w:p>
            <w:pPr>
              <w:spacing w:after="0"/>
              <w:rPr>
                <w:sz w:val="1"/>
                <w:szCs w:val="1"/>
                <w:color w:val="auto"/>
              </w:rPr>
            </w:pPr>
          </w:p>
        </w:tc>
      </w:tr>
      <w:tr>
        <w:trPr>
          <w:trHeight w:val="156"/>
        </w:trPr>
        <w:tc>
          <w:tcPr>
            <w:tcW w:w="480" w:type="dxa"/>
            <w:vAlign w:val="bottom"/>
            <w:tcBorders>
              <w:bottom w:val="single" w:sz="8" w:color="0000EE"/>
            </w:tcBorders>
            <w:gridSpan w:val="3"/>
          </w:tcPr>
          <w:p>
            <w:pPr>
              <w:spacing w:after="0" w:line="156" w:lineRule="exact"/>
              <w:rPr>
                <w:sz w:val="20"/>
                <w:szCs w:val="20"/>
                <w:color w:val="auto"/>
              </w:rPr>
            </w:pPr>
            <w:r>
              <w:rPr>
                <w:rFonts w:ascii="Arial" w:cs="Arial" w:eastAsia="Arial" w:hAnsi="Arial"/>
                <w:sz w:val="15"/>
                <w:szCs w:val="15"/>
                <w:color w:val="0000EE"/>
                <w:w w:val="95"/>
              </w:rPr>
              <w:t>PART I</w:t>
            </w:r>
          </w:p>
        </w:tc>
        <w:tc>
          <w:tcPr>
            <w:tcW w:w="460" w:type="dxa"/>
            <w:vAlign w:val="bottom"/>
            <w:gridSpan w:val="2"/>
          </w:tcPr>
          <w:p>
            <w:pPr>
              <w:spacing w:after="0"/>
              <w:rPr>
                <w:sz w:val="13"/>
                <w:szCs w:val="13"/>
                <w:color w:val="auto"/>
              </w:rPr>
            </w:pPr>
          </w:p>
        </w:tc>
        <w:tc>
          <w:tcPr>
            <w:tcW w:w="1880" w:type="dxa"/>
            <w:vAlign w:val="bottom"/>
            <w:tcBorders>
              <w:bottom w:val="single" w:sz="8" w:color="0000EE"/>
            </w:tcBorders>
            <w:gridSpan w:val="7"/>
          </w:tcPr>
          <w:p>
            <w:pPr>
              <w:spacing w:after="0" w:line="156" w:lineRule="exact"/>
              <w:rPr>
                <w:sz w:val="20"/>
                <w:szCs w:val="20"/>
                <w:color w:val="auto"/>
              </w:rPr>
            </w:pPr>
            <w:r>
              <w:rPr>
                <w:rFonts w:ascii="Arial" w:cs="Arial" w:eastAsia="Arial" w:hAnsi="Arial"/>
                <w:sz w:val="15"/>
                <w:szCs w:val="15"/>
                <w:color w:val="0000EE"/>
                <w:w w:val="99"/>
              </w:rPr>
              <w:t>FINANCIAL INFORMATION</w:t>
            </w:r>
          </w:p>
        </w:tc>
        <w:tc>
          <w:tcPr>
            <w:tcW w:w="6180" w:type="dxa"/>
            <w:vAlign w:val="bottom"/>
            <w:gridSpan w:val="16"/>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2"/>
        </w:trPr>
        <w:tc>
          <w:tcPr>
            <w:tcW w:w="940" w:type="dxa"/>
            <w:vAlign w:val="bottom"/>
            <w:gridSpan w:val="5"/>
          </w:tcPr>
          <w:p>
            <w:pPr>
              <w:spacing w:after="0"/>
              <w:rPr>
                <w:sz w:val="20"/>
                <w:szCs w:val="20"/>
                <w:color w:val="auto"/>
              </w:rPr>
            </w:pPr>
            <w:r>
              <w:rPr>
                <w:rFonts w:ascii="Arial" w:cs="Arial" w:eastAsia="Arial" w:hAnsi="Arial"/>
                <w:sz w:val="15"/>
                <w:szCs w:val="15"/>
                <w:color w:val="0000EE"/>
              </w:rPr>
              <w:t>Item 1</w:t>
            </w:r>
          </w:p>
        </w:tc>
        <w:tc>
          <w:tcPr>
            <w:tcW w:w="8060" w:type="dxa"/>
            <w:vAlign w:val="bottom"/>
            <w:gridSpan w:val="23"/>
          </w:tcPr>
          <w:p>
            <w:pPr>
              <w:spacing w:after="0"/>
              <w:rPr>
                <w:sz w:val="20"/>
                <w:szCs w:val="20"/>
                <w:color w:val="auto"/>
              </w:rPr>
            </w:pPr>
            <w:r>
              <w:rPr>
                <w:rFonts w:ascii="Arial" w:cs="Arial" w:eastAsia="Arial" w:hAnsi="Arial"/>
                <w:sz w:val="15"/>
                <w:szCs w:val="15"/>
                <w:color w:val="0000EE"/>
              </w:rPr>
              <w:t>Financial Statements (unaudited)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60" w:type="dxa"/>
            <w:vAlign w:val="bottom"/>
            <w:gridSpan w:val="23"/>
          </w:tcPr>
          <w:p>
            <w:pPr>
              <w:spacing w:after="0"/>
              <w:rPr>
                <w:sz w:val="20"/>
                <w:szCs w:val="20"/>
                <w:color w:val="auto"/>
              </w:rPr>
            </w:pPr>
            <w:r>
              <w:rPr>
                <w:rFonts w:ascii="Arial" w:cs="Arial" w:eastAsia="Arial" w:hAnsi="Arial"/>
                <w:sz w:val="15"/>
                <w:szCs w:val="15"/>
                <w:color w:val="0000EE"/>
              </w:rPr>
              <w:t>Condensed Consolidated Balance Sheets</w:t>
            </w:r>
          </w:p>
        </w:tc>
        <w:tc>
          <w:tcPr>
            <w:tcW w:w="92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60" w:type="dxa"/>
            <w:vAlign w:val="bottom"/>
            <w:gridSpan w:val="23"/>
          </w:tcPr>
          <w:p>
            <w:pPr>
              <w:spacing w:after="0"/>
              <w:rPr>
                <w:sz w:val="20"/>
                <w:szCs w:val="20"/>
                <w:color w:val="auto"/>
              </w:rPr>
            </w:pPr>
            <w:r>
              <w:rPr>
                <w:rFonts w:ascii="Arial" w:cs="Arial" w:eastAsia="Arial" w:hAnsi="Arial"/>
                <w:sz w:val="15"/>
                <w:szCs w:val="15"/>
                <w:color w:val="0000EE"/>
              </w:rPr>
              <w:t>Condensed Consolidated Statements of Operations</w:t>
            </w:r>
          </w:p>
        </w:tc>
        <w:tc>
          <w:tcPr>
            <w:tcW w:w="92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00" w:type="dxa"/>
            <w:vAlign w:val="bottom"/>
            <w:tcBorders>
              <w:bottom w:val="single" w:sz="8" w:color="0000EE"/>
            </w:tcBorders>
            <w:gridSpan w:val="13"/>
          </w:tcPr>
          <w:p>
            <w:pPr>
              <w:spacing w:after="0"/>
              <w:rPr>
                <w:sz w:val="20"/>
                <w:szCs w:val="20"/>
                <w:color w:val="auto"/>
              </w:rPr>
            </w:pPr>
            <w:r>
              <w:rPr>
                <w:rFonts w:ascii="Arial" w:cs="Arial" w:eastAsia="Arial" w:hAnsi="Arial"/>
                <w:sz w:val="15"/>
                <w:szCs w:val="15"/>
                <w:color w:val="0000EE"/>
              </w:rPr>
              <w:t>Condensed Consolidated Statements of Cash Flows</w:t>
            </w:r>
          </w:p>
        </w:tc>
        <w:tc>
          <w:tcPr>
            <w:tcW w:w="4560" w:type="dxa"/>
            <w:vAlign w:val="bottom"/>
            <w:gridSpan w:val="10"/>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382"/>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80" w:type="dxa"/>
            <w:vAlign w:val="bottom"/>
            <w:tcBorders>
              <w:bottom w:val="single" w:sz="8" w:color="0000EE"/>
            </w:tcBorders>
            <w:gridSpan w:val="18"/>
          </w:tcPr>
          <w:p>
            <w:pPr>
              <w:spacing w:after="0"/>
              <w:rPr>
                <w:sz w:val="20"/>
                <w:szCs w:val="20"/>
                <w:color w:val="auto"/>
              </w:rPr>
            </w:pPr>
            <w:r>
              <w:rPr>
                <w:rFonts w:ascii="Arial" w:cs="Arial" w:eastAsia="Arial" w:hAnsi="Arial"/>
                <w:sz w:val="15"/>
                <w:szCs w:val="15"/>
                <w:color w:val="0000EE"/>
              </w:rPr>
              <w:t>Condensed Consolidated Statements of Stockholders’ Equity</w:t>
            </w:r>
          </w:p>
        </w:tc>
        <w:tc>
          <w:tcPr>
            <w:tcW w:w="398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382"/>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0" w:type="dxa"/>
            <w:vAlign w:val="bottom"/>
            <w:tcBorders>
              <w:bottom w:val="single" w:sz="8" w:color="0000EE"/>
            </w:tcBorders>
            <w:gridSpan w:val="16"/>
          </w:tcPr>
          <w:p>
            <w:pPr>
              <w:spacing w:after="0"/>
              <w:rPr>
                <w:sz w:val="20"/>
                <w:szCs w:val="20"/>
                <w:color w:val="auto"/>
              </w:rPr>
            </w:pPr>
            <w:r>
              <w:rPr>
                <w:rFonts w:ascii="Arial" w:cs="Arial" w:eastAsia="Arial" w:hAnsi="Arial"/>
                <w:sz w:val="15"/>
                <w:szCs w:val="15"/>
                <w:color w:val="0000EE"/>
              </w:rPr>
              <w:t>Notes to the Condensed Consolidated Financial Statements</w:t>
            </w:r>
          </w:p>
        </w:tc>
        <w:tc>
          <w:tcPr>
            <w:tcW w:w="4060" w:type="dxa"/>
            <w:vAlign w:val="bottom"/>
            <w:gridSpan w:val="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382"/>
        </w:trPr>
        <w:tc>
          <w:tcPr>
            <w:tcW w:w="440" w:type="dxa"/>
            <w:vAlign w:val="bottom"/>
            <w:tcBorders>
              <w:bottom w:val="single" w:sz="8" w:color="0000EE"/>
            </w:tcBorders>
            <w:gridSpan w:val="2"/>
          </w:tcPr>
          <w:p>
            <w:pPr>
              <w:spacing w:after="0"/>
              <w:rPr>
                <w:sz w:val="20"/>
                <w:szCs w:val="20"/>
                <w:color w:val="auto"/>
              </w:rPr>
            </w:pPr>
            <w:r>
              <w:rPr>
                <w:rFonts w:ascii="Arial" w:cs="Arial" w:eastAsia="Arial" w:hAnsi="Arial"/>
                <w:sz w:val="15"/>
                <w:szCs w:val="15"/>
                <w:color w:val="0000EE"/>
              </w:rPr>
              <w:t>Item 2</w:t>
            </w:r>
          </w:p>
        </w:tc>
        <w:tc>
          <w:tcPr>
            <w:tcW w:w="500" w:type="dxa"/>
            <w:vAlign w:val="bottom"/>
            <w:gridSpan w:val="3"/>
          </w:tcPr>
          <w:p>
            <w:pPr>
              <w:spacing w:after="0"/>
              <w:rPr>
                <w:sz w:val="24"/>
                <w:szCs w:val="24"/>
                <w:color w:val="auto"/>
              </w:rPr>
            </w:pPr>
          </w:p>
        </w:tc>
        <w:tc>
          <w:tcPr>
            <w:tcW w:w="5940" w:type="dxa"/>
            <w:vAlign w:val="bottom"/>
            <w:tcBorders>
              <w:bottom w:val="single" w:sz="8" w:color="0000EE"/>
            </w:tcBorders>
            <w:gridSpan w:val="22"/>
          </w:tcPr>
          <w:p>
            <w:pPr>
              <w:spacing w:after="0"/>
              <w:rPr>
                <w:sz w:val="20"/>
                <w:szCs w:val="20"/>
                <w:color w:val="auto"/>
              </w:rPr>
            </w:pPr>
            <w:r>
              <w:rPr>
                <w:rFonts w:ascii="Arial" w:cs="Arial" w:eastAsia="Arial" w:hAnsi="Arial"/>
                <w:sz w:val="15"/>
                <w:szCs w:val="15"/>
                <w:color w:val="0000EE"/>
              </w:rPr>
              <w:t>Management’s Discussion and Analysis of Financial Condition and Results of Operations</w:t>
            </w:r>
          </w:p>
        </w:tc>
        <w:tc>
          <w:tcPr>
            <w:tcW w:w="2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382"/>
        </w:trPr>
        <w:tc>
          <w:tcPr>
            <w:tcW w:w="440" w:type="dxa"/>
            <w:vAlign w:val="bottom"/>
            <w:gridSpan w:val="2"/>
          </w:tcPr>
          <w:p>
            <w:pPr>
              <w:spacing w:after="0"/>
              <w:rPr>
                <w:sz w:val="20"/>
                <w:szCs w:val="20"/>
                <w:color w:val="auto"/>
              </w:rPr>
            </w:pPr>
            <w:r>
              <w:rPr>
                <w:rFonts w:ascii="Arial" w:cs="Arial" w:eastAsia="Arial" w:hAnsi="Arial"/>
                <w:sz w:val="15"/>
                <w:szCs w:val="15"/>
                <w:color w:val="0000EE"/>
              </w:rPr>
              <w:t>Item 3</w:t>
            </w:r>
          </w:p>
        </w:tc>
        <w:tc>
          <w:tcPr>
            <w:tcW w:w="500" w:type="dxa"/>
            <w:vAlign w:val="bottom"/>
            <w:gridSpan w:val="3"/>
          </w:tcPr>
          <w:p>
            <w:pPr>
              <w:spacing w:after="0"/>
              <w:rPr>
                <w:sz w:val="24"/>
                <w:szCs w:val="24"/>
                <w:color w:val="auto"/>
              </w:rPr>
            </w:pPr>
          </w:p>
        </w:tc>
        <w:tc>
          <w:tcPr>
            <w:tcW w:w="8060" w:type="dxa"/>
            <w:vAlign w:val="bottom"/>
            <w:gridSpan w:val="23"/>
          </w:tcPr>
          <w:p>
            <w:pPr>
              <w:spacing w:after="0"/>
              <w:rPr>
                <w:sz w:val="20"/>
                <w:szCs w:val="20"/>
                <w:color w:val="auto"/>
              </w:rPr>
            </w:pPr>
            <w:r>
              <w:rPr>
                <w:rFonts w:ascii="Arial" w:cs="Arial" w:eastAsia="Arial" w:hAnsi="Arial"/>
                <w:sz w:val="15"/>
                <w:szCs w:val="15"/>
                <w:color w:val="0000EE"/>
              </w:rPr>
              <w:t>Quantitative and Qualitative Disclosures About Market Risk</w:t>
            </w:r>
          </w:p>
        </w:tc>
        <w:tc>
          <w:tcPr>
            <w:tcW w:w="920" w:type="dxa"/>
            <w:vAlign w:val="bottom"/>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382"/>
        </w:trPr>
        <w:tc>
          <w:tcPr>
            <w:tcW w:w="440" w:type="dxa"/>
            <w:vAlign w:val="bottom"/>
            <w:tcBorders>
              <w:top w:val="single" w:sz="8" w:color="0000EE"/>
            </w:tcBorders>
            <w:gridSpan w:val="2"/>
          </w:tcPr>
          <w:p>
            <w:pPr>
              <w:spacing w:after="0"/>
              <w:rPr>
                <w:sz w:val="20"/>
                <w:szCs w:val="20"/>
                <w:color w:val="auto"/>
              </w:rPr>
            </w:pPr>
            <w:r>
              <w:rPr>
                <w:rFonts w:ascii="Arial" w:cs="Arial" w:eastAsia="Arial" w:hAnsi="Arial"/>
                <w:sz w:val="15"/>
                <w:szCs w:val="15"/>
                <w:color w:val="0000EE"/>
              </w:rPr>
              <w:t>Item 4</w:t>
            </w:r>
          </w:p>
        </w:tc>
        <w:tc>
          <w:tcPr>
            <w:tcW w:w="500" w:type="dxa"/>
            <w:vAlign w:val="bottom"/>
            <w:gridSpan w:val="3"/>
          </w:tcPr>
          <w:p>
            <w:pPr>
              <w:spacing w:after="0"/>
              <w:rPr>
                <w:sz w:val="24"/>
                <w:szCs w:val="24"/>
                <w:color w:val="auto"/>
              </w:rPr>
            </w:pPr>
          </w:p>
        </w:tc>
        <w:tc>
          <w:tcPr>
            <w:tcW w:w="3940" w:type="dxa"/>
            <w:vAlign w:val="bottom"/>
            <w:tcBorders>
              <w:top w:val="single" w:sz="8" w:color="0000EE"/>
            </w:tcBorders>
            <w:gridSpan w:val="15"/>
          </w:tcPr>
          <w:p>
            <w:pPr>
              <w:spacing w:after="0"/>
              <w:rPr>
                <w:sz w:val="20"/>
                <w:szCs w:val="20"/>
                <w:color w:val="auto"/>
              </w:rPr>
            </w:pPr>
            <w:r>
              <w:rPr>
                <w:rFonts w:ascii="Arial" w:cs="Arial" w:eastAsia="Arial" w:hAnsi="Arial"/>
                <w:sz w:val="15"/>
                <w:szCs w:val="15"/>
                <w:color w:val="0000EE"/>
              </w:rPr>
              <w:t>Controls and Procedures</w:t>
            </w:r>
          </w:p>
        </w:tc>
        <w:tc>
          <w:tcPr>
            <w:tcW w:w="412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60" w:type="dxa"/>
            <w:vAlign w:val="bottom"/>
            <w:gridSpan w:val="9"/>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520" w:type="dxa"/>
            <w:vAlign w:val="bottom"/>
            <w:tcBorders>
              <w:bottom w:val="single" w:sz="8" w:color="0000EE"/>
            </w:tcBorders>
            <w:gridSpan w:val="4"/>
          </w:tcPr>
          <w:p>
            <w:pPr>
              <w:spacing w:after="0"/>
              <w:rPr>
                <w:sz w:val="20"/>
                <w:szCs w:val="20"/>
                <w:color w:val="auto"/>
              </w:rPr>
            </w:pPr>
            <w:r>
              <w:rPr>
                <w:rFonts w:ascii="Arial" w:cs="Arial" w:eastAsia="Arial" w:hAnsi="Arial"/>
                <w:sz w:val="15"/>
                <w:szCs w:val="15"/>
                <w:color w:val="0000EE"/>
                <w:w w:val="95"/>
              </w:rPr>
              <w:t>PART II</w:t>
            </w:r>
          </w:p>
        </w:tc>
        <w:tc>
          <w:tcPr>
            <w:tcW w:w="420" w:type="dxa"/>
            <w:vAlign w:val="bottom"/>
          </w:tcPr>
          <w:p>
            <w:pPr>
              <w:spacing w:after="0"/>
              <w:rPr>
                <w:sz w:val="24"/>
                <w:szCs w:val="24"/>
                <w:color w:val="auto"/>
              </w:rPr>
            </w:pPr>
          </w:p>
        </w:tc>
        <w:tc>
          <w:tcPr>
            <w:tcW w:w="1660" w:type="dxa"/>
            <w:vAlign w:val="bottom"/>
            <w:tcBorders>
              <w:bottom w:val="single" w:sz="8" w:color="0000EE"/>
            </w:tcBorders>
            <w:gridSpan w:val="6"/>
          </w:tcPr>
          <w:p>
            <w:pPr>
              <w:spacing w:after="0"/>
              <w:rPr>
                <w:sz w:val="20"/>
                <w:szCs w:val="20"/>
                <w:color w:val="auto"/>
              </w:rPr>
            </w:pPr>
            <w:r>
              <w:rPr>
                <w:rFonts w:ascii="Arial" w:cs="Arial" w:eastAsia="Arial" w:hAnsi="Arial"/>
                <w:sz w:val="15"/>
                <w:szCs w:val="15"/>
                <w:color w:val="0000EE"/>
              </w:rPr>
              <w:t>OTHER INFORMATION</w:t>
            </w:r>
          </w:p>
        </w:tc>
        <w:tc>
          <w:tcPr>
            <w:tcW w:w="6400" w:type="dxa"/>
            <w:vAlign w:val="bottom"/>
            <w:gridSpan w:val="17"/>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440" w:type="dxa"/>
            <w:vAlign w:val="bottom"/>
            <w:gridSpan w:val="2"/>
          </w:tcPr>
          <w:p>
            <w:pPr>
              <w:spacing w:after="0"/>
              <w:rPr>
                <w:sz w:val="20"/>
                <w:szCs w:val="20"/>
                <w:color w:val="auto"/>
              </w:rPr>
            </w:pPr>
            <w:r>
              <w:rPr>
                <w:rFonts w:ascii="Arial" w:cs="Arial" w:eastAsia="Arial" w:hAnsi="Arial"/>
                <w:sz w:val="15"/>
                <w:szCs w:val="15"/>
                <w:color w:val="0000EE"/>
              </w:rPr>
              <w:t>Item 1</w:t>
            </w:r>
          </w:p>
        </w:tc>
        <w:tc>
          <w:tcPr>
            <w:tcW w:w="500" w:type="dxa"/>
            <w:vAlign w:val="bottom"/>
            <w:gridSpan w:val="3"/>
          </w:tcPr>
          <w:p>
            <w:pPr>
              <w:spacing w:after="0"/>
              <w:rPr>
                <w:sz w:val="24"/>
                <w:szCs w:val="24"/>
                <w:color w:val="auto"/>
              </w:rPr>
            </w:pPr>
          </w:p>
        </w:tc>
        <w:tc>
          <w:tcPr>
            <w:tcW w:w="8060" w:type="dxa"/>
            <w:vAlign w:val="bottom"/>
            <w:gridSpan w:val="23"/>
          </w:tcPr>
          <w:p>
            <w:pPr>
              <w:spacing w:after="0"/>
              <w:rPr>
                <w:sz w:val="20"/>
                <w:szCs w:val="20"/>
                <w:color w:val="auto"/>
              </w:rPr>
            </w:pPr>
            <w:r>
              <w:rPr>
                <w:rFonts w:ascii="Arial" w:cs="Arial" w:eastAsia="Arial" w:hAnsi="Arial"/>
                <w:sz w:val="15"/>
                <w:szCs w:val="15"/>
                <w:color w:val="0000EE"/>
              </w:rPr>
              <w:t>Legal Proceedings</w:t>
            </w:r>
          </w:p>
        </w:tc>
        <w:tc>
          <w:tcPr>
            <w:tcW w:w="920" w:type="dxa"/>
            <w:vAlign w:val="bottom"/>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60" w:type="dxa"/>
            <w:vAlign w:val="bottom"/>
            <w:gridSpan w:val="9"/>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940" w:type="dxa"/>
            <w:vAlign w:val="bottom"/>
            <w:gridSpan w:val="5"/>
          </w:tcPr>
          <w:p>
            <w:pPr>
              <w:spacing w:after="0"/>
              <w:rPr>
                <w:sz w:val="20"/>
                <w:szCs w:val="20"/>
                <w:color w:val="auto"/>
              </w:rPr>
            </w:pPr>
            <w:r>
              <w:rPr>
                <w:rFonts w:ascii="Arial" w:cs="Arial" w:eastAsia="Arial" w:hAnsi="Arial"/>
                <w:sz w:val="15"/>
                <w:szCs w:val="15"/>
                <w:color w:val="0000EE"/>
              </w:rPr>
              <w:t>Item 1A</w:t>
            </w:r>
          </w:p>
        </w:tc>
        <w:tc>
          <w:tcPr>
            <w:tcW w:w="8060" w:type="dxa"/>
            <w:vAlign w:val="bottom"/>
            <w:gridSpan w:val="23"/>
          </w:tcPr>
          <w:p>
            <w:pPr>
              <w:spacing w:after="0"/>
              <w:rPr>
                <w:sz w:val="20"/>
                <w:szCs w:val="20"/>
                <w:color w:val="auto"/>
              </w:rPr>
            </w:pPr>
            <w:r>
              <w:rPr>
                <w:rFonts w:ascii="Arial" w:cs="Arial" w:eastAsia="Arial" w:hAnsi="Arial"/>
                <w:sz w:val="15"/>
                <w:szCs w:val="15"/>
                <w:color w:val="0000EE"/>
              </w:rPr>
              <w:t>Risk Factors</w:t>
            </w:r>
          </w:p>
        </w:tc>
        <w:tc>
          <w:tcPr>
            <w:tcW w:w="920" w:type="dxa"/>
            <w:vAlign w:val="bottom"/>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0"/>
        </w:trPr>
        <w:tc>
          <w:tcPr>
            <w:tcW w:w="520" w:type="dxa"/>
            <w:vAlign w:val="bottom"/>
            <w:gridSpan w:val="4"/>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60" w:type="dxa"/>
            <w:vAlign w:val="bottom"/>
            <w:gridSpan w:val="9"/>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440" w:type="dxa"/>
            <w:vAlign w:val="bottom"/>
            <w:gridSpan w:val="2"/>
          </w:tcPr>
          <w:p>
            <w:pPr>
              <w:spacing w:after="0"/>
              <w:rPr>
                <w:sz w:val="20"/>
                <w:szCs w:val="20"/>
                <w:color w:val="auto"/>
              </w:rPr>
            </w:pPr>
            <w:r>
              <w:rPr>
                <w:rFonts w:ascii="Arial" w:cs="Arial" w:eastAsia="Arial" w:hAnsi="Arial"/>
                <w:sz w:val="15"/>
                <w:szCs w:val="15"/>
                <w:color w:val="0000EE"/>
              </w:rPr>
              <w:t>Item 2</w:t>
            </w:r>
          </w:p>
        </w:tc>
        <w:tc>
          <w:tcPr>
            <w:tcW w:w="8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8060" w:type="dxa"/>
            <w:vAlign w:val="bottom"/>
            <w:gridSpan w:val="23"/>
          </w:tcPr>
          <w:p>
            <w:pPr>
              <w:spacing w:after="0"/>
              <w:rPr>
                <w:sz w:val="20"/>
                <w:szCs w:val="20"/>
                <w:color w:val="auto"/>
              </w:rPr>
            </w:pPr>
            <w:r>
              <w:rPr>
                <w:rFonts w:ascii="Arial" w:cs="Arial" w:eastAsia="Arial" w:hAnsi="Arial"/>
                <w:sz w:val="15"/>
                <w:szCs w:val="15"/>
                <w:color w:val="0000EE"/>
              </w:rPr>
              <w:t>Unregistered Sales of Equity Securities and Use of Proceeds</w:t>
            </w:r>
          </w:p>
        </w:tc>
        <w:tc>
          <w:tcPr>
            <w:tcW w:w="920" w:type="dxa"/>
            <w:vAlign w:val="bottom"/>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382"/>
        </w:trPr>
        <w:tc>
          <w:tcPr>
            <w:tcW w:w="4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5"/>
                <w:szCs w:val="15"/>
                <w:color w:val="0000EE"/>
              </w:rPr>
              <w:t>Item 3</w:t>
            </w:r>
          </w:p>
        </w:tc>
        <w:tc>
          <w:tcPr>
            <w:tcW w:w="500" w:type="dxa"/>
            <w:vAlign w:val="bottom"/>
            <w:gridSpan w:val="3"/>
          </w:tcPr>
          <w:p>
            <w:pPr>
              <w:spacing w:after="0"/>
              <w:rPr>
                <w:sz w:val="24"/>
                <w:szCs w:val="24"/>
                <w:color w:val="auto"/>
              </w:rPr>
            </w:pPr>
          </w:p>
        </w:tc>
        <w:tc>
          <w:tcPr>
            <w:tcW w:w="220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5"/>
                <w:szCs w:val="15"/>
                <w:color w:val="0000EE"/>
              </w:rPr>
              <w:t>Defaults Upon Senior Securities</w:t>
            </w:r>
          </w:p>
        </w:tc>
        <w:tc>
          <w:tcPr>
            <w:tcW w:w="1860" w:type="dxa"/>
            <w:vAlign w:val="bottom"/>
            <w:tcBorders>
              <w:top w:val="single" w:sz="8" w:color="0000EE"/>
            </w:tcBorders>
            <w:gridSpan w:val="9"/>
          </w:tcPr>
          <w:p>
            <w:pPr>
              <w:spacing w:after="0"/>
              <w:rPr>
                <w:sz w:val="24"/>
                <w:szCs w:val="24"/>
                <w:color w:val="auto"/>
              </w:rPr>
            </w:pPr>
          </w:p>
        </w:tc>
        <w:tc>
          <w:tcPr>
            <w:tcW w:w="400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382"/>
        </w:trPr>
        <w:tc>
          <w:tcPr>
            <w:tcW w:w="440" w:type="dxa"/>
            <w:vAlign w:val="bottom"/>
            <w:tcBorders>
              <w:bottom w:val="single" w:sz="8" w:color="0000EE"/>
            </w:tcBorders>
            <w:gridSpan w:val="2"/>
          </w:tcPr>
          <w:p>
            <w:pPr>
              <w:spacing w:after="0"/>
              <w:rPr>
                <w:sz w:val="20"/>
                <w:szCs w:val="20"/>
                <w:color w:val="auto"/>
              </w:rPr>
            </w:pPr>
            <w:r>
              <w:rPr>
                <w:rFonts w:ascii="Arial" w:cs="Arial" w:eastAsia="Arial" w:hAnsi="Arial"/>
                <w:sz w:val="15"/>
                <w:szCs w:val="15"/>
                <w:color w:val="0000EE"/>
              </w:rPr>
              <w:t>Item 4</w:t>
            </w:r>
          </w:p>
        </w:tc>
        <w:tc>
          <w:tcPr>
            <w:tcW w:w="500" w:type="dxa"/>
            <w:vAlign w:val="bottom"/>
            <w:gridSpan w:val="3"/>
          </w:tcPr>
          <w:p>
            <w:pPr>
              <w:spacing w:after="0"/>
              <w:rPr>
                <w:sz w:val="24"/>
                <w:szCs w:val="24"/>
                <w:color w:val="auto"/>
              </w:rPr>
            </w:pPr>
          </w:p>
        </w:tc>
        <w:tc>
          <w:tcPr>
            <w:tcW w:w="1660" w:type="dxa"/>
            <w:vAlign w:val="bottom"/>
            <w:tcBorders>
              <w:bottom w:val="single" w:sz="8" w:color="0000EE"/>
            </w:tcBorders>
            <w:gridSpan w:val="6"/>
          </w:tcPr>
          <w:p>
            <w:pPr>
              <w:spacing w:after="0"/>
              <w:rPr>
                <w:sz w:val="20"/>
                <w:szCs w:val="20"/>
                <w:color w:val="auto"/>
              </w:rPr>
            </w:pPr>
            <w:r>
              <w:rPr>
                <w:rFonts w:ascii="Arial" w:cs="Arial" w:eastAsia="Arial" w:hAnsi="Arial"/>
                <w:sz w:val="15"/>
                <w:szCs w:val="15"/>
                <w:color w:val="0000EE"/>
              </w:rPr>
              <w:t>Mine Safety Disclosures</w:t>
            </w:r>
          </w:p>
        </w:tc>
        <w:tc>
          <w:tcPr>
            <w:tcW w:w="6400" w:type="dxa"/>
            <w:vAlign w:val="bottom"/>
            <w:gridSpan w:val="1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382"/>
        </w:trPr>
        <w:tc>
          <w:tcPr>
            <w:tcW w:w="440" w:type="dxa"/>
            <w:vAlign w:val="bottom"/>
            <w:gridSpan w:val="2"/>
          </w:tcPr>
          <w:p>
            <w:pPr>
              <w:spacing w:after="0"/>
              <w:rPr>
                <w:sz w:val="20"/>
                <w:szCs w:val="20"/>
                <w:color w:val="auto"/>
              </w:rPr>
            </w:pPr>
            <w:r>
              <w:rPr>
                <w:rFonts w:ascii="Arial" w:cs="Arial" w:eastAsia="Arial" w:hAnsi="Arial"/>
                <w:sz w:val="15"/>
                <w:szCs w:val="15"/>
                <w:color w:val="0000EE"/>
              </w:rPr>
              <w:t>Item 5</w:t>
            </w:r>
          </w:p>
        </w:tc>
        <w:tc>
          <w:tcPr>
            <w:tcW w:w="500" w:type="dxa"/>
            <w:vAlign w:val="bottom"/>
            <w:gridSpan w:val="3"/>
          </w:tcPr>
          <w:p>
            <w:pPr>
              <w:spacing w:after="0"/>
              <w:rPr>
                <w:sz w:val="24"/>
                <w:szCs w:val="24"/>
                <w:color w:val="auto"/>
              </w:rPr>
            </w:pPr>
          </w:p>
        </w:tc>
        <w:tc>
          <w:tcPr>
            <w:tcW w:w="8060" w:type="dxa"/>
            <w:vAlign w:val="bottom"/>
            <w:gridSpan w:val="23"/>
          </w:tcPr>
          <w:p>
            <w:pPr>
              <w:spacing w:after="0"/>
              <w:rPr>
                <w:sz w:val="20"/>
                <w:szCs w:val="20"/>
                <w:color w:val="auto"/>
              </w:rPr>
            </w:pPr>
            <w:r>
              <w:rPr>
                <w:rFonts w:ascii="Arial" w:cs="Arial" w:eastAsia="Arial" w:hAnsi="Arial"/>
                <w:sz w:val="15"/>
                <w:szCs w:val="15"/>
                <w:color w:val="0000EE"/>
              </w:rPr>
              <w:t>Other Information</w:t>
            </w:r>
          </w:p>
        </w:tc>
        <w:tc>
          <w:tcPr>
            <w:tcW w:w="920" w:type="dxa"/>
            <w:vAlign w:val="bottom"/>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382"/>
        </w:trPr>
        <w:tc>
          <w:tcPr>
            <w:tcW w:w="440" w:type="dxa"/>
            <w:vAlign w:val="bottom"/>
            <w:tcBorders>
              <w:top w:val="single" w:sz="8" w:color="0000EE"/>
            </w:tcBorders>
            <w:gridSpan w:val="2"/>
          </w:tcPr>
          <w:p>
            <w:pPr>
              <w:spacing w:after="0"/>
              <w:rPr>
                <w:sz w:val="20"/>
                <w:szCs w:val="20"/>
                <w:color w:val="auto"/>
              </w:rPr>
            </w:pPr>
            <w:r>
              <w:rPr>
                <w:rFonts w:ascii="Arial" w:cs="Arial" w:eastAsia="Arial" w:hAnsi="Arial"/>
                <w:sz w:val="15"/>
                <w:szCs w:val="15"/>
                <w:color w:val="0000EE"/>
              </w:rPr>
              <w:t>Item 6</w:t>
            </w:r>
          </w:p>
        </w:tc>
        <w:tc>
          <w:tcPr>
            <w:tcW w:w="500" w:type="dxa"/>
            <w:vAlign w:val="bottom"/>
            <w:gridSpan w:val="3"/>
          </w:tcPr>
          <w:p>
            <w:pPr>
              <w:spacing w:after="0"/>
              <w:rPr>
                <w:sz w:val="24"/>
                <w:szCs w:val="24"/>
                <w:color w:val="auto"/>
              </w:rPr>
            </w:pPr>
          </w:p>
        </w:tc>
        <w:tc>
          <w:tcPr>
            <w:tcW w:w="1160" w:type="dxa"/>
            <w:vAlign w:val="bottom"/>
            <w:tcBorders>
              <w:top w:val="single" w:sz="8" w:color="0000EE"/>
            </w:tcBorders>
            <w:gridSpan w:val="4"/>
          </w:tcPr>
          <w:p>
            <w:pPr>
              <w:spacing w:after="0"/>
              <w:rPr>
                <w:sz w:val="20"/>
                <w:szCs w:val="20"/>
                <w:color w:val="auto"/>
              </w:rPr>
            </w:pPr>
            <w:r>
              <w:rPr>
                <w:rFonts w:ascii="Arial" w:cs="Arial" w:eastAsia="Arial" w:hAnsi="Arial"/>
                <w:sz w:val="15"/>
                <w:szCs w:val="15"/>
                <w:color w:val="0000EE"/>
              </w:rPr>
              <w:t>Exhibits</w:t>
            </w:r>
          </w:p>
        </w:tc>
        <w:tc>
          <w:tcPr>
            <w:tcW w:w="6900" w:type="dxa"/>
            <w:vAlign w:val="bottom"/>
            <w:gridSpan w:val="1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100" w:type="dxa"/>
            <w:vAlign w:val="bottom"/>
            <w:gridSpan w:val="2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60" w:type="dxa"/>
            <w:vAlign w:val="bottom"/>
            <w:gridSpan w:val="23"/>
          </w:tcPr>
          <w:p>
            <w:pPr>
              <w:spacing w:after="0"/>
              <w:rPr>
                <w:sz w:val="20"/>
                <w:szCs w:val="20"/>
                <w:color w:val="auto"/>
              </w:rPr>
            </w:pPr>
            <w:r>
              <w:rPr>
                <w:rFonts w:ascii="Arial" w:cs="Arial" w:eastAsia="Arial" w:hAnsi="Arial"/>
                <w:sz w:val="15"/>
                <w:szCs w:val="15"/>
                <w:color w:val="0000EE"/>
              </w:rPr>
              <w:t>SIGNATURES</w:t>
            </w:r>
          </w:p>
        </w:tc>
        <w:tc>
          <w:tcPr>
            <w:tcW w:w="920" w:type="dxa"/>
            <w:vAlign w:val="bottom"/>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945"/>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Borders>
              <w:top w:val="single" w:sz="8" w:color="0000EE"/>
            </w:tcBorders>
            <w:gridSpan w:val="3"/>
          </w:tcPr>
          <w:p>
            <w:pPr>
              <w:spacing w:after="0"/>
              <w:rPr>
                <w:sz w:val="24"/>
                <w:szCs w:val="24"/>
                <w:color w:val="auto"/>
              </w:rPr>
            </w:pPr>
          </w:p>
        </w:tc>
        <w:tc>
          <w:tcPr>
            <w:tcW w:w="3100" w:type="dxa"/>
            <w:vAlign w:val="bottom"/>
            <w:gridSpan w:val="14"/>
          </w:tcPr>
          <w:p>
            <w:pPr>
              <w:jc w:val="center"/>
              <w:ind w:left="2945"/>
              <w:spacing w:after="0"/>
              <w:rPr>
                <w:sz w:val="20"/>
                <w:szCs w:val="20"/>
                <w:color w:val="auto"/>
              </w:rPr>
            </w:pPr>
            <w:r>
              <w:rPr>
                <w:rFonts w:ascii="Arial" w:cs="Arial" w:eastAsia="Arial" w:hAnsi="Arial"/>
                <w:sz w:val="15"/>
                <w:szCs w:val="15"/>
                <w:color w:val="auto"/>
                <w:w w:val="95"/>
              </w:rPr>
              <w:t>2</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7"/>
        </w:trPr>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87" w:right="99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 - FINANCIAL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Citi Trends,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3"/>
          </w:tcPr>
          <w:p>
            <w:pPr>
              <w:ind w:left="60"/>
              <w:spacing w:after="0"/>
              <w:rPr>
                <w:sz w:val="20"/>
                <w:szCs w:val="20"/>
                <w:color w:val="auto"/>
              </w:rPr>
            </w:pPr>
            <w:r>
              <w:rPr>
                <w:rFonts w:ascii="Arial" w:cs="Arial" w:eastAsia="Arial" w:hAnsi="Arial"/>
                <w:sz w:val="13"/>
                <w:szCs w:val="13"/>
                <w:b w:val="1"/>
                <w:bCs w:val="1"/>
                <w:color w:val="auto"/>
              </w:rPr>
              <w:t>November 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b w:val="1"/>
                <w:bCs w:val="1"/>
                <w:color w:val="auto"/>
              </w:rPr>
              <w:t>February 3,</w:t>
            </w:r>
          </w:p>
        </w:tc>
      </w:tr>
      <w:tr>
        <w:trPr>
          <w:trHeight w:val="160"/>
        </w:trPr>
        <w:tc>
          <w:tcPr>
            <w:tcW w:w="73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45"/>
              <w:spacing w:after="0"/>
              <w:rPr>
                <w:sz w:val="20"/>
                <w:szCs w:val="20"/>
                <w:color w:val="auto"/>
              </w:rPr>
            </w:pPr>
            <w:r>
              <w:rPr>
                <w:rFonts w:ascii="Arial" w:cs="Arial" w:eastAsia="Arial" w:hAnsi="Arial"/>
                <w:sz w:val="13"/>
                <w:szCs w:val="13"/>
                <w:b w:val="1"/>
                <w:bCs w:val="1"/>
                <w:color w:val="auto"/>
              </w:rPr>
              <w:t>2024</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45"/>
              <w:spacing w:after="0"/>
              <w:rPr>
                <w:sz w:val="20"/>
                <w:szCs w:val="20"/>
                <w:color w:val="auto"/>
              </w:rPr>
            </w:pPr>
            <w:r>
              <w:rPr>
                <w:rFonts w:ascii="Arial" w:cs="Arial" w:eastAsia="Arial" w:hAnsi="Arial"/>
                <w:sz w:val="13"/>
                <w:szCs w:val="13"/>
                <w:b w:val="1"/>
                <w:bCs w:val="1"/>
                <w:color w:val="auto"/>
              </w:rPr>
              <w:t>2024</w:t>
            </w:r>
          </w:p>
        </w:tc>
        <w:tc>
          <w:tcPr>
            <w:tcW w:w="280" w:type="dxa"/>
            <w:vAlign w:val="bottom"/>
            <w:tcBorders>
              <w:bottom w:val="single" w:sz="8" w:color="CCEEFF"/>
            </w:tcBorders>
          </w:tcPr>
          <w:p>
            <w:pPr>
              <w:spacing w:after="0"/>
              <w:rPr>
                <w:sz w:val="13"/>
                <w:szCs w:val="13"/>
                <w:color w:val="auto"/>
              </w:rPr>
            </w:pPr>
          </w:p>
        </w:tc>
      </w:tr>
      <w:tr>
        <w:trPr>
          <w:trHeight w:val="181"/>
        </w:trPr>
        <w:tc>
          <w:tcPr>
            <w:tcW w:w="7320" w:type="dxa"/>
            <w:vAlign w:val="bottom"/>
            <w:shd w:val="clear" w:color="auto" w:fill="CCEEFF"/>
          </w:tcPr>
          <w:p>
            <w:pPr>
              <w:ind w:left="3380"/>
              <w:spacing w:after="0" w:line="181" w:lineRule="exact"/>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5"/>
                <w:szCs w:val="15"/>
                <w:color w:val="auto"/>
              </w:rPr>
              <w:t>Current assets:</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8"/>
        </w:trPr>
        <w:tc>
          <w:tcPr>
            <w:tcW w:w="73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Cash and cash equivalents</w:t>
            </w:r>
          </w:p>
        </w:tc>
        <w:tc>
          <w:tcPr>
            <w:tcW w:w="40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38,872</w:t>
            </w:r>
          </w:p>
        </w:tc>
        <w:tc>
          <w:tcPr>
            <w:tcW w:w="22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79,706</w:t>
            </w:r>
          </w:p>
        </w:tc>
        <w:tc>
          <w:tcPr>
            <w:tcW w:w="280" w:type="dxa"/>
            <w:vAlign w:val="bottom"/>
            <w:shd w:val="clear" w:color="auto" w:fill="CCEEFF"/>
          </w:tcPr>
          <w:p>
            <w:pPr>
              <w:spacing w:after="0"/>
              <w:rPr>
                <w:sz w:val="16"/>
                <w:szCs w:val="16"/>
                <w:color w:val="auto"/>
              </w:rPr>
            </w:pPr>
          </w:p>
        </w:tc>
      </w:tr>
      <w:tr>
        <w:trPr>
          <w:trHeight w:val="188"/>
        </w:trPr>
        <w:tc>
          <w:tcPr>
            <w:tcW w:w="7320" w:type="dxa"/>
            <w:vAlign w:val="bottom"/>
          </w:tcPr>
          <w:p>
            <w:pPr>
              <w:ind w:left="200"/>
              <w:spacing w:after="0"/>
              <w:rPr>
                <w:sz w:val="20"/>
                <w:szCs w:val="20"/>
                <w:color w:val="auto"/>
              </w:rPr>
            </w:pPr>
            <w:r>
              <w:rPr>
                <w:rFonts w:ascii="Arial" w:cs="Arial" w:eastAsia="Arial" w:hAnsi="Arial"/>
                <w:sz w:val="15"/>
                <w:szCs w:val="15"/>
                <w:color w:val="auto"/>
              </w:rPr>
              <w:t>Inventory</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127,514</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130,432</w:t>
            </w:r>
          </w:p>
        </w:tc>
        <w:tc>
          <w:tcPr>
            <w:tcW w:w="280" w:type="dxa"/>
            <w:vAlign w:val="bottom"/>
          </w:tcPr>
          <w:p>
            <w:pPr>
              <w:spacing w:after="0"/>
              <w:rPr>
                <w:sz w:val="16"/>
                <w:szCs w:val="16"/>
                <w:color w:val="auto"/>
              </w:rPr>
            </w:pPr>
          </w:p>
        </w:tc>
      </w:tr>
      <w:tr>
        <w:trPr>
          <w:trHeight w:val="188"/>
        </w:trPr>
        <w:tc>
          <w:tcPr>
            <w:tcW w:w="73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Prepaid and other current assets</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13,145</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10,838</w:t>
            </w:r>
          </w:p>
        </w:tc>
        <w:tc>
          <w:tcPr>
            <w:tcW w:w="280" w:type="dxa"/>
            <w:vAlign w:val="bottom"/>
            <w:shd w:val="clear" w:color="auto" w:fill="CCEEFF"/>
          </w:tcPr>
          <w:p>
            <w:pPr>
              <w:spacing w:after="0"/>
              <w:rPr>
                <w:sz w:val="16"/>
                <w:szCs w:val="16"/>
                <w:color w:val="auto"/>
              </w:rPr>
            </w:pPr>
          </w:p>
        </w:tc>
      </w:tr>
      <w:tr>
        <w:trPr>
          <w:trHeight w:val="188"/>
        </w:trPr>
        <w:tc>
          <w:tcPr>
            <w:tcW w:w="732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Income tax receivable</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3,581</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4,123</w:t>
            </w:r>
          </w:p>
        </w:tc>
        <w:tc>
          <w:tcPr>
            <w:tcW w:w="280" w:type="dxa"/>
            <w:vAlign w:val="bottom"/>
            <w:tcBorders>
              <w:bottom w:val="single" w:sz="8" w:color="CCEEFF"/>
            </w:tcBorders>
          </w:tcPr>
          <w:p>
            <w:pPr>
              <w:spacing w:after="0"/>
              <w:rPr>
                <w:sz w:val="16"/>
                <w:szCs w:val="16"/>
                <w:color w:val="auto"/>
              </w:rPr>
            </w:pPr>
          </w:p>
        </w:tc>
      </w:tr>
      <w:tr>
        <w:trPr>
          <w:trHeight w:val="168"/>
        </w:trPr>
        <w:tc>
          <w:tcPr>
            <w:tcW w:w="73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Total current assets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183,112</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225,099</w:t>
            </w:r>
          </w:p>
        </w:tc>
        <w:tc>
          <w:tcPr>
            <w:tcW w:w="280" w:type="dxa"/>
            <w:vAlign w:val="bottom"/>
            <w:shd w:val="clear" w:color="auto" w:fill="CCEEFF"/>
          </w:tcPr>
          <w:p>
            <w:pPr>
              <w:spacing w:after="0"/>
              <w:rPr>
                <w:sz w:val="14"/>
                <w:szCs w:val="14"/>
                <w:color w:val="auto"/>
              </w:rPr>
            </w:pPr>
          </w:p>
        </w:tc>
      </w:tr>
      <w:tr>
        <w:trPr>
          <w:trHeight w:val="164"/>
        </w:trPr>
        <w:tc>
          <w:tcPr>
            <w:tcW w:w="7320" w:type="dxa"/>
            <w:vAlign w:val="bottom"/>
          </w:tcPr>
          <w:p>
            <w:pPr>
              <w:ind w:left="200"/>
              <w:spacing w:after="0" w:line="164" w:lineRule="exact"/>
              <w:rPr>
                <w:sz w:val="20"/>
                <w:szCs w:val="20"/>
                <w:color w:val="auto"/>
              </w:rPr>
            </w:pPr>
            <w:r>
              <w:rPr>
                <w:rFonts w:ascii="Arial" w:cs="Arial" w:eastAsia="Arial" w:hAnsi="Arial"/>
                <w:sz w:val="15"/>
                <w:szCs w:val="15"/>
                <w:color w:val="auto"/>
              </w:rPr>
              <w:t>Property and equipment, net of accumulated depreciation of $294,363 and $276,446 as of November 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88"/>
        </w:trPr>
        <w:tc>
          <w:tcPr>
            <w:tcW w:w="7320" w:type="dxa"/>
            <w:vAlign w:val="bottom"/>
          </w:tcPr>
          <w:p>
            <w:pPr>
              <w:ind w:left="200"/>
              <w:spacing w:after="0"/>
              <w:rPr>
                <w:sz w:val="20"/>
                <w:szCs w:val="20"/>
                <w:color w:val="auto"/>
              </w:rPr>
            </w:pPr>
            <w:r>
              <w:rPr>
                <w:rFonts w:ascii="Arial" w:cs="Arial" w:eastAsia="Arial" w:hAnsi="Arial"/>
                <w:sz w:val="15"/>
                <w:szCs w:val="15"/>
                <w:color w:val="auto"/>
              </w:rPr>
              <w:t>2024 and February 3, 2024, respectively</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48,878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56,231</w:t>
            </w:r>
          </w:p>
        </w:tc>
        <w:tc>
          <w:tcPr>
            <w:tcW w:w="280" w:type="dxa"/>
            <w:vAlign w:val="bottom"/>
          </w:tcPr>
          <w:p>
            <w:pPr>
              <w:spacing w:after="0"/>
              <w:rPr>
                <w:sz w:val="16"/>
                <w:szCs w:val="16"/>
                <w:color w:val="auto"/>
              </w:rPr>
            </w:pPr>
          </w:p>
        </w:tc>
      </w:tr>
      <w:tr>
        <w:trPr>
          <w:trHeight w:val="188"/>
        </w:trPr>
        <w:tc>
          <w:tcPr>
            <w:tcW w:w="73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Operating lease right of use assets</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218,899</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231,281</w:t>
            </w:r>
          </w:p>
        </w:tc>
        <w:tc>
          <w:tcPr>
            <w:tcW w:w="280" w:type="dxa"/>
            <w:vAlign w:val="bottom"/>
            <w:shd w:val="clear" w:color="auto" w:fill="CCEEFF"/>
          </w:tcPr>
          <w:p>
            <w:pPr>
              <w:spacing w:after="0"/>
              <w:rPr>
                <w:sz w:val="16"/>
                <w:szCs w:val="16"/>
                <w:color w:val="auto"/>
              </w:rPr>
            </w:pPr>
          </w:p>
        </w:tc>
      </w:tr>
      <w:tr>
        <w:trPr>
          <w:trHeight w:val="188"/>
        </w:trPr>
        <w:tc>
          <w:tcPr>
            <w:tcW w:w="7320" w:type="dxa"/>
            <w:vAlign w:val="bottom"/>
          </w:tcPr>
          <w:p>
            <w:pPr>
              <w:ind w:left="200"/>
              <w:spacing w:after="0"/>
              <w:rPr>
                <w:sz w:val="20"/>
                <w:szCs w:val="20"/>
                <w:color w:val="auto"/>
              </w:rPr>
            </w:pPr>
            <w:r>
              <w:rPr>
                <w:rFonts w:ascii="Arial" w:cs="Arial" w:eastAsia="Arial" w:hAnsi="Arial"/>
                <w:sz w:val="15"/>
                <w:szCs w:val="15"/>
                <w:color w:val="auto"/>
              </w:rPr>
              <w:t>Deferred income taxes</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15,301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5,105</w:t>
            </w:r>
          </w:p>
        </w:tc>
        <w:tc>
          <w:tcPr>
            <w:tcW w:w="280" w:type="dxa"/>
            <w:vAlign w:val="bottom"/>
          </w:tcPr>
          <w:p>
            <w:pPr>
              <w:spacing w:after="0"/>
              <w:rPr>
                <w:sz w:val="16"/>
                <w:szCs w:val="16"/>
                <w:color w:val="auto"/>
              </w:rPr>
            </w:pPr>
          </w:p>
        </w:tc>
      </w:tr>
      <w:tr>
        <w:trPr>
          <w:trHeight w:val="188"/>
        </w:trPr>
        <w:tc>
          <w:tcPr>
            <w:tcW w:w="73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 assets</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886</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1,005</w:t>
            </w:r>
          </w:p>
        </w:tc>
        <w:tc>
          <w:tcPr>
            <w:tcW w:w="280" w:type="dxa"/>
            <w:vAlign w:val="bottom"/>
            <w:shd w:val="clear" w:color="auto" w:fill="CCEEFF"/>
          </w:tcPr>
          <w:p>
            <w:pPr>
              <w:spacing w:after="0"/>
              <w:rPr>
                <w:sz w:val="16"/>
                <w:szCs w:val="16"/>
                <w:color w:val="auto"/>
              </w:rPr>
            </w:pPr>
          </w:p>
        </w:tc>
      </w:tr>
      <w:tr>
        <w:trPr>
          <w:trHeight w:val="208"/>
        </w:trPr>
        <w:tc>
          <w:tcPr>
            <w:tcW w:w="7320" w:type="dxa"/>
            <w:vAlign w:val="bottom"/>
            <w:tcBorders>
              <w:bottom w:val="single" w:sz="8" w:color="CCEEFF"/>
            </w:tcBorders>
          </w:tcPr>
          <w:p>
            <w:pPr>
              <w:ind w:left="300"/>
              <w:spacing w:after="0" w:line="169" w:lineRule="exact"/>
              <w:rPr>
                <w:sz w:val="20"/>
                <w:szCs w:val="20"/>
                <w:color w:val="auto"/>
              </w:rPr>
            </w:pPr>
            <w:r>
              <w:rPr>
                <w:rFonts w:ascii="Arial" w:cs="Arial" w:eastAsia="Arial" w:hAnsi="Arial"/>
                <w:sz w:val="15"/>
                <w:szCs w:val="15"/>
                <w:color w:val="auto"/>
              </w:rPr>
              <w:t>Total assets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9"/>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467,076</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518,721</w:t>
            </w:r>
          </w:p>
        </w:tc>
        <w:tc>
          <w:tcPr>
            <w:tcW w:w="280" w:type="dxa"/>
            <w:vAlign w:val="bottom"/>
            <w:tcBorders>
              <w:bottom w:val="single" w:sz="8" w:color="CCEEFF"/>
            </w:tcBorders>
          </w:tcPr>
          <w:p>
            <w:pPr>
              <w:spacing w:after="0"/>
              <w:rPr>
                <w:sz w:val="18"/>
                <w:szCs w:val="18"/>
                <w:color w:val="auto"/>
              </w:rPr>
            </w:pPr>
          </w:p>
        </w:tc>
      </w:tr>
      <w:tr>
        <w:trPr>
          <w:trHeight w:val="154"/>
        </w:trPr>
        <w:tc>
          <w:tcPr>
            <w:tcW w:w="7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r>
      <w:tr>
        <w:trPr>
          <w:trHeight w:val="188"/>
        </w:trPr>
        <w:tc>
          <w:tcPr>
            <w:tcW w:w="7320" w:type="dxa"/>
            <w:vAlign w:val="bottom"/>
          </w:tcPr>
          <w:p>
            <w:pPr>
              <w:ind w:left="2380"/>
              <w:spacing w:after="0"/>
              <w:rPr>
                <w:sz w:val="20"/>
                <w:szCs w:val="20"/>
                <w:color w:val="auto"/>
              </w:rPr>
            </w:pPr>
            <w:r>
              <w:rPr>
                <w:rFonts w:ascii="Arial" w:cs="Arial" w:eastAsia="Arial" w:hAnsi="Arial"/>
                <w:sz w:val="15"/>
                <w:szCs w:val="15"/>
                <w:b w:val="1"/>
                <w:bCs w:val="1"/>
                <w:color w:val="auto"/>
              </w:rPr>
              <w:t>Liabilities and Stockholders’ Equity</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188"/>
        </w:trPr>
        <w:tc>
          <w:tcPr>
            <w:tcW w:w="7320" w:type="dxa"/>
            <w:vAlign w:val="bottom"/>
          </w:tcPr>
          <w:p>
            <w:pPr>
              <w:ind w:left="200"/>
              <w:spacing w:after="0"/>
              <w:rPr>
                <w:sz w:val="20"/>
                <w:szCs w:val="20"/>
                <w:color w:val="auto"/>
              </w:rPr>
            </w:pPr>
            <w:r>
              <w:rPr>
                <w:rFonts w:ascii="Arial" w:cs="Arial" w:eastAsia="Arial" w:hAnsi="Arial"/>
                <w:sz w:val="15"/>
                <w:szCs w:val="15"/>
                <w:color w:val="auto"/>
              </w:rPr>
              <w:t>Accounts payable</w:t>
            </w:r>
          </w:p>
        </w:tc>
        <w:tc>
          <w:tcPr>
            <w:tcW w:w="400" w:type="dxa"/>
            <w:vAlign w:val="bottom"/>
            <w:gridSpan w:val="2"/>
          </w:tcPr>
          <w:p>
            <w:pPr>
              <w:jc w:val="right"/>
              <w:ind w:right="49"/>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82,791</w:t>
            </w:r>
          </w:p>
        </w:tc>
        <w:tc>
          <w:tcPr>
            <w:tcW w:w="22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100,366</w:t>
            </w:r>
          </w:p>
        </w:tc>
        <w:tc>
          <w:tcPr>
            <w:tcW w:w="280" w:type="dxa"/>
            <w:vAlign w:val="bottom"/>
          </w:tcPr>
          <w:p>
            <w:pPr>
              <w:spacing w:after="0"/>
              <w:rPr>
                <w:sz w:val="16"/>
                <w:szCs w:val="16"/>
                <w:color w:val="auto"/>
              </w:rPr>
            </w:pPr>
          </w:p>
        </w:tc>
      </w:tr>
      <w:tr>
        <w:trPr>
          <w:trHeight w:val="188"/>
        </w:trPr>
        <w:tc>
          <w:tcPr>
            <w:tcW w:w="73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Operating lease liabilities</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49,390</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45,842</w:t>
            </w:r>
          </w:p>
        </w:tc>
        <w:tc>
          <w:tcPr>
            <w:tcW w:w="280" w:type="dxa"/>
            <w:vAlign w:val="bottom"/>
            <w:shd w:val="clear" w:color="auto" w:fill="CCEEFF"/>
          </w:tcPr>
          <w:p>
            <w:pPr>
              <w:spacing w:after="0"/>
              <w:rPr>
                <w:sz w:val="16"/>
                <w:szCs w:val="16"/>
                <w:color w:val="auto"/>
              </w:rPr>
            </w:pPr>
          </w:p>
        </w:tc>
      </w:tr>
      <w:tr>
        <w:trPr>
          <w:trHeight w:val="188"/>
        </w:trPr>
        <w:tc>
          <w:tcPr>
            <w:tcW w:w="7320" w:type="dxa"/>
            <w:vAlign w:val="bottom"/>
          </w:tcPr>
          <w:p>
            <w:pPr>
              <w:ind w:left="200"/>
              <w:spacing w:after="0"/>
              <w:rPr>
                <w:sz w:val="20"/>
                <w:szCs w:val="20"/>
                <w:color w:val="auto"/>
              </w:rPr>
            </w:pPr>
            <w:r>
              <w:rPr>
                <w:rFonts w:ascii="Arial" w:cs="Arial" w:eastAsia="Arial" w:hAnsi="Arial"/>
                <w:sz w:val="15"/>
                <w:szCs w:val="15"/>
                <w:color w:val="auto"/>
              </w:rPr>
              <w:t>Accrued expenses</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16,106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16,466</w:t>
            </w:r>
          </w:p>
        </w:tc>
        <w:tc>
          <w:tcPr>
            <w:tcW w:w="280" w:type="dxa"/>
            <w:vAlign w:val="bottom"/>
          </w:tcPr>
          <w:p>
            <w:pPr>
              <w:spacing w:after="0"/>
              <w:rPr>
                <w:sz w:val="16"/>
                <w:szCs w:val="16"/>
                <w:color w:val="auto"/>
              </w:rPr>
            </w:pPr>
          </w:p>
        </w:tc>
      </w:tr>
      <w:tr>
        <w:trPr>
          <w:trHeight w:val="188"/>
        </w:trPr>
        <w:tc>
          <w:tcPr>
            <w:tcW w:w="73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Accrued compensation</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9,731</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6,846</w:t>
            </w:r>
          </w:p>
        </w:tc>
        <w:tc>
          <w:tcPr>
            <w:tcW w:w="280" w:type="dxa"/>
            <w:vAlign w:val="bottom"/>
            <w:shd w:val="clear" w:color="auto" w:fill="CCEEFF"/>
          </w:tcPr>
          <w:p>
            <w:pPr>
              <w:spacing w:after="0"/>
              <w:rPr>
                <w:sz w:val="16"/>
                <w:szCs w:val="16"/>
                <w:color w:val="auto"/>
              </w:rPr>
            </w:pPr>
          </w:p>
        </w:tc>
      </w:tr>
      <w:tr>
        <w:trPr>
          <w:trHeight w:val="188"/>
        </w:trPr>
        <w:tc>
          <w:tcPr>
            <w:tcW w:w="732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Layaway deposits</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1,548</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384</w:t>
            </w:r>
          </w:p>
        </w:tc>
        <w:tc>
          <w:tcPr>
            <w:tcW w:w="280" w:type="dxa"/>
            <w:vAlign w:val="bottom"/>
            <w:tcBorders>
              <w:bottom w:val="single" w:sz="8" w:color="CCEEFF"/>
            </w:tcBorders>
          </w:tcPr>
          <w:p>
            <w:pPr>
              <w:spacing w:after="0"/>
              <w:rPr>
                <w:sz w:val="16"/>
                <w:szCs w:val="16"/>
                <w:color w:val="auto"/>
              </w:rPr>
            </w:pPr>
          </w:p>
        </w:tc>
      </w:tr>
      <w:tr>
        <w:trPr>
          <w:trHeight w:val="168"/>
        </w:trPr>
        <w:tc>
          <w:tcPr>
            <w:tcW w:w="73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Total current liabilities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159,566</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169,904</w:t>
            </w:r>
          </w:p>
        </w:tc>
        <w:tc>
          <w:tcPr>
            <w:tcW w:w="280" w:type="dxa"/>
            <w:vAlign w:val="bottom"/>
            <w:shd w:val="clear" w:color="auto" w:fill="CCEEFF"/>
          </w:tcPr>
          <w:p>
            <w:pPr>
              <w:spacing w:after="0"/>
              <w:rPr>
                <w:sz w:val="14"/>
                <w:szCs w:val="14"/>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5"/>
                <w:szCs w:val="15"/>
                <w:color w:val="auto"/>
              </w:rPr>
              <w:t>Noncurrent operating lease liabilities</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175,767</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188,810</w:t>
            </w:r>
          </w:p>
        </w:tc>
        <w:tc>
          <w:tcPr>
            <w:tcW w:w="280" w:type="dxa"/>
            <w:vAlign w:val="bottom"/>
          </w:tcPr>
          <w:p>
            <w:pPr>
              <w:spacing w:after="0"/>
              <w:rPr>
                <w:sz w:val="16"/>
                <w:szCs w:val="16"/>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5"/>
                <w:szCs w:val="15"/>
                <w:color w:val="auto"/>
              </w:rPr>
              <w:t>Other long-term liabilities</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1,473</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2,301</w:t>
            </w:r>
          </w:p>
        </w:tc>
        <w:tc>
          <w:tcPr>
            <w:tcW w:w="280" w:type="dxa"/>
            <w:vAlign w:val="bottom"/>
            <w:shd w:val="clear" w:color="auto" w:fill="CCEEFF"/>
          </w:tcPr>
          <w:p>
            <w:pPr>
              <w:spacing w:after="0"/>
              <w:rPr>
                <w:sz w:val="16"/>
                <w:szCs w:val="16"/>
                <w:color w:val="auto"/>
              </w:rPr>
            </w:pPr>
          </w:p>
        </w:tc>
      </w:tr>
      <w:tr>
        <w:trPr>
          <w:trHeight w:val="168"/>
        </w:trPr>
        <w:tc>
          <w:tcPr>
            <w:tcW w:w="7320" w:type="dxa"/>
            <w:vAlign w:val="bottom"/>
            <w:tcBorders>
              <w:bottom w:val="single" w:sz="8" w:color="CCEEFF"/>
            </w:tcBorders>
          </w:tcPr>
          <w:p>
            <w:pPr>
              <w:ind w:left="300"/>
              <w:spacing w:after="0" w:line="169" w:lineRule="exact"/>
              <w:rPr>
                <w:sz w:val="20"/>
                <w:szCs w:val="20"/>
                <w:color w:val="auto"/>
              </w:rPr>
            </w:pPr>
            <w:r>
              <w:rPr>
                <w:rFonts w:ascii="Arial" w:cs="Arial" w:eastAsia="Arial" w:hAnsi="Arial"/>
                <w:sz w:val="15"/>
                <w:szCs w:val="15"/>
                <w:color w:val="auto"/>
              </w:rPr>
              <w:t>Total liabilities</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336,806</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361,015</w:t>
            </w:r>
          </w:p>
        </w:tc>
        <w:tc>
          <w:tcPr>
            <w:tcW w:w="280" w:type="dxa"/>
            <w:vAlign w:val="bottom"/>
            <w:tcBorders>
              <w:bottom w:val="single" w:sz="8" w:color="CCEEFF"/>
            </w:tcBorders>
          </w:tcPr>
          <w:p>
            <w:pPr>
              <w:spacing w:after="0"/>
              <w:rPr>
                <w:sz w:val="14"/>
                <w:szCs w:val="14"/>
                <w:color w:val="auto"/>
              </w:rPr>
            </w:pPr>
          </w:p>
        </w:tc>
      </w:tr>
      <w:tr>
        <w:trPr>
          <w:trHeight w:val="168"/>
        </w:trPr>
        <w:tc>
          <w:tcPr>
            <w:tcW w:w="7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r>
      <w:tr>
        <w:trPr>
          <w:trHeight w:val="188"/>
        </w:trPr>
        <w:tc>
          <w:tcPr>
            <w:tcW w:w="7320" w:type="dxa"/>
            <w:vAlign w:val="bottom"/>
          </w:tcPr>
          <w:p>
            <w:pPr>
              <w:spacing w:after="0"/>
              <w:rPr>
                <w:sz w:val="20"/>
                <w:szCs w:val="20"/>
                <w:color w:val="auto"/>
              </w:rPr>
            </w:pPr>
            <w:r>
              <w:rPr>
                <w:rFonts w:ascii="Arial" w:cs="Arial" w:eastAsia="Arial" w:hAnsi="Arial"/>
                <w:sz w:val="15"/>
                <w:szCs w:val="15"/>
                <w:color w:val="auto"/>
              </w:rPr>
              <w:t>Stockholders’ equity:</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64"/>
        </w:trPr>
        <w:tc>
          <w:tcPr>
            <w:tcW w:w="7320" w:type="dxa"/>
            <w:vAlign w:val="bottom"/>
            <w:shd w:val="clear" w:color="auto" w:fill="CCEEFF"/>
          </w:tcPr>
          <w:p>
            <w:pPr>
              <w:ind w:left="200"/>
              <w:spacing w:after="0" w:line="164" w:lineRule="exact"/>
              <w:rPr>
                <w:sz w:val="20"/>
                <w:szCs w:val="20"/>
                <w:color w:val="auto"/>
              </w:rPr>
            </w:pPr>
            <w:r>
              <w:rPr>
                <w:rFonts w:ascii="Arial" w:cs="Arial" w:eastAsia="Arial" w:hAnsi="Arial"/>
                <w:sz w:val="15"/>
                <w:szCs w:val="15"/>
                <w:color w:val="auto"/>
              </w:rPr>
              <w:t>Common stock, $0.01 par value. Authorized 32,000,000 shares; 16,434,037 shares issued as of</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r>
      <w:tr>
        <w:trPr>
          <w:trHeight w:val="176"/>
        </w:trPr>
        <w:tc>
          <w:tcPr>
            <w:tcW w:w="73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November 2, 2024 and 16,354,714 shares issued as of February 3, 2024; 8,630,024 shares outstanding</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r>
      <w:tr>
        <w:trPr>
          <w:trHeight w:val="188"/>
        </w:trPr>
        <w:tc>
          <w:tcPr>
            <w:tcW w:w="73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as of November 2, 2024 and 8,550,701 shares outstanding as of February 3, 2024</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w:t>
            </w:r>
          </w:p>
        </w:tc>
        <w:tc>
          <w:tcPr>
            <w:tcW w:w="280" w:type="dxa"/>
            <w:vAlign w:val="bottom"/>
            <w:shd w:val="clear" w:color="auto" w:fill="CCEEFF"/>
          </w:tcPr>
          <w:p>
            <w:pPr>
              <w:spacing w:after="0"/>
              <w:rPr>
                <w:sz w:val="16"/>
                <w:szCs w:val="16"/>
                <w:color w:val="auto"/>
              </w:rPr>
            </w:pPr>
          </w:p>
        </w:tc>
      </w:tr>
      <w:tr>
        <w:trPr>
          <w:trHeight w:val="188"/>
        </w:trPr>
        <w:tc>
          <w:tcPr>
            <w:tcW w:w="7320" w:type="dxa"/>
            <w:vAlign w:val="bottom"/>
          </w:tcPr>
          <w:p>
            <w:pPr>
              <w:ind w:left="200"/>
              <w:spacing w:after="0"/>
              <w:rPr>
                <w:sz w:val="20"/>
                <w:szCs w:val="20"/>
                <w:color w:val="auto"/>
              </w:rPr>
            </w:pPr>
            <w:r>
              <w:rPr>
                <w:rFonts w:ascii="Arial" w:cs="Arial" w:eastAsia="Arial" w:hAnsi="Arial"/>
                <w:sz w:val="15"/>
                <w:szCs w:val="15"/>
                <w:color w:val="auto"/>
              </w:rPr>
              <w:t>Paid in capital</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107,239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105,686</w:t>
            </w:r>
          </w:p>
        </w:tc>
        <w:tc>
          <w:tcPr>
            <w:tcW w:w="280" w:type="dxa"/>
            <w:vAlign w:val="bottom"/>
          </w:tcPr>
          <w:p>
            <w:pPr>
              <w:spacing w:after="0"/>
              <w:rPr>
                <w:sz w:val="16"/>
                <w:szCs w:val="16"/>
                <w:color w:val="auto"/>
              </w:rPr>
            </w:pPr>
          </w:p>
        </w:tc>
      </w:tr>
      <w:tr>
        <w:trPr>
          <w:trHeight w:val="188"/>
        </w:trPr>
        <w:tc>
          <w:tcPr>
            <w:tcW w:w="73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Retained earnings</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290,080</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319,071</w:t>
            </w:r>
          </w:p>
        </w:tc>
        <w:tc>
          <w:tcPr>
            <w:tcW w:w="280" w:type="dxa"/>
            <w:vAlign w:val="bottom"/>
            <w:shd w:val="clear" w:color="auto" w:fill="CCEEFF"/>
          </w:tcPr>
          <w:p>
            <w:pPr>
              <w:spacing w:after="0"/>
              <w:rPr>
                <w:sz w:val="16"/>
                <w:szCs w:val="16"/>
                <w:color w:val="auto"/>
              </w:rPr>
            </w:pPr>
          </w:p>
        </w:tc>
      </w:tr>
      <w:tr>
        <w:trPr>
          <w:trHeight w:val="188"/>
        </w:trPr>
        <w:tc>
          <w:tcPr>
            <w:tcW w:w="732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Treasury stock, at cost; 7,804,013 shares held as of November 2, 2024 and February 3, 2024</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(267,211)</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(267,211)</w:t>
            </w:r>
          </w:p>
        </w:tc>
        <w:tc>
          <w:tcPr>
            <w:tcW w:w="280" w:type="dxa"/>
            <w:vAlign w:val="bottom"/>
            <w:tcBorders>
              <w:bottom w:val="single" w:sz="8" w:color="CCEEFF"/>
            </w:tcBorders>
          </w:tcPr>
          <w:p>
            <w:pPr>
              <w:spacing w:after="0"/>
              <w:rPr>
                <w:sz w:val="16"/>
                <w:szCs w:val="16"/>
                <w:color w:val="auto"/>
              </w:rPr>
            </w:pPr>
          </w:p>
        </w:tc>
      </w:tr>
      <w:tr>
        <w:trPr>
          <w:trHeight w:val="168"/>
        </w:trPr>
        <w:tc>
          <w:tcPr>
            <w:tcW w:w="73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Total stockholders’ equity</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130,270</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157,706</w:t>
            </w:r>
          </w:p>
        </w:tc>
        <w:tc>
          <w:tcPr>
            <w:tcW w:w="280" w:type="dxa"/>
            <w:vAlign w:val="bottom"/>
            <w:shd w:val="clear" w:color="auto" w:fill="CCEEFF"/>
          </w:tcPr>
          <w:p>
            <w:pPr>
              <w:spacing w:after="0"/>
              <w:rPr>
                <w:sz w:val="14"/>
                <w:szCs w:val="14"/>
                <w:color w:val="auto"/>
              </w:rPr>
            </w:pPr>
          </w:p>
        </w:tc>
      </w:tr>
      <w:tr>
        <w:trPr>
          <w:trHeight w:val="168"/>
        </w:trPr>
        <w:tc>
          <w:tcPr>
            <w:tcW w:w="7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5"/>
                <w:szCs w:val="15"/>
                <w:color w:val="auto"/>
              </w:rPr>
              <w:t>Commitments and contingencies (Note 7)</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176"/>
        </w:trPr>
        <w:tc>
          <w:tcPr>
            <w:tcW w:w="7320" w:type="dxa"/>
            <w:vAlign w:val="bottom"/>
          </w:tcPr>
          <w:p>
            <w:pPr>
              <w:ind w:left="200"/>
              <w:spacing w:after="0"/>
              <w:rPr>
                <w:sz w:val="20"/>
                <w:szCs w:val="20"/>
                <w:color w:val="auto"/>
              </w:rPr>
            </w:pPr>
            <w:r>
              <w:rPr>
                <w:rFonts w:ascii="Arial" w:cs="Arial" w:eastAsia="Arial" w:hAnsi="Arial"/>
                <w:sz w:val="15"/>
                <w:szCs w:val="15"/>
                <w:color w:val="auto"/>
              </w:rPr>
              <w:t>Total liabilities and stockholders’ equity</w:t>
            </w:r>
          </w:p>
        </w:tc>
        <w:tc>
          <w:tcPr>
            <w:tcW w:w="400" w:type="dxa"/>
            <w:vAlign w:val="bottom"/>
            <w:gridSpan w:val="2"/>
          </w:tcPr>
          <w:p>
            <w:pPr>
              <w:jc w:val="right"/>
              <w:ind w:right="49"/>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467,076</w:t>
            </w:r>
          </w:p>
        </w:tc>
        <w:tc>
          <w:tcPr>
            <w:tcW w:w="220" w:type="dxa"/>
            <w:vAlign w:val="bottom"/>
          </w:tcPr>
          <w:p>
            <w:pPr>
              <w:spacing w:after="0"/>
              <w:rPr>
                <w:sz w:val="15"/>
                <w:szCs w:val="15"/>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518,721</w:t>
            </w:r>
          </w:p>
        </w:tc>
        <w:tc>
          <w:tcPr>
            <w:tcW w:w="280" w:type="dxa"/>
            <w:vAlign w:val="bottom"/>
          </w:tcPr>
          <w:p>
            <w:pPr>
              <w:spacing w:after="0"/>
              <w:rPr>
                <w:sz w:val="15"/>
                <w:szCs w:val="15"/>
                <w:color w:val="auto"/>
              </w:rPr>
            </w:pPr>
          </w:p>
        </w:tc>
      </w:tr>
      <w:tr>
        <w:trPr>
          <w:trHeight w:val="20"/>
        </w:trPr>
        <w:tc>
          <w:tcPr>
            <w:tcW w:w="7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352"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328930</wp:posOffset>
            </wp:positionV>
            <wp:extent cx="629602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87" w:right="99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Citi Trends,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80" w:type="dxa"/>
            <w:vAlign w:val="bottom"/>
            <w:gridSpan w:val="7"/>
          </w:tcPr>
          <w:p>
            <w:pPr>
              <w:jc w:val="right"/>
              <w:ind w:right="460"/>
              <w:spacing w:after="0"/>
              <w:rPr>
                <w:sz w:val="20"/>
                <w:szCs w:val="20"/>
                <w:color w:val="auto"/>
              </w:rPr>
            </w:pPr>
            <w:r>
              <w:rPr>
                <w:rFonts w:ascii="Arial" w:cs="Arial" w:eastAsia="Arial" w:hAnsi="Arial"/>
                <w:sz w:val="13"/>
                <w:szCs w:val="13"/>
                <w:b w:val="1"/>
                <w:bCs w:val="1"/>
                <w:color w:val="auto"/>
              </w:rPr>
              <w:t>Thirteen Weeks Ended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4"/>
          </w:tcPr>
          <w:p>
            <w:pPr>
              <w:jc w:val="right"/>
              <w:ind w:right="180"/>
              <w:spacing w:after="0" w:line="134" w:lineRule="exact"/>
              <w:rPr>
                <w:sz w:val="20"/>
                <w:szCs w:val="20"/>
                <w:color w:val="auto"/>
              </w:rPr>
            </w:pPr>
            <w:r>
              <w:rPr>
                <w:rFonts w:ascii="Arial" w:cs="Arial" w:eastAsia="Arial" w:hAnsi="Arial"/>
                <w:sz w:val="13"/>
                <w:szCs w:val="13"/>
                <w:b w:val="1"/>
                <w:bCs w:val="1"/>
                <w:color w:val="auto"/>
              </w:rPr>
              <w:t>November 2,</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right"/>
              <w:ind w:right="85"/>
              <w:spacing w:after="0" w:line="134" w:lineRule="exact"/>
              <w:rPr>
                <w:sz w:val="20"/>
                <w:szCs w:val="20"/>
                <w:color w:val="auto"/>
              </w:rPr>
            </w:pPr>
            <w:r>
              <w:rPr>
                <w:rFonts w:ascii="Arial" w:cs="Arial" w:eastAsia="Arial" w:hAnsi="Arial"/>
                <w:sz w:val="13"/>
                <w:szCs w:val="13"/>
                <w:b w:val="1"/>
                <w:bCs w:val="1"/>
                <w:color w:val="auto"/>
              </w:rPr>
              <w:t>October 28,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3"/>
                <w:szCs w:val="13"/>
                <w:b w:val="1"/>
                <w:bCs w:val="1"/>
                <w:color w:val="auto"/>
              </w:rPr>
              <w:t>2024</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05"/>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sales</w:t>
            </w:r>
          </w:p>
        </w:tc>
        <w:tc>
          <w:tcPr>
            <w:tcW w:w="42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179,066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179,520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220" w:type="dxa"/>
            <w:vAlign w:val="bottom"/>
            <w:gridSpan w:val="2"/>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5"/>
                <w:szCs w:val="15"/>
                <w:color w:val="auto"/>
              </w:rPr>
              <w:t>Cost of sales (exclusive of depreciation)</w:t>
            </w: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(107,833)</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(110,942)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220" w:type="dxa"/>
            <w:vAlign w:val="bottom"/>
            <w:gridSpan w:val="2"/>
          </w:tcPr>
          <w:p>
            <w:pPr>
              <w:spacing w:after="0"/>
              <w:rPr>
                <w:sz w:val="20"/>
                <w:szCs w:val="20"/>
                <w:color w:val="auto"/>
              </w:rPr>
            </w:pPr>
            <w:r>
              <w:rPr>
                <w:rFonts w:ascii="Arial" w:cs="Arial" w:eastAsia="Arial" w:hAnsi="Arial"/>
                <w:sz w:val="15"/>
                <w:szCs w:val="15"/>
                <w:color w:val="auto"/>
              </w:rPr>
              <w:t>Selling, general and administrative expenses</w:t>
            </w: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(74,730)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(69,654)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5"/>
                <w:szCs w:val="15"/>
                <w:color w:val="auto"/>
              </w:rPr>
              <w:t>Depreciation</w:t>
            </w: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(4,755)</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(4,749)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220" w:type="dxa"/>
            <w:vAlign w:val="bottom"/>
            <w:gridSpan w:val="2"/>
          </w:tcPr>
          <w:p>
            <w:pPr>
              <w:spacing w:after="0"/>
              <w:rPr>
                <w:sz w:val="20"/>
                <w:szCs w:val="20"/>
                <w:color w:val="auto"/>
              </w:rPr>
            </w:pPr>
            <w:r>
              <w:rPr>
                <w:rFonts w:ascii="Arial" w:cs="Arial" w:eastAsia="Arial" w:hAnsi="Arial"/>
                <w:sz w:val="15"/>
                <w:szCs w:val="15"/>
                <w:color w:val="auto"/>
              </w:rPr>
              <w:t>Asset impairment</w:t>
            </w: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(574)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(178)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0" w:type="dxa"/>
            <w:vAlign w:val="bottom"/>
            <w:tcBorders>
              <w:top w:val="single" w:sz="8" w:color="CCEEFF"/>
            </w:tcBorders>
            <w:shd w:val="clear" w:color="auto" w:fill="CCEEFF"/>
          </w:tcPr>
          <w:p>
            <w:pPr>
              <w:ind w:left="280"/>
              <w:spacing w:after="0" w:line="169" w:lineRule="exact"/>
              <w:rPr>
                <w:sz w:val="20"/>
                <w:szCs w:val="20"/>
                <w:color w:val="auto"/>
              </w:rPr>
            </w:pPr>
            <w:r>
              <w:rPr>
                <w:rFonts w:ascii="Arial" w:cs="Arial" w:eastAsia="Arial" w:hAnsi="Arial"/>
                <w:sz w:val="15"/>
                <w:szCs w:val="15"/>
                <w:color w:val="auto"/>
              </w:rPr>
              <w:t>Loss from operations</w:t>
            </w:r>
          </w:p>
        </w:tc>
        <w:tc>
          <w:tcPr>
            <w:tcW w:w="4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(8,826)</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(6,003)</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220" w:type="dxa"/>
            <w:vAlign w:val="bottom"/>
            <w:gridSpan w:val="2"/>
          </w:tcPr>
          <w:p>
            <w:pPr>
              <w:spacing w:after="0"/>
              <w:rPr>
                <w:sz w:val="20"/>
                <w:szCs w:val="20"/>
                <w:color w:val="auto"/>
              </w:rPr>
            </w:pPr>
            <w:r>
              <w:rPr>
                <w:rFonts w:ascii="Arial" w:cs="Arial" w:eastAsia="Arial" w:hAnsi="Arial"/>
                <w:sz w:val="15"/>
                <w:szCs w:val="15"/>
                <w:color w:val="auto"/>
              </w:rPr>
              <w:t>Interest income</w:t>
            </w: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482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894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42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0" w:type="dxa"/>
            <w:vAlign w:val="bottom"/>
          </w:tcPr>
          <w:p>
            <w:pPr>
              <w:ind w:left="280"/>
              <w:spacing w:after="0" w:line="169" w:lineRule="exact"/>
              <w:rPr>
                <w:sz w:val="20"/>
                <w:szCs w:val="20"/>
                <w:color w:val="auto"/>
              </w:rPr>
            </w:pPr>
            <w:r>
              <w:rPr>
                <w:rFonts w:ascii="Arial" w:cs="Arial" w:eastAsia="Arial" w:hAnsi="Arial"/>
                <w:sz w:val="15"/>
                <w:szCs w:val="15"/>
                <w:color w:val="auto"/>
              </w:rPr>
              <w:t>Loss before income taxes</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(8,423)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9" w:lineRule="exact"/>
              <w:rPr>
                <w:sz w:val="20"/>
                <w:szCs w:val="20"/>
                <w:color w:val="auto"/>
              </w:rPr>
            </w:pPr>
            <w:r>
              <w:rPr>
                <w:rFonts w:ascii="Arial" w:cs="Arial" w:eastAsia="Arial" w:hAnsi="Arial"/>
                <w:sz w:val="15"/>
                <w:szCs w:val="15"/>
                <w:color w:val="auto"/>
              </w:rPr>
              <w:t>(5,185)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5"/>
                <w:szCs w:val="15"/>
                <w:color w:val="auto"/>
              </w:rPr>
              <w:t>Income tax benefit</w:t>
            </w:r>
          </w:p>
        </w:tc>
        <w:tc>
          <w:tcPr>
            <w:tcW w:w="42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1,271</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0" w:type="dxa"/>
            <w:vAlign w:val="bottom"/>
            <w:tcBorders>
              <w:bottom w:val="single" w:sz="8" w:color="CCEEFF"/>
            </w:tcBorders>
          </w:tcPr>
          <w:p>
            <w:pPr>
              <w:ind w:left="280"/>
              <w:spacing w:after="0" w:line="169" w:lineRule="exact"/>
              <w:rPr>
                <w:sz w:val="20"/>
                <w:szCs w:val="20"/>
                <w:color w:val="auto"/>
              </w:rPr>
            </w:pPr>
            <w:r>
              <w:rPr>
                <w:rFonts w:ascii="Arial" w:cs="Arial" w:eastAsia="Arial" w:hAnsi="Arial"/>
                <w:sz w:val="15"/>
                <w:szCs w:val="15"/>
                <w:color w:val="auto"/>
              </w:rPr>
              <w:t>Net loss</w:t>
            </w:r>
          </w:p>
        </w:tc>
        <w:tc>
          <w:tcPr>
            <w:tcW w:w="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gridSpan w:val="2"/>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5"/>
                <w:szCs w:val="15"/>
                <w:color w:val="auto"/>
              </w:rPr>
              <w:t>(7,152)</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gridSpan w:val="2"/>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(3,863)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5"/>
                <w:szCs w:val="15"/>
                <w:color w:val="auto"/>
              </w:rPr>
              <w:t>Basic net loss per common share</w:t>
            </w:r>
          </w:p>
        </w:tc>
        <w:tc>
          <w:tcPr>
            <w:tcW w:w="420" w:type="dxa"/>
            <w:vAlign w:val="bottom"/>
          </w:tcPr>
          <w:p>
            <w:pPr>
              <w:spacing w:after="0"/>
              <w:rPr>
                <w:sz w:val="18"/>
                <w:szCs w:val="18"/>
                <w:color w:val="auto"/>
              </w:rPr>
            </w:pPr>
          </w:p>
        </w:tc>
        <w:tc>
          <w:tcPr>
            <w:tcW w:w="160" w:type="dxa"/>
            <w:vAlign w:val="bottom"/>
            <w:gridSpan w:val="2"/>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(0.86)</w:t>
            </w:r>
          </w:p>
        </w:tc>
        <w:tc>
          <w:tcPr>
            <w:tcW w:w="60" w:type="dxa"/>
            <w:vAlign w:val="bottom"/>
          </w:tcPr>
          <w:p>
            <w:pPr>
              <w:spacing w:after="0"/>
              <w:rPr>
                <w:sz w:val="18"/>
                <w:szCs w:val="18"/>
                <w:color w:val="auto"/>
              </w:rPr>
            </w:pPr>
          </w:p>
        </w:tc>
        <w:tc>
          <w:tcPr>
            <w:tcW w:w="280" w:type="dxa"/>
            <w:vAlign w:val="bottom"/>
            <w:gridSpan w:val="3"/>
          </w:tcPr>
          <w:p>
            <w:pPr>
              <w:jc w:val="right"/>
              <w:ind w:right="47"/>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(0.47)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0" w:type="dxa"/>
            <w:vAlign w:val="bottom"/>
            <w:tcBorders>
              <w:top w:val="single" w:sz="8" w:color="CCEEFF"/>
              <w:bottom w:val="single" w:sz="8" w:color="CCEEFF"/>
            </w:tcBorders>
            <w:shd w:val="clear" w:color="auto" w:fill="CCEEFF"/>
          </w:tcPr>
          <w:p>
            <w:pPr>
              <w:spacing w:after="0" w:line="154" w:lineRule="exact"/>
              <w:rPr>
                <w:sz w:val="20"/>
                <w:szCs w:val="20"/>
                <w:color w:val="auto"/>
              </w:rPr>
            </w:pPr>
            <w:r>
              <w:rPr>
                <w:rFonts w:ascii="Arial" w:cs="Arial" w:eastAsia="Arial" w:hAnsi="Arial"/>
                <w:sz w:val="15"/>
                <w:szCs w:val="15"/>
                <w:color w:val="auto"/>
              </w:rPr>
              <w:t>Diluted net loss per common share</w:t>
            </w:r>
          </w:p>
        </w:tc>
        <w:tc>
          <w:tcPr>
            <w:tcW w:w="4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gridSpan w:val="2"/>
            <w:shd w:val="clear" w:color="auto" w:fill="CCEEFF"/>
          </w:tcPr>
          <w:p>
            <w:pPr>
              <w:jc w:val="right"/>
              <w:ind w:right="6"/>
              <w:spacing w:after="0" w:line="154" w:lineRule="exact"/>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shd w:val="clear" w:color="auto" w:fill="CCEEFF"/>
          </w:tcPr>
          <w:p>
            <w:pPr>
              <w:jc w:val="right"/>
              <w:spacing w:after="0" w:line="154" w:lineRule="exact"/>
              <w:rPr>
                <w:sz w:val="20"/>
                <w:szCs w:val="20"/>
                <w:color w:val="auto"/>
              </w:rPr>
            </w:pPr>
            <w:r>
              <w:rPr>
                <w:rFonts w:ascii="Arial" w:cs="Arial" w:eastAsia="Arial" w:hAnsi="Arial"/>
                <w:sz w:val="15"/>
                <w:szCs w:val="15"/>
                <w:color w:val="auto"/>
              </w:rPr>
              <w:t>(0.86)</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gridSpan w:val="2"/>
            <w:shd w:val="clear" w:color="auto" w:fill="CCEEFF"/>
          </w:tcPr>
          <w:p>
            <w:pPr>
              <w:jc w:val="right"/>
              <w:ind w:right="47"/>
              <w:spacing w:after="0" w:line="154"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rPr>
              <w:t>(0.47)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number of shares outstanding</w:t>
            </w: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Basic</w:t>
            </w:r>
          </w:p>
        </w:tc>
        <w:tc>
          <w:tcPr>
            <w:tcW w:w="4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8,356</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8,238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0" w:type="dxa"/>
            <w:vAlign w:val="bottom"/>
            <w:tcBorders>
              <w:bottom w:val="single" w:sz="8" w:color="CCEEFF"/>
            </w:tcBorders>
            <w:shd w:val="clear" w:color="auto" w:fill="CCEEFF"/>
          </w:tcPr>
          <w:p>
            <w:pPr>
              <w:ind w:left="180"/>
              <w:spacing w:after="0" w:line="154" w:lineRule="exact"/>
              <w:rPr>
                <w:sz w:val="20"/>
                <w:szCs w:val="20"/>
                <w:color w:val="auto"/>
              </w:rPr>
            </w:pPr>
            <w:r>
              <w:rPr>
                <w:rFonts w:ascii="Arial" w:cs="Arial" w:eastAsia="Arial" w:hAnsi="Arial"/>
                <w:sz w:val="15"/>
                <w:szCs w:val="15"/>
                <w:color w:val="auto"/>
              </w:rPr>
              <w:t>Diluted</w:t>
            </w:r>
          </w:p>
        </w:tc>
        <w:tc>
          <w:tcPr>
            <w:tcW w:w="4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gridSpan w:val="2"/>
            <w:shd w:val="clear" w:color="auto" w:fill="CCEEFF"/>
          </w:tcPr>
          <w:p>
            <w:pPr>
              <w:jc w:val="right"/>
              <w:spacing w:after="0" w:line="154" w:lineRule="exact"/>
              <w:rPr>
                <w:sz w:val="20"/>
                <w:szCs w:val="20"/>
                <w:color w:val="auto"/>
              </w:rPr>
            </w:pPr>
            <w:r>
              <w:rPr>
                <w:rFonts w:ascii="Arial" w:cs="Arial" w:eastAsia="Arial" w:hAnsi="Arial"/>
                <w:sz w:val="15"/>
                <w:szCs w:val="15"/>
                <w:color w:val="auto"/>
              </w:rPr>
              <w:t>8,356</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rPr>
              <w:t>8,238</w:t>
            </w:r>
          </w:p>
        </w:tc>
        <w:tc>
          <w:tcPr>
            <w:tcW w:w="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vMerge w:val="restart"/>
          </w:tcPr>
          <w:p>
            <w:pPr>
              <w:jc w:val="center"/>
              <w:ind w:left="2605"/>
              <w:spacing w:after="0"/>
              <w:rPr>
                <w:sz w:val="20"/>
                <w:szCs w:val="20"/>
                <w:color w:val="auto"/>
              </w:rPr>
            </w:pPr>
            <w:r>
              <w:rPr>
                <w:rFonts w:ascii="Arial" w:cs="Arial" w:eastAsia="Arial" w:hAnsi="Arial"/>
                <w:sz w:val="15"/>
                <w:szCs w:val="15"/>
                <w:b w:val="1"/>
                <w:bCs w:val="1"/>
                <w:color w:val="auto"/>
                <w:w w:val="99"/>
              </w:rPr>
              <w:t>Citi Trends, Inc.</w:t>
            </w:r>
          </w:p>
        </w:tc>
        <w:tc>
          <w:tcPr>
            <w:tcW w:w="4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72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0" w:type="dxa"/>
            <w:vAlign w:val="bottom"/>
          </w:tcPr>
          <w:p>
            <w:pPr>
              <w:jc w:val="center"/>
              <w:ind w:left="2625"/>
              <w:spacing w:after="0"/>
              <w:rPr>
                <w:sz w:val="20"/>
                <w:szCs w:val="20"/>
                <w:color w:val="auto"/>
              </w:rPr>
            </w:pPr>
            <w:r>
              <w:rPr>
                <w:rFonts w:ascii="Arial" w:cs="Arial" w:eastAsia="Arial" w:hAnsi="Arial"/>
                <w:sz w:val="15"/>
                <w:szCs w:val="15"/>
                <w:b w:val="1"/>
                <w:bCs w:val="1"/>
                <w:color w:val="auto"/>
              </w:rPr>
              <w:t>Condensed Consolidated Statements of Operations</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0" w:type="dxa"/>
            <w:vAlign w:val="bottom"/>
          </w:tcPr>
          <w:p>
            <w:pPr>
              <w:jc w:val="center"/>
              <w:ind w:left="2605"/>
              <w:spacing w:after="0"/>
              <w:rPr>
                <w:sz w:val="20"/>
                <w:szCs w:val="20"/>
                <w:color w:val="auto"/>
              </w:rPr>
            </w:pPr>
            <w:r>
              <w:rPr>
                <w:rFonts w:ascii="Arial" w:cs="Arial" w:eastAsia="Arial" w:hAnsi="Arial"/>
                <w:sz w:val="15"/>
                <w:szCs w:val="15"/>
                <w:b w:val="1"/>
                <w:bCs w:val="1"/>
                <w:color w:val="auto"/>
              </w:rPr>
              <w:t>(Unaudited)</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0" w:type="dxa"/>
            <w:vAlign w:val="bottom"/>
          </w:tcPr>
          <w:p>
            <w:pPr>
              <w:jc w:val="center"/>
              <w:ind w:left="2605"/>
              <w:spacing w:after="0"/>
              <w:rPr>
                <w:sz w:val="20"/>
                <w:szCs w:val="20"/>
                <w:color w:val="auto"/>
              </w:rPr>
            </w:pPr>
            <w:r>
              <w:rPr>
                <w:rFonts w:ascii="Arial" w:cs="Arial" w:eastAsia="Arial" w:hAnsi="Arial"/>
                <w:sz w:val="15"/>
                <w:szCs w:val="15"/>
                <w:b w:val="1"/>
                <w:bCs w:val="1"/>
                <w:color w:val="auto"/>
              </w:rPr>
              <w:t>(in thousands, except per share amounts)</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3"/>
                <w:szCs w:val="13"/>
                <w:b w:val="1"/>
                <w:bCs w:val="1"/>
                <w:color w:val="auto"/>
              </w:rPr>
              <w:t>Thirty-Nine Weeks Ended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right"/>
              <w:ind w:right="100"/>
              <w:spacing w:after="0" w:line="134" w:lineRule="exact"/>
              <w:rPr>
                <w:sz w:val="20"/>
                <w:szCs w:val="20"/>
                <w:color w:val="auto"/>
              </w:rPr>
            </w:pPr>
            <w:r>
              <w:rPr>
                <w:rFonts w:ascii="Arial" w:cs="Arial" w:eastAsia="Arial" w:hAnsi="Arial"/>
                <w:sz w:val="13"/>
                <w:szCs w:val="13"/>
                <w:b w:val="1"/>
                <w:bCs w:val="1"/>
                <w:color w:val="auto"/>
              </w:rPr>
              <w:t>November 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160"/>
              <w:spacing w:after="0" w:line="134" w:lineRule="exact"/>
              <w:rPr>
                <w:sz w:val="20"/>
                <w:szCs w:val="20"/>
                <w:color w:val="auto"/>
              </w:rPr>
            </w:pPr>
            <w:r>
              <w:rPr>
                <w:rFonts w:ascii="Arial" w:cs="Arial" w:eastAsia="Arial" w:hAnsi="Arial"/>
                <w:sz w:val="13"/>
                <w:szCs w:val="13"/>
                <w:b w:val="1"/>
                <w:bCs w:val="1"/>
                <w:color w:val="auto"/>
              </w:rPr>
              <w:t>October 28,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3"/>
                <w:szCs w:val="13"/>
                <w:b w:val="1"/>
                <w:bCs w:val="1"/>
                <w:color w:val="auto"/>
              </w:rPr>
              <w:t>2024</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25"/>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sales</w:t>
            </w:r>
          </w:p>
        </w:tc>
        <w:tc>
          <w:tcPr>
            <w:tcW w:w="48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541,907</w:t>
            </w:r>
          </w:p>
        </w:tc>
        <w:tc>
          <w:tcPr>
            <w:tcW w:w="1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532,762</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7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5"/>
                <w:szCs w:val="15"/>
                <w:color w:val="auto"/>
              </w:rPr>
              <w:t>Cost of sales (exclusive of depreciation)</w:t>
            </w: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(343,710)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(331,827)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0" w:type="dxa"/>
            <w:vAlign w:val="bottom"/>
          </w:tcPr>
          <w:p>
            <w:pPr>
              <w:spacing w:after="0"/>
              <w:rPr>
                <w:sz w:val="20"/>
                <w:szCs w:val="20"/>
                <w:color w:val="auto"/>
              </w:rPr>
            </w:pPr>
            <w:r>
              <w:rPr>
                <w:rFonts w:ascii="Arial" w:cs="Arial" w:eastAsia="Arial" w:hAnsi="Arial"/>
                <w:sz w:val="15"/>
                <w:szCs w:val="15"/>
                <w:color w:val="auto"/>
              </w:rPr>
              <w:t>Selling, general and administrative expenses</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Arial" w:cs="Arial" w:eastAsia="Arial" w:hAnsi="Arial"/>
                <w:sz w:val="15"/>
                <w:szCs w:val="15"/>
                <w:color w:val="auto"/>
              </w:rPr>
              <w:t>(222,721)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(210,004)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5"/>
                <w:szCs w:val="15"/>
                <w:color w:val="auto"/>
              </w:rPr>
              <w:t>Depreciation</w:t>
            </w: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(14,331)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(14,138)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0" w:type="dxa"/>
            <w:vAlign w:val="bottom"/>
          </w:tcPr>
          <w:p>
            <w:pPr>
              <w:spacing w:after="0"/>
              <w:rPr>
                <w:sz w:val="20"/>
                <w:szCs w:val="20"/>
                <w:color w:val="auto"/>
              </w:rPr>
            </w:pPr>
            <w:r>
              <w:rPr>
                <w:rFonts w:ascii="Arial" w:cs="Arial" w:eastAsia="Arial" w:hAnsi="Arial"/>
                <w:sz w:val="15"/>
                <w:szCs w:val="15"/>
                <w:color w:val="auto"/>
              </w:rPr>
              <w:t>Asset impairment</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Arial" w:cs="Arial" w:eastAsia="Arial" w:hAnsi="Arial"/>
                <w:sz w:val="15"/>
                <w:szCs w:val="15"/>
                <w:color w:val="auto"/>
              </w:rPr>
              <w:t>(1,835)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(178)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0" w:type="dxa"/>
            <w:vAlign w:val="bottom"/>
            <w:tcBorders>
              <w:top w:val="single" w:sz="8" w:color="CCEEFF"/>
            </w:tcBorders>
            <w:shd w:val="clear" w:color="auto" w:fill="CCEEFF"/>
          </w:tcPr>
          <w:p>
            <w:pPr>
              <w:ind w:left="280"/>
              <w:spacing w:after="0" w:line="169" w:lineRule="exact"/>
              <w:rPr>
                <w:sz w:val="20"/>
                <w:szCs w:val="20"/>
                <w:color w:val="auto"/>
              </w:rPr>
            </w:pPr>
            <w:r>
              <w:rPr>
                <w:rFonts w:ascii="Arial" w:cs="Arial" w:eastAsia="Arial" w:hAnsi="Arial"/>
                <w:sz w:val="15"/>
                <w:szCs w:val="15"/>
                <w:color w:val="auto"/>
              </w:rPr>
              <w:t>Loss from operations</w:t>
            </w:r>
          </w:p>
        </w:tc>
        <w:tc>
          <w:tcPr>
            <w:tcW w:w="4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(40,690)</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(23,385)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0" w:type="dxa"/>
            <w:vAlign w:val="bottom"/>
          </w:tcPr>
          <w:p>
            <w:pPr>
              <w:spacing w:after="0"/>
              <w:rPr>
                <w:sz w:val="20"/>
                <w:szCs w:val="20"/>
                <w:color w:val="auto"/>
              </w:rPr>
            </w:pPr>
            <w:r>
              <w:rPr>
                <w:rFonts w:ascii="Arial" w:cs="Arial" w:eastAsia="Arial" w:hAnsi="Arial"/>
                <w:sz w:val="15"/>
                <w:szCs w:val="15"/>
                <w:color w:val="auto"/>
              </w:rPr>
              <w:t>Interest income</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5"/>
                <w:szCs w:val="15"/>
                <w:color w:val="auto"/>
              </w:rPr>
              <w:t>1,942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2,804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(238)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(228)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0" w:type="dxa"/>
            <w:vAlign w:val="bottom"/>
          </w:tcPr>
          <w:p>
            <w:pPr>
              <w:ind w:left="280"/>
              <w:spacing w:after="0" w:line="169" w:lineRule="exact"/>
              <w:rPr>
                <w:sz w:val="20"/>
                <w:szCs w:val="20"/>
                <w:color w:val="auto"/>
              </w:rPr>
            </w:pPr>
            <w:r>
              <w:rPr>
                <w:rFonts w:ascii="Arial" w:cs="Arial" w:eastAsia="Arial" w:hAnsi="Arial"/>
                <w:sz w:val="15"/>
                <w:szCs w:val="15"/>
                <w:color w:val="auto"/>
              </w:rPr>
              <w:t>Loss before income taxes</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(38,986)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(20,809)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5"/>
                <w:szCs w:val="15"/>
                <w:color w:val="auto"/>
              </w:rPr>
              <w:t>Income tax benefit</w:t>
            </w: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9,995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5,279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0" w:type="dxa"/>
            <w:vAlign w:val="bottom"/>
            <w:tcBorders>
              <w:bottom w:val="single" w:sz="8" w:color="CCEEFF"/>
            </w:tcBorders>
          </w:tcPr>
          <w:p>
            <w:pPr>
              <w:ind w:left="280"/>
              <w:spacing w:after="0" w:line="169" w:lineRule="exact"/>
              <w:rPr>
                <w:sz w:val="20"/>
                <w:szCs w:val="20"/>
                <w:color w:val="auto"/>
              </w:rPr>
            </w:pPr>
            <w:r>
              <w:rPr>
                <w:rFonts w:ascii="Arial" w:cs="Arial" w:eastAsia="Arial" w:hAnsi="Arial"/>
                <w:sz w:val="15"/>
                <w:szCs w:val="15"/>
                <w:color w:val="auto"/>
              </w:rPr>
              <w:t>Net loss</w:t>
            </w:r>
          </w:p>
        </w:tc>
        <w:tc>
          <w:tcPr>
            <w:tcW w:w="480" w:type="dxa"/>
            <w:vAlign w:val="bottom"/>
            <w:tcBorders>
              <w:bottom w:val="single" w:sz="8" w:color="CCEEFF"/>
            </w:tcBorders>
            <w:gridSpan w:val="2"/>
          </w:tcPr>
          <w:p>
            <w:pPr>
              <w:spacing w:after="0"/>
              <w:rPr>
                <w:sz w:val="18"/>
                <w:szCs w:val="18"/>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3"/>
          </w:tcPr>
          <w:p>
            <w:pPr>
              <w:jc w:val="right"/>
              <w:spacing w:after="0" w:line="169" w:lineRule="exact"/>
              <w:rPr>
                <w:sz w:val="20"/>
                <w:szCs w:val="20"/>
                <w:color w:val="auto"/>
              </w:rPr>
            </w:pPr>
            <w:r>
              <w:rPr>
                <w:rFonts w:ascii="Arial" w:cs="Arial" w:eastAsia="Arial" w:hAnsi="Arial"/>
                <w:sz w:val="15"/>
                <w:szCs w:val="15"/>
                <w:color w:val="auto"/>
              </w:rPr>
              <w:t>(28,991)</w:t>
            </w:r>
          </w:p>
        </w:tc>
        <w:tc>
          <w:tcPr>
            <w:tcW w:w="160" w:type="dxa"/>
            <w:vAlign w:val="bottom"/>
            <w:tcBorders>
              <w:bottom w:val="single" w:sz="8" w:color="CCEEFF"/>
            </w:tcBorders>
            <w:gridSpan w:val="2"/>
          </w:tcPr>
          <w:p>
            <w:pPr>
              <w:spacing w:after="0"/>
              <w:rPr>
                <w:sz w:val="18"/>
                <w:szCs w:val="18"/>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5"/>
                <w:szCs w:val="15"/>
                <w:color w:val="auto"/>
              </w:rPr>
              <w:t>(15,530)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5"/>
                <w:szCs w:val="15"/>
                <w:color w:val="auto"/>
              </w:rPr>
              <w:t>Basic net loss per common share</w:t>
            </w:r>
          </w:p>
        </w:tc>
        <w:tc>
          <w:tcPr>
            <w:tcW w:w="48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spacing w:after="0"/>
              <w:rPr>
                <w:sz w:val="20"/>
                <w:szCs w:val="20"/>
                <w:color w:val="auto"/>
              </w:rPr>
            </w:pPr>
            <w:r>
              <w:rPr>
                <w:rFonts w:ascii="Arial" w:cs="Arial" w:eastAsia="Arial" w:hAnsi="Arial"/>
                <w:sz w:val="15"/>
                <w:szCs w:val="15"/>
                <w:color w:val="auto"/>
              </w:rPr>
              <w:t>(3.49)</w:t>
            </w:r>
          </w:p>
        </w:tc>
        <w:tc>
          <w:tcPr>
            <w:tcW w:w="2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(1.89)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0" w:type="dxa"/>
            <w:vAlign w:val="bottom"/>
            <w:tcBorders>
              <w:top w:val="single" w:sz="8" w:color="CCEEFF"/>
              <w:bottom w:val="single" w:sz="8" w:color="CCEEFF"/>
            </w:tcBorders>
            <w:shd w:val="clear" w:color="auto" w:fill="CCEEFF"/>
          </w:tcPr>
          <w:p>
            <w:pPr>
              <w:spacing w:after="0" w:line="154" w:lineRule="exact"/>
              <w:rPr>
                <w:sz w:val="20"/>
                <w:szCs w:val="20"/>
                <w:color w:val="auto"/>
              </w:rPr>
            </w:pPr>
            <w:r>
              <w:rPr>
                <w:rFonts w:ascii="Arial" w:cs="Arial" w:eastAsia="Arial" w:hAnsi="Arial"/>
                <w:sz w:val="15"/>
                <w:szCs w:val="15"/>
                <w:color w:val="auto"/>
              </w:rPr>
              <w:t>Diluted net loss per common share</w:t>
            </w:r>
          </w:p>
        </w:tc>
        <w:tc>
          <w:tcPr>
            <w:tcW w:w="48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3"/>
            <w:shd w:val="clear" w:color="auto" w:fill="CCEEFF"/>
          </w:tcPr>
          <w:p>
            <w:pPr>
              <w:jc w:val="right"/>
              <w:spacing w:after="0" w:line="154" w:lineRule="exact"/>
              <w:rPr>
                <w:sz w:val="20"/>
                <w:szCs w:val="20"/>
                <w:color w:val="auto"/>
              </w:rPr>
            </w:pPr>
            <w:r>
              <w:rPr>
                <w:rFonts w:ascii="Arial" w:cs="Arial" w:eastAsia="Arial" w:hAnsi="Arial"/>
                <w:sz w:val="15"/>
                <w:szCs w:val="15"/>
                <w:color w:val="auto"/>
              </w:rPr>
              <w:t>(3.49)</w:t>
            </w:r>
          </w:p>
        </w:tc>
        <w:tc>
          <w:tcPr>
            <w:tcW w:w="1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shd w:val="clear" w:color="auto" w:fill="CCEEFF"/>
          </w:tcPr>
          <w:p>
            <w:pPr>
              <w:jc w:val="right"/>
              <w:spacing w:after="0" w:line="154" w:lineRule="exact"/>
              <w:rPr>
                <w:sz w:val="20"/>
                <w:szCs w:val="20"/>
                <w:color w:val="auto"/>
              </w:rPr>
            </w:pPr>
            <w:r>
              <w:rPr>
                <w:rFonts w:ascii="Arial" w:cs="Arial" w:eastAsia="Arial" w:hAnsi="Arial"/>
                <w:sz w:val="15"/>
                <w:szCs w:val="15"/>
                <w:color w:val="auto"/>
              </w:rPr>
              <w:t>(1.89)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restart"/>
          </w:tcPr>
          <w:p>
            <w:pPr>
              <w:spacing w:after="0"/>
              <w:rPr>
                <w:sz w:val="13"/>
                <w:szCs w:val="13"/>
                <w:color w:val="auto"/>
              </w:rPr>
            </w:pPr>
          </w:p>
        </w:tc>
        <w:tc>
          <w:tcPr>
            <w:tcW w:w="7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number of shares outstanding</w:t>
            </w: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Basic</w:t>
            </w:r>
          </w:p>
        </w:tc>
        <w:tc>
          <w:tcPr>
            <w:tcW w:w="4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5"/>
                <w:szCs w:val="15"/>
                <w:color w:val="auto"/>
              </w:rPr>
              <w:t>8,315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8,215</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0" w:type="dxa"/>
            <w:vAlign w:val="bottom"/>
            <w:tcBorders>
              <w:bottom w:val="single" w:sz="8" w:color="CCEEFF"/>
            </w:tcBorders>
            <w:shd w:val="clear" w:color="auto" w:fill="CCEEFF"/>
          </w:tcPr>
          <w:p>
            <w:pPr>
              <w:ind w:left="180"/>
              <w:spacing w:after="0" w:line="154" w:lineRule="exact"/>
              <w:rPr>
                <w:sz w:val="20"/>
                <w:szCs w:val="20"/>
                <w:color w:val="auto"/>
              </w:rPr>
            </w:pPr>
            <w:r>
              <w:rPr>
                <w:rFonts w:ascii="Arial" w:cs="Arial" w:eastAsia="Arial" w:hAnsi="Arial"/>
                <w:sz w:val="15"/>
                <w:szCs w:val="15"/>
                <w:color w:val="auto"/>
              </w:rPr>
              <w:t>Diluted</w:t>
            </w:r>
          </w:p>
        </w:tc>
        <w:tc>
          <w:tcPr>
            <w:tcW w:w="4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gridSpan w:val="3"/>
            <w:shd w:val="clear" w:color="auto" w:fill="CCEEFF"/>
          </w:tcPr>
          <w:p>
            <w:pPr>
              <w:jc w:val="right"/>
              <w:ind w:right="40"/>
              <w:spacing w:after="0" w:line="154" w:lineRule="exact"/>
              <w:rPr>
                <w:sz w:val="20"/>
                <w:szCs w:val="20"/>
                <w:color w:val="auto"/>
              </w:rPr>
            </w:pPr>
            <w:r>
              <w:rPr>
                <w:rFonts w:ascii="Arial" w:cs="Arial" w:eastAsia="Arial" w:hAnsi="Arial"/>
                <w:sz w:val="15"/>
                <w:szCs w:val="15"/>
                <w:color w:val="auto"/>
              </w:rPr>
              <w:t>8,315</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gridSpan w:val="2"/>
            <w:shd w:val="clear" w:color="auto" w:fill="CCEEFF"/>
          </w:tcPr>
          <w:p>
            <w:pPr>
              <w:jc w:val="right"/>
              <w:ind w:right="60"/>
              <w:spacing w:after="0" w:line="154" w:lineRule="exact"/>
              <w:rPr>
                <w:sz w:val="20"/>
                <w:szCs w:val="20"/>
                <w:color w:val="auto"/>
              </w:rPr>
            </w:pPr>
            <w:r>
              <w:rPr>
                <w:rFonts w:ascii="Arial" w:cs="Arial" w:eastAsia="Arial" w:hAnsi="Arial"/>
                <w:sz w:val="15"/>
                <w:szCs w:val="15"/>
                <w:color w:val="auto"/>
              </w:rPr>
              <w:t>8,215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 to the condensed consolidated financial statements (unaudited).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328930</wp:posOffset>
            </wp:positionV>
            <wp:extent cx="629602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87" w:right="99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Citi Trends,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6"/>
          </w:tcPr>
          <w:p>
            <w:pPr>
              <w:ind w:left="260"/>
              <w:spacing w:after="0"/>
              <w:rPr>
                <w:sz w:val="20"/>
                <w:szCs w:val="20"/>
                <w:color w:val="auto"/>
              </w:rPr>
            </w:pPr>
            <w:r>
              <w:rPr>
                <w:rFonts w:ascii="Arial" w:cs="Arial" w:eastAsia="Arial" w:hAnsi="Arial"/>
                <w:sz w:val="13"/>
                <w:szCs w:val="13"/>
                <w:b w:val="1"/>
                <w:bCs w:val="1"/>
                <w:color w:val="auto"/>
              </w:rPr>
              <w:t>Thirty-Nine Weeks Ended</w:t>
            </w:r>
          </w:p>
        </w:tc>
        <w:tc>
          <w:tcPr>
            <w:tcW w:w="0" w:type="dxa"/>
            <w:vAlign w:val="bottom"/>
          </w:tcPr>
          <w:p>
            <w:pPr>
              <w:spacing w:after="0"/>
              <w:rPr>
                <w:sz w:val="1"/>
                <w:szCs w:val="1"/>
                <w:color w:val="auto"/>
              </w:rPr>
            </w:pPr>
          </w:p>
        </w:tc>
      </w:tr>
      <w:tr>
        <w:trPr>
          <w:trHeight w:val="134"/>
        </w:trPr>
        <w:tc>
          <w:tcPr>
            <w:tcW w:w="75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360"/>
              <w:spacing w:after="0" w:line="134" w:lineRule="exact"/>
              <w:rPr>
                <w:sz w:val="20"/>
                <w:szCs w:val="20"/>
                <w:color w:val="auto"/>
              </w:rPr>
            </w:pPr>
            <w:r>
              <w:rPr>
                <w:rFonts w:ascii="Arial" w:cs="Arial" w:eastAsia="Arial" w:hAnsi="Arial"/>
                <w:sz w:val="13"/>
                <w:szCs w:val="13"/>
                <w:b w:val="1"/>
                <w:bCs w:val="1"/>
                <w:color w:val="auto"/>
              </w:rPr>
              <w:t>November 2,</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85"/>
              <w:spacing w:after="0" w:line="134" w:lineRule="exact"/>
              <w:rPr>
                <w:sz w:val="20"/>
                <w:szCs w:val="20"/>
                <w:color w:val="auto"/>
              </w:rPr>
            </w:pPr>
            <w:r>
              <w:rPr>
                <w:rFonts w:ascii="Arial" w:cs="Arial" w:eastAsia="Arial" w:hAnsi="Arial"/>
                <w:sz w:val="13"/>
                <w:szCs w:val="13"/>
                <w:b w:val="1"/>
                <w:bCs w:val="1"/>
                <w:color w:val="auto"/>
              </w:rPr>
              <w:t>October 28,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5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85"/>
              <w:spacing w:after="0"/>
              <w:rPr>
                <w:sz w:val="20"/>
                <w:szCs w:val="20"/>
                <w:color w:val="auto"/>
              </w:rPr>
            </w:pPr>
            <w:r>
              <w:rPr>
                <w:rFonts w:ascii="Arial" w:cs="Arial" w:eastAsia="Arial" w:hAnsi="Arial"/>
                <w:sz w:val="13"/>
                <w:szCs w:val="13"/>
                <w:b w:val="1"/>
                <w:bCs w:val="1"/>
                <w:color w:val="auto"/>
              </w:rPr>
              <w:t>2024</w:t>
            </w:r>
          </w:p>
        </w:tc>
        <w:tc>
          <w:tcPr>
            <w:tcW w:w="2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05"/>
              <w:spacing w:after="0"/>
              <w:rPr>
                <w:sz w:val="20"/>
                <w:szCs w:val="20"/>
                <w:color w:val="auto"/>
              </w:rPr>
            </w:pPr>
            <w:r>
              <w:rPr>
                <w:rFonts w:ascii="Arial" w:cs="Arial" w:eastAsia="Arial" w:hAnsi="Arial"/>
                <w:sz w:val="13"/>
                <w:szCs w:val="13"/>
                <w:b w:val="1"/>
                <w:bCs w:val="1"/>
                <w:color w:val="auto"/>
              </w:rPr>
              <w:t>2023</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Operating activities:</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540" w:type="dxa"/>
            <w:vAlign w:val="bottom"/>
          </w:tcPr>
          <w:p>
            <w:pPr>
              <w:ind w:left="200"/>
              <w:spacing w:after="0"/>
              <w:rPr>
                <w:sz w:val="20"/>
                <w:szCs w:val="20"/>
                <w:color w:val="auto"/>
              </w:rPr>
            </w:pPr>
            <w:r>
              <w:rPr>
                <w:rFonts w:ascii="Arial" w:cs="Arial" w:eastAsia="Arial" w:hAnsi="Arial"/>
                <w:sz w:val="15"/>
                <w:szCs w:val="15"/>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(28,991)</w:t>
            </w:r>
          </w:p>
        </w:tc>
        <w:tc>
          <w:tcPr>
            <w:tcW w:w="24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(15,530)</w:t>
            </w:r>
          </w:p>
        </w:tc>
        <w:tc>
          <w:tcPr>
            <w:tcW w:w="0" w:type="dxa"/>
            <w:vAlign w:val="bottom"/>
          </w:tcPr>
          <w:p>
            <w:pPr>
              <w:spacing w:after="0"/>
              <w:rPr>
                <w:sz w:val="1"/>
                <w:szCs w:val="1"/>
                <w:color w:val="auto"/>
              </w:rPr>
            </w:pPr>
          </w:p>
        </w:tc>
      </w:tr>
      <w:tr>
        <w:trPr>
          <w:trHeight w:val="188"/>
        </w:trPr>
        <w:tc>
          <w:tcPr>
            <w:tcW w:w="75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540" w:type="dxa"/>
            <w:vAlign w:val="bottom"/>
          </w:tcPr>
          <w:p>
            <w:pPr>
              <w:ind w:left="300"/>
              <w:spacing w:after="0"/>
              <w:rPr>
                <w:sz w:val="20"/>
                <w:szCs w:val="20"/>
                <w:color w:val="auto"/>
              </w:rPr>
            </w:pPr>
            <w:r>
              <w:rPr>
                <w:rFonts w:ascii="Arial" w:cs="Arial" w:eastAsia="Arial" w:hAnsi="Arial"/>
                <w:sz w:val="15"/>
                <w:szCs w:val="15"/>
                <w:color w:val="auto"/>
              </w:rPr>
              <w:t>Depreciation</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14,331</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14,138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5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Asset impairment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1,835</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540" w:type="dxa"/>
            <w:vAlign w:val="bottom"/>
          </w:tcPr>
          <w:p>
            <w:pPr>
              <w:ind w:left="300"/>
              <w:spacing w:after="0"/>
              <w:rPr>
                <w:sz w:val="20"/>
                <w:szCs w:val="20"/>
                <w:color w:val="auto"/>
              </w:rPr>
            </w:pPr>
            <w:r>
              <w:rPr>
                <w:rFonts w:ascii="Arial" w:cs="Arial" w:eastAsia="Arial" w:hAnsi="Arial"/>
                <w:sz w:val="15"/>
                <w:szCs w:val="15"/>
                <w:color w:val="auto"/>
              </w:rPr>
              <w:t>Non-cash operating lease costs</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36,708</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38,494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5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Loss on disposal of property and equipment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540" w:type="dxa"/>
            <w:vAlign w:val="bottom"/>
          </w:tcPr>
          <w:p>
            <w:pPr>
              <w:ind w:left="300"/>
              <w:spacing w:after="0"/>
              <w:rPr>
                <w:sz w:val="20"/>
                <w:szCs w:val="20"/>
                <w:color w:val="auto"/>
              </w:rPr>
            </w:pPr>
            <w:r>
              <w:rPr>
                <w:rFonts w:ascii="Arial" w:cs="Arial" w:eastAsia="Arial" w:hAnsi="Arial"/>
                <w:sz w:val="15"/>
                <w:szCs w:val="15"/>
                <w:color w:val="auto"/>
              </w:rPr>
              <w:t>Deferred income taxes</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(10,197)</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(4,304)</w:t>
            </w:r>
          </w:p>
        </w:tc>
        <w:tc>
          <w:tcPr>
            <w:tcW w:w="0" w:type="dxa"/>
            <w:vAlign w:val="bottom"/>
          </w:tcPr>
          <w:p>
            <w:pPr>
              <w:spacing w:after="0"/>
              <w:rPr>
                <w:sz w:val="1"/>
                <w:szCs w:val="1"/>
                <w:color w:val="auto"/>
              </w:rPr>
            </w:pPr>
          </w:p>
        </w:tc>
      </w:tr>
      <w:tr>
        <w:trPr>
          <w:trHeight w:val="188"/>
        </w:trPr>
        <w:tc>
          <w:tcPr>
            <w:tcW w:w="75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Insurance proceeds related to operating activities</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540" w:type="dxa"/>
            <w:vAlign w:val="bottom"/>
          </w:tcPr>
          <w:p>
            <w:pPr>
              <w:ind w:left="300"/>
              <w:spacing w:after="0"/>
              <w:rPr>
                <w:sz w:val="20"/>
                <w:szCs w:val="20"/>
                <w:color w:val="auto"/>
              </w:rPr>
            </w:pPr>
            <w:r>
              <w:rPr>
                <w:rFonts w:ascii="Arial" w:cs="Arial" w:eastAsia="Arial" w:hAnsi="Arial"/>
                <w:sz w:val="15"/>
                <w:szCs w:val="15"/>
                <w:color w:val="auto"/>
              </w:rPr>
              <w:t>Non-cash stock-based compensation expense</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2,434</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3,002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5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Gain on insurance related to operating activities</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(3,482)</w:t>
            </w:r>
          </w:p>
        </w:tc>
        <w:tc>
          <w:tcPr>
            <w:tcW w:w="0" w:type="dxa"/>
            <w:vAlign w:val="bottom"/>
          </w:tcPr>
          <w:p>
            <w:pPr>
              <w:spacing w:after="0"/>
              <w:rPr>
                <w:sz w:val="1"/>
                <w:szCs w:val="1"/>
                <w:color w:val="auto"/>
              </w:rPr>
            </w:pPr>
          </w:p>
        </w:tc>
      </w:tr>
      <w:tr>
        <w:trPr>
          <w:trHeight w:val="188"/>
        </w:trPr>
        <w:tc>
          <w:tcPr>
            <w:tcW w:w="7540" w:type="dxa"/>
            <w:vAlign w:val="bottom"/>
          </w:tcPr>
          <w:p>
            <w:pPr>
              <w:ind w:left="300"/>
              <w:spacing w:after="0"/>
              <w:rPr>
                <w:sz w:val="20"/>
                <w:szCs w:val="20"/>
                <w:color w:val="auto"/>
              </w:rPr>
            </w:pPr>
            <w:r>
              <w:rPr>
                <w:rFonts w:ascii="Arial" w:cs="Arial" w:eastAsia="Arial" w:hAnsi="Arial"/>
                <w:sz w:val="15"/>
                <w:szCs w:val="15"/>
                <w:color w:val="auto"/>
              </w:rPr>
              <w:t>Changes in assets and liabilities:</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5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Inventory</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2,918</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(23,933)</w:t>
            </w:r>
          </w:p>
        </w:tc>
        <w:tc>
          <w:tcPr>
            <w:tcW w:w="0" w:type="dxa"/>
            <w:vAlign w:val="bottom"/>
          </w:tcPr>
          <w:p>
            <w:pPr>
              <w:spacing w:after="0"/>
              <w:rPr>
                <w:sz w:val="1"/>
                <w:szCs w:val="1"/>
                <w:color w:val="auto"/>
              </w:rPr>
            </w:pPr>
          </w:p>
        </w:tc>
      </w:tr>
      <w:tr>
        <w:trPr>
          <w:trHeight w:val="188"/>
        </w:trPr>
        <w:tc>
          <w:tcPr>
            <w:tcW w:w="7540" w:type="dxa"/>
            <w:vAlign w:val="bottom"/>
          </w:tcPr>
          <w:p>
            <w:pPr>
              <w:ind w:left="400"/>
              <w:spacing w:after="0"/>
              <w:rPr>
                <w:sz w:val="20"/>
                <w:szCs w:val="20"/>
                <w:color w:val="auto"/>
              </w:rPr>
            </w:pPr>
            <w:r>
              <w:rPr>
                <w:rFonts w:ascii="Arial" w:cs="Arial" w:eastAsia="Arial" w:hAnsi="Arial"/>
                <w:sz w:val="15"/>
                <w:szCs w:val="15"/>
                <w:color w:val="auto"/>
              </w:rPr>
              <w:t>Prepaid and other current assets</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(2,307)</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1,711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5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Other assets</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540" w:type="dxa"/>
            <w:vAlign w:val="bottom"/>
          </w:tcPr>
          <w:p>
            <w:pPr>
              <w:ind w:left="400"/>
              <w:spacing w:after="0"/>
              <w:rPr>
                <w:sz w:val="20"/>
                <w:szCs w:val="20"/>
                <w:color w:val="auto"/>
              </w:rPr>
            </w:pPr>
            <w:r>
              <w:rPr>
                <w:rFonts w:ascii="Arial" w:cs="Arial" w:eastAsia="Arial" w:hAnsi="Arial"/>
                <w:sz w:val="15"/>
                <w:szCs w:val="15"/>
                <w:color w:val="auto"/>
              </w:rPr>
              <w:t>Accounts payable</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(17,898)</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2,322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5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Accrued expenses and other long-term liabilities</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(35,916)</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(45,515)</w:t>
            </w:r>
          </w:p>
        </w:tc>
        <w:tc>
          <w:tcPr>
            <w:tcW w:w="0" w:type="dxa"/>
            <w:vAlign w:val="bottom"/>
          </w:tcPr>
          <w:p>
            <w:pPr>
              <w:spacing w:after="0"/>
              <w:rPr>
                <w:sz w:val="1"/>
                <w:szCs w:val="1"/>
                <w:color w:val="auto"/>
              </w:rPr>
            </w:pPr>
          </w:p>
        </w:tc>
      </w:tr>
      <w:tr>
        <w:trPr>
          <w:trHeight w:val="188"/>
        </w:trPr>
        <w:tc>
          <w:tcPr>
            <w:tcW w:w="7540" w:type="dxa"/>
            <w:vAlign w:val="bottom"/>
          </w:tcPr>
          <w:p>
            <w:pPr>
              <w:ind w:left="400"/>
              <w:spacing w:after="0"/>
              <w:rPr>
                <w:sz w:val="20"/>
                <w:szCs w:val="20"/>
                <w:color w:val="auto"/>
              </w:rPr>
            </w:pPr>
            <w:r>
              <w:rPr>
                <w:rFonts w:ascii="Arial" w:cs="Arial" w:eastAsia="Arial" w:hAnsi="Arial"/>
                <w:sz w:val="15"/>
                <w:szCs w:val="15"/>
                <w:color w:val="auto"/>
              </w:rPr>
              <w:t>Accrued compensation</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2,885</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(1,821)</w:t>
            </w:r>
          </w:p>
        </w:tc>
        <w:tc>
          <w:tcPr>
            <w:tcW w:w="0" w:type="dxa"/>
            <w:vAlign w:val="bottom"/>
          </w:tcPr>
          <w:p>
            <w:pPr>
              <w:spacing w:after="0"/>
              <w:rPr>
                <w:sz w:val="1"/>
                <w:szCs w:val="1"/>
                <w:color w:val="auto"/>
              </w:rPr>
            </w:pPr>
          </w:p>
        </w:tc>
      </w:tr>
      <w:tr>
        <w:trPr>
          <w:trHeight w:val="188"/>
        </w:trPr>
        <w:tc>
          <w:tcPr>
            <w:tcW w:w="75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Income tax receivable/payable</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542</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(2,691)</w:t>
            </w:r>
          </w:p>
        </w:tc>
        <w:tc>
          <w:tcPr>
            <w:tcW w:w="0" w:type="dxa"/>
            <w:vAlign w:val="bottom"/>
          </w:tcPr>
          <w:p>
            <w:pPr>
              <w:spacing w:after="0"/>
              <w:rPr>
                <w:sz w:val="1"/>
                <w:szCs w:val="1"/>
                <w:color w:val="auto"/>
              </w:rPr>
            </w:pPr>
          </w:p>
        </w:tc>
      </w:tr>
      <w:tr>
        <w:trPr>
          <w:trHeight w:val="188"/>
        </w:trPr>
        <w:tc>
          <w:tcPr>
            <w:tcW w:w="7540" w:type="dxa"/>
            <w:vAlign w:val="bottom"/>
            <w:tcBorders>
              <w:bottom w:val="single" w:sz="8" w:color="CCEEFF"/>
            </w:tcBorders>
          </w:tcPr>
          <w:p>
            <w:pPr>
              <w:ind w:left="400"/>
              <w:spacing w:after="0"/>
              <w:rPr>
                <w:sz w:val="20"/>
                <w:szCs w:val="20"/>
                <w:color w:val="auto"/>
              </w:rPr>
            </w:pPr>
            <w:r>
              <w:rPr>
                <w:rFonts w:ascii="Arial" w:cs="Arial" w:eastAsia="Arial" w:hAnsi="Arial"/>
                <w:sz w:val="15"/>
                <w:szCs w:val="15"/>
                <w:color w:val="auto"/>
              </w:rPr>
              <w:t>Layaway deposits</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1,164</w:t>
            </w:r>
          </w:p>
        </w:tc>
        <w:tc>
          <w:tcPr>
            <w:tcW w:w="2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925</w:t>
            </w: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754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Net cash used in operating activities</w:t>
            </w: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(32,348)</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(32,868)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540" w:type="dxa"/>
            <w:vAlign w:val="bottom"/>
          </w:tcPr>
          <w:p>
            <w:pPr>
              <w:spacing w:after="0" w:line="169" w:lineRule="exact"/>
              <w:rPr>
                <w:sz w:val="20"/>
                <w:szCs w:val="20"/>
                <w:color w:val="auto"/>
              </w:rPr>
            </w:pPr>
            <w:r>
              <w:rPr>
                <w:rFonts w:ascii="Arial" w:cs="Arial" w:eastAsia="Arial" w:hAnsi="Arial"/>
                <w:sz w:val="15"/>
                <w:szCs w:val="15"/>
                <w:color w:val="auto"/>
              </w:rPr>
              <w:t>Investing activities:</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5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Purchases of property and equipment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(7,606)</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(11,568)</w:t>
            </w:r>
          </w:p>
        </w:tc>
        <w:tc>
          <w:tcPr>
            <w:tcW w:w="0" w:type="dxa"/>
            <w:vAlign w:val="bottom"/>
          </w:tcPr>
          <w:p>
            <w:pPr>
              <w:spacing w:after="0"/>
              <w:rPr>
                <w:sz w:val="1"/>
                <w:szCs w:val="1"/>
                <w:color w:val="auto"/>
              </w:rPr>
            </w:pPr>
          </w:p>
        </w:tc>
      </w:tr>
      <w:tr>
        <w:trPr>
          <w:trHeight w:val="188"/>
        </w:trPr>
        <w:tc>
          <w:tcPr>
            <w:tcW w:w="7540" w:type="dxa"/>
            <w:vAlign w:val="bottom"/>
          </w:tcPr>
          <w:p>
            <w:pPr>
              <w:ind w:left="200"/>
              <w:spacing w:after="0"/>
              <w:rPr>
                <w:sz w:val="20"/>
                <w:szCs w:val="20"/>
                <w:color w:val="auto"/>
              </w:rPr>
            </w:pPr>
            <w:r>
              <w:rPr>
                <w:rFonts w:ascii="Arial" w:cs="Arial" w:eastAsia="Arial" w:hAnsi="Arial"/>
                <w:sz w:val="15"/>
                <w:szCs w:val="15"/>
                <w:color w:val="auto"/>
              </w:rPr>
              <w:t>Insurance proceeds related to investing activities</w:t>
            </w:r>
          </w:p>
        </w:tc>
        <w:tc>
          <w:tcPr>
            <w:tcW w:w="10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1,518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540" w:type="dxa"/>
            <w:vAlign w:val="bottom"/>
            <w:shd w:val="clear" w:color="auto" w:fill="CCEEFF"/>
          </w:tcPr>
          <w:p>
            <w:pPr>
              <w:ind w:left="600"/>
              <w:spacing w:after="0"/>
              <w:rPr>
                <w:sz w:val="20"/>
                <w:szCs w:val="20"/>
                <w:color w:val="auto"/>
              </w:rPr>
            </w:pPr>
            <w:r>
              <w:rPr>
                <w:rFonts w:ascii="Arial" w:cs="Arial" w:eastAsia="Arial" w:hAnsi="Arial"/>
                <w:sz w:val="15"/>
                <w:szCs w:val="15"/>
                <w:color w:val="auto"/>
              </w:rPr>
              <w:t>Net cash used in investing activities</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(7,606)</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(10,050)</w:t>
            </w:r>
          </w:p>
        </w:tc>
        <w:tc>
          <w:tcPr>
            <w:tcW w:w="0" w:type="dxa"/>
            <w:vAlign w:val="bottom"/>
          </w:tcPr>
          <w:p>
            <w:pPr>
              <w:spacing w:after="0"/>
              <w:rPr>
                <w:sz w:val="1"/>
                <w:szCs w:val="1"/>
                <w:color w:val="auto"/>
              </w:rPr>
            </w:pPr>
          </w:p>
        </w:tc>
      </w:tr>
      <w:tr>
        <w:trPr>
          <w:trHeight w:val="168"/>
        </w:trPr>
        <w:tc>
          <w:tcPr>
            <w:tcW w:w="7540" w:type="dxa"/>
            <w:vAlign w:val="bottom"/>
          </w:tcPr>
          <w:p>
            <w:pPr>
              <w:spacing w:after="0" w:line="169" w:lineRule="exact"/>
              <w:rPr>
                <w:sz w:val="20"/>
                <w:szCs w:val="20"/>
                <w:color w:val="auto"/>
              </w:rPr>
            </w:pPr>
            <w:r>
              <w:rPr>
                <w:rFonts w:ascii="Arial" w:cs="Arial" w:eastAsia="Arial" w:hAnsi="Arial"/>
                <w:sz w:val="15"/>
                <w:szCs w:val="15"/>
                <w:color w:val="auto"/>
              </w:rPr>
              <w:t>Financing activities:</w:t>
            </w: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5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Cash used to settle withholding taxes on the vesting of nonvested restricted stock</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(880)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(851)</w:t>
            </w:r>
          </w:p>
        </w:tc>
        <w:tc>
          <w:tcPr>
            <w:tcW w:w="0" w:type="dxa"/>
            <w:vAlign w:val="bottom"/>
          </w:tcPr>
          <w:p>
            <w:pPr>
              <w:spacing w:after="0"/>
              <w:rPr>
                <w:sz w:val="1"/>
                <w:szCs w:val="1"/>
                <w:color w:val="auto"/>
              </w:rPr>
            </w:pPr>
          </w:p>
        </w:tc>
      </w:tr>
      <w:tr>
        <w:trPr>
          <w:trHeight w:val="168"/>
        </w:trPr>
        <w:tc>
          <w:tcPr>
            <w:tcW w:w="7540" w:type="dxa"/>
            <w:vAlign w:val="bottom"/>
            <w:tcBorders>
              <w:bottom w:val="single" w:sz="8" w:color="CCEEFF"/>
            </w:tcBorders>
          </w:tcPr>
          <w:p>
            <w:pPr>
              <w:ind w:left="600"/>
              <w:spacing w:after="0" w:line="169" w:lineRule="exact"/>
              <w:rPr>
                <w:sz w:val="20"/>
                <w:szCs w:val="20"/>
                <w:color w:val="auto"/>
              </w:rPr>
            </w:pPr>
            <w:r>
              <w:rPr>
                <w:rFonts w:ascii="Arial" w:cs="Arial" w:eastAsia="Arial" w:hAnsi="Arial"/>
                <w:sz w:val="15"/>
                <w:szCs w:val="15"/>
                <w:color w:val="auto"/>
              </w:rPr>
              <w:t>Net cash used in financing activities</w:t>
            </w:r>
          </w:p>
        </w:tc>
        <w:tc>
          <w:tcPr>
            <w:tcW w:w="1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(880)</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(851)</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54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Net decrease in cash and cash equivalents</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(40,834)</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(43,769)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540" w:type="dxa"/>
            <w:vAlign w:val="bottom"/>
          </w:tcPr>
          <w:p>
            <w:pPr>
              <w:spacing w:after="0"/>
              <w:rPr>
                <w:sz w:val="20"/>
                <w:szCs w:val="20"/>
                <w:color w:val="auto"/>
              </w:rPr>
            </w:pPr>
            <w:r>
              <w:rPr>
                <w:rFonts w:ascii="Arial" w:cs="Arial" w:eastAsia="Arial" w:hAnsi="Arial"/>
                <w:sz w:val="15"/>
                <w:szCs w:val="15"/>
                <w:color w:val="auto"/>
              </w:rPr>
              <w:t>Cash and cash equivalents:</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5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Beginning of period</w:t>
            </w: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79,706</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103,495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540" w:type="dxa"/>
            <w:vAlign w:val="bottom"/>
            <w:tcBorders>
              <w:bottom w:val="single" w:sz="8" w:color="CCEEFF"/>
            </w:tcBorders>
          </w:tcPr>
          <w:p>
            <w:pPr>
              <w:ind w:left="200"/>
              <w:spacing w:after="0" w:line="169" w:lineRule="exact"/>
              <w:rPr>
                <w:sz w:val="20"/>
                <w:szCs w:val="20"/>
                <w:color w:val="auto"/>
              </w:rPr>
            </w:pPr>
            <w:r>
              <w:rPr>
                <w:rFonts w:ascii="Arial" w:cs="Arial" w:eastAsia="Arial" w:hAnsi="Arial"/>
                <w:sz w:val="15"/>
                <w:szCs w:val="15"/>
                <w:color w:val="auto"/>
              </w:rPr>
              <w:t>End of period</w:t>
            </w: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38,872</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59,726</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7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540" w:type="dxa"/>
            <w:vAlign w:val="bottom"/>
          </w:tcPr>
          <w:p>
            <w:pPr>
              <w:spacing w:after="0"/>
              <w:rPr>
                <w:sz w:val="20"/>
                <w:szCs w:val="20"/>
                <w:color w:val="auto"/>
              </w:rPr>
            </w:pPr>
            <w:r>
              <w:rPr>
                <w:rFonts w:ascii="Arial" w:cs="Arial" w:eastAsia="Arial" w:hAnsi="Arial"/>
                <w:sz w:val="15"/>
                <w:szCs w:val="15"/>
                <w:color w:val="auto"/>
              </w:rPr>
              <w:t>Supplemental disclosures of cash flow information:</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540" w:type="dxa"/>
            <w:vAlign w:val="bottom"/>
            <w:shd w:val="clear" w:color="auto" w:fill="CCEEFF"/>
          </w:tcPr>
          <w:p>
            <w:pPr>
              <w:ind w:left="600"/>
              <w:spacing w:after="0"/>
              <w:rPr>
                <w:sz w:val="20"/>
                <w:szCs w:val="20"/>
                <w:color w:val="auto"/>
              </w:rPr>
            </w:pPr>
            <w:r>
              <w:rPr>
                <w:rFonts w:ascii="Arial" w:cs="Arial" w:eastAsia="Arial" w:hAnsi="Arial"/>
                <w:sz w:val="15"/>
                <w:szCs w:val="15"/>
                <w:color w:val="auto"/>
              </w:rPr>
              <w:t>Cash paid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24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600"/>
              <w:spacing w:after="0"/>
              <w:rPr>
                <w:sz w:val="20"/>
                <w:szCs w:val="20"/>
                <w:color w:val="auto"/>
              </w:rPr>
            </w:pPr>
            <w:r>
              <w:rPr>
                <w:rFonts w:ascii="Arial" w:cs="Arial" w:eastAsia="Arial" w:hAnsi="Arial"/>
                <w:sz w:val="15"/>
                <w:szCs w:val="15"/>
                <w:color w:val="auto"/>
              </w:rPr>
              <w:t>Cash (refunds) payments of income taxes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5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(340)</w:t>
            </w:r>
          </w:p>
        </w:tc>
        <w:tc>
          <w:tcPr>
            <w:tcW w:w="2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1,545</w:t>
            </w: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754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Supplemental disclosures of non-cash investing activities:</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540" w:type="dxa"/>
            <w:vAlign w:val="bottom"/>
          </w:tcPr>
          <w:p>
            <w:pPr>
              <w:ind w:left="600"/>
              <w:spacing w:after="0"/>
              <w:rPr>
                <w:sz w:val="20"/>
                <w:szCs w:val="20"/>
                <w:color w:val="auto"/>
              </w:rPr>
            </w:pPr>
            <w:r>
              <w:rPr>
                <w:rFonts w:ascii="Arial" w:cs="Arial" w:eastAsia="Arial" w:hAnsi="Arial"/>
                <w:sz w:val="15"/>
                <w:szCs w:val="15"/>
                <w:color w:val="auto"/>
              </w:rPr>
              <w:t>Accrual for purchases of property and equipment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374</w:t>
            </w:r>
          </w:p>
        </w:tc>
        <w:tc>
          <w:tcPr>
            <w:tcW w:w="240" w:type="dxa"/>
            <w:vAlign w:val="bottom"/>
          </w:tcPr>
          <w:p>
            <w:pPr>
              <w:spacing w:after="0"/>
              <w:rPr>
                <w:sz w:val="15"/>
                <w:szCs w:val="15"/>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5"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328930</wp:posOffset>
            </wp:positionV>
            <wp:extent cx="629602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87" w:right="99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Citi Trends,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Stockholders’ Equity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amounts)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820" w:type="dxa"/>
            <w:vAlign w:val="bottom"/>
          </w:tcPr>
          <w:p>
            <w:pPr>
              <w:spacing w:after="0"/>
              <w:rPr>
                <w:sz w:val="13"/>
                <w:szCs w:val="13"/>
                <w:color w:val="auto"/>
              </w:rPr>
            </w:pPr>
          </w:p>
        </w:tc>
        <w:tc>
          <w:tcPr>
            <w:tcW w:w="128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85"/>
              <w:spacing w:after="0"/>
              <w:rPr>
                <w:sz w:val="20"/>
                <w:szCs w:val="20"/>
                <w:color w:val="auto"/>
              </w:rPr>
            </w:pPr>
            <w:r>
              <w:rPr>
                <w:rFonts w:ascii="Arial" w:cs="Arial" w:eastAsia="Arial" w:hAnsi="Arial"/>
                <w:sz w:val="13"/>
                <w:szCs w:val="13"/>
                <w:b w:val="1"/>
                <w:bCs w:val="1"/>
                <w:color w:val="auto"/>
              </w:rPr>
              <w:t>Paid in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w:t>
            </w:r>
          </w:p>
        </w:tc>
        <w:tc>
          <w:tcPr>
            <w:tcW w:w="1780" w:type="dxa"/>
            <w:vAlign w:val="bottom"/>
            <w:tcBorders>
              <w:bottom w:val="single" w:sz="8" w:color="auto"/>
            </w:tcBorders>
            <w:gridSpan w:val="4"/>
          </w:tcPr>
          <w:p>
            <w:pPr>
              <w:jc w:val="right"/>
              <w:ind w:right="345"/>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6"/>
        </w:trPr>
        <w:tc>
          <w:tcPr>
            <w:tcW w:w="3820" w:type="dxa"/>
            <w:vAlign w:val="bottom"/>
          </w:tcPr>
          <w:p>
            <w:pPr>
              <w:spacing w:after="0"/>
              <w:rPr>
                <w:sz w:val="13"/>
                <w:szCs w:val="13"/>
                <w:color w:val="auto"/>
              </w:rPr>
            </w:pPr>
          </w:p>
        </w:tc>
        <w:tc>
          <w:tcPr>
            <w:tcW w:w="920" w:type="dxa"/>
            <w:vAlign w:val="bottom"/>
          </w:tcPr>
          <w:p>
            <w:pPr>
              <w:jc w:val="right"/>
              <w:ind w:right="165"/>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85"/>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40" w:type="dxa"/>
            <w:vAlign w:val="bottom"/>
          </w:tcPr>
          <w:p>
            <w:pPr>
              <w:jc w:val="right"/>
              <w:ind w:right="125"/>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85"/>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85"/>
              <w:spacing w:after="0"/>
              <w:rPr>
                <w:sz w:val="20"/>
                <w:szCs w:val="20"/>
                <w:color w:val="auto"/>
              </w:rPr>
            </w:pPr>
            <w:r>
              <w:rPr>
                <w:rFonts w:ascii="Arial" w:cs="Arial" w:eastAsia="Arial" w:hAnsi="Arial"/>
                <w:sz w:val="13"/>
                <w:szCs w:val="13"/>
                <w:b w:val="1"/>
                <w:bCs w:val="1"/>
                <w:color w:val="auto"/>
              </w:rPr>
              <w:t>Total</w:t>
            </w:r>
          </w:p>
        </w:tc>
      </w:tr>
      <w:tr>
        <w:trPr>
          <w:trHeight w:val="168"/>
        </w:trPr>
        <w:tc>
          <w:tcPr>
            <w:tcW w:w="38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5"/>
                <w:szCs w:val="15"/>
                <w:color w:val="auto"/>
              </w:rPr>
              <w:t>Balances — February 3, 2024</w:t>
            </w:r>
          </w:p>
        </w:tc>
        <w:tc>
          <w:tcPr>
            <w:tcW w:w="9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16,354,714</w:t>
            </w: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3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87"/>
              </w:rPr>
              <w:t>160</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105,686</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319,071</w:t>
            </w: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7,804,013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(267,211)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157,706</w:t>
            </w:r>
          </w:p>
        </w:tc>
      </w:tr>
      <w:tr>
        <w:trPr>
          <w:trHeight w:val="176"/>
        </w:trPr>
        <w:tc>
          <w:tcPr>
            <w:tcW w:w="3820" w:type="dxa"/>
            <w:vAlign w:val="bottom"/>
          </w:tcPr>
          <w:p>
            <w:pPr>
              <w:spacing w:after="0"/>
              <w:rPr>
                <w:sz w:val="20"/>
                <w:szCs w:val="20"/>
                <w:color w:val="auto"/>
              </w:rPr>
            </w:pPr>
            <w:r>
              <w:rPr>
                <w:rFonts w:ascii="Arial" w:cs="Arial" w:eastAsia="Arial" w:hAnsi="Arial"/>
                <w:sz w:val="15"/>
                <w:szCs w:val="15"/>
                <w:color w:val="auto"/>
              </w:rPr>
              <w:t>Vesting of nonvested shares</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76"/>
        </w:trPr>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Issuance of nonvested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76"/>
        </w:trPr>
        <w:tc>
          <w:tcPr>
            <w:tcW w:w="3820" w:type="dxa"/>
            <w:vAlign w:val="bottom"/>
          </w:tcPr>
          <w:p>
            <w:pPr>
              <w:spacing w:after="0"/>
              <w:rPr>
                <w:sz w:val="20"/>
                <w:szCs w:val="20"/>
                <w:color w:val="auto"/>
              </w:rPr>
            </w:pPr>
            <w:r>
              <w:rPr>
                <w:rFonts w:ascii="Arial" w:cs="Arial" w:eastAsia="Arial" w:hAnsi="Arial"/>
                <w:sz w:val="15"/>
                <w:szCs w:val="15"/>
                <w:color w:val="auto"/>
              </w:rPr>
              <w:t>Forfeiture of nonvested shares</w:t>
            </w:r>
          </w:p>
        </w:tc>
        <w:tc>
          <w:tcPr>
            <w:tcW w:w="920" w:type="dxa"/>
            <w:vAlign w:val="bottom"/>
          </w:tcPr>
          <w:p>
            <w:pPr>
              <w:jc w:val="right"/>
              <w:spacing w:after="0"/>
              <w:rPr>
                <w:sz w:val="20"/>
                <w:szCs w:val="20"/>
                <w:color w:val="auto"/>
              </w:rPr>
            </w:pPr>
            <w:r>
              <w:rPr>
                <w:rFonts w:ascii="Arial" w:cs="Arial" w:eastAsia="Arial" w:hAnsi="Arial"/>
                <w:sz w:val="15"/>
                <w:szCs w:val="15"/>
                <w:color w:val="auto"/>
              </w:rPr>
              <w:t>(5,178)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6"/>
        </w:trPr>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Stock-based compensation 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884</w:t>
            </w:r>
          </w:p>
        </w:tc>
      </w:tr>
      <w:tr>
        <w:trPr>
          <w:trHeight w:val="176"/>
        </w:trPr>
        <w:tc>
          <w:tcPr>
            <w:tcW w:w="3820" w:type="dxa"/>
            <w:vAlign w:val="bottom"/>
          </w:tcPr>
          <w:p>
            <w:pPr>
              <w:spacing w:after="0"/>
              <w:rPr>
                <w:sz w:val="20"/>
                <w:szCs w:val="20"/>
                <w:color w:val="auto"/>
              </w:rPr>
            </w:pPr>
            <w:r>
              <w:rPr>
                <w:rFonts w:ascii="Arial" w:cs="Arial" w:eastAsia="Arial" w:hAnsi="Arial"/>
                <w:sz w:val="15"/>
                <w:szCs w:val="15"/>
                <w:color w:val="auto"/>
              </w:rPr>
              <w:t>Net share settlement of nonvested shares</w:t>
            </w:r>
          </w:p>
        </w:tc>
        <w:tc>
          <w:tcPr>
            <w:tcW w:w="920" w:type="dxa"/>
            <w:vAlign w:val="bottom"/>
          </w:tcPr>
          <w:p>
            <w:pPr>
              <w:jc w:val="right"/>
              <w:spacing w:after="0"/>
              <w:rPr>
                <w:sz w:val="20"/>
                <w:szCs w:val="20"/>
                <w:color w:val="auto"/>
              </w:rPr>
            </w:pPr>
            <w:r>
              <w:rPr>
                <w:rFonts w:ascii="Arial" w:cs="Arial" w:eastAsia="Arial" w:hAnsi="Arial"/>
                <w:sz w:val="15"/>
                <w:szCs w:val="15"/>
                <w:color w:val="auto"/>
              </w:rPr>
              <w:t>(11,618)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(333)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(333)</w:t>
            </w:r>
          </w:p>
        </w:tc>
      </w:tr>
      <w:tr>
        <w:trPr>
          <w:trHeight w:val="176"/>
        </w:trPr>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(3,426)</w:t>
            </w:r>
          </w:p>
        </w:tc>
        <w:tc>
          <w:tcPr>
            <w:tcW w:w="8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(3,426)</w:t>
            </w:r>
          </w:p>
        </w:tc>
      </w:tr>
      <w:tr>
        <w:trPr>
          <w:trHeight w:val="208"/>
        </w:trPr>
        <w:tc>
          <w:tcPr>
            <w:tcW w:w="3820" w:type="dxa"/>
            <w:vAlign w:val="bottom"/>
            <w:tcBorders>
              <w:bottom w:val="single" w:sz="8" w:color="CCEEFF"/>
            </w:tcBorders>
          </w:tcPr>
          <w:p>
            <w:pPr>
              <w:spacing w:after="0" w:line="169" w:lineRule="exact"/>
              <w:rPr>
                <w:sz w:val="20"/>
                <w:szCs w:val="20"/>
                <w:color w:val="auto"/>
              </w:rPr>
            </w:pPr>
            <w:r>
              <w:rPr>
                <w:rFonts w:ascii="Arial" w:cs="Arial" w:eastAsia="Arial" w:hAnsi="Arial"/>
                <w:sz w:val="15"/>
                <w:szCs w:val="15"/>
                <w:color w:val="auto"/>
              </w:rPr>
              <w:t>Balances — May 4, 2024</w:t>
            </w: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16,340,729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7"/>
              </w:rPr>
              <w:t>161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106,237</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315,645</w:t>
            </w: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7,804,013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(267,211)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154,832</w:t>
            </w:r>
          </w:p>
        </w:tc>
      </w:tr>
      <w:tr>
        <w:trPr>
          <w:trHeight w:val="154"/>
        </w:trPr>
        <w:tc>
          <w:tcPr>
            <w:tcW w:w="382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Vesting of nonvested shares</w:t>
            </w:r>
          </w:p>
        </w:tc>
        <w:tc>
          <w:tcPr>
            <w:tcW w:w="92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1</w:t>
            </w:r>
          </w:p>
        </w:tc>
      </w:tr>
      <w:tr>
        <w:trPr>
          <w:trHeight w:val="176"/>
        </w:trPr>
        <w:tc>
          <w:tcPr>
            <w:tcW w:w="3820" w:type="dxa"/>
            <w:vAlign w:val="bottom"/>
          </w:tcPr>
          <w:p>
            <w:pPr>
              <w:spacing w:after="0"/>
              <w:rPr>
                <w:sz w:val="20"/>
                <w:szCs w:val="20"/>
                <w:color w:val="auto"/>
              </w:rPr>
            </w:pPr>
            <w:r>
              <w:rPr>
                <w:rFonts w:ascii="Arial" w:cs="Arial" w:eastAsia="Arial" w:hAnsi="Arial"/>
                <w:sz w:val="15"/>
                <w:szCs w:val="15"/>
                <w:color w:val="auto"/>
              </w:rPr>
              <w:t>Issuance of nonvested shares</w:t>
            </w:r>
          </w:p>
        </w:tc>
        <w:tc>
          <w:tcPr>
            <w:tcW w:w="920" w:type="dxa"/>
            <w:vAlign w:val="bottom"/>
          </w:tcPr>
          <w:p>
            <w:pPr>
              <w:jc w:val="right"/>
              <w:spacing w:after="0"/>
              <w:rPr>
                <w:sz w:val="20"/>
                <w:szCs w:val="20"/>
                <w:color w:val="auto"/>
              </w:rPr>
            </w:pPr>
            <w:r>
              <w:rPr>
                <w:rFonts w:ascii="Arial" w:cs="Arial" w:eastAsia="Arial" w:hAnsi="Arial"/>
                <w:sz w:val="15"/>
                <w:szCs w:val="15"/>
                <w:color w:val="auto"/>
              </w:rPr>
              <w:t>110,870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6"/>
        </w:trPr>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Issuance of vested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16,373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76"/>
        </w:trPr>
        <w:tc>
          <w:tcPr>
            <w:tcW w:w="3820" w:type="dxa"/>
            <w:vAlign w:val="bottom"/>
          </w:tcPr>
          <w:p>
            <w:pPr>
              <w:spacing w:after="0"/>
              <w:rPr>
                <w:sz w:val="20"/>
                <w:szCs w:val="20"/>
                <w:color w:val="auto"/>
              </w:rPr>
            </w:pPr>
            <w:r>
              <w:rPr>
                <w:rFonts w:ascii="Arial" w:cs="Arial" w:eastAsia="Arial" w:hAnsi="Arial"/>
                <w:sz w:val="15"/>
                <w:szCs w:val="15"/>
                <w:color w:val="auto"/>
              </w:rPr>
              <w:t>Forfeiture of nonvested shares</w:t>
            </w:r>
          </w:p>
        </w:tc>
        <w:tc>
          <w:tcPr>
            <w:tcW w:w="920" w:type="dxa"/>
            <w:vAlign w:val="bottom"/>
          </w:tcPr>
          <w:p>
            <w:pPr>
              <w:jc w:val="right"/>
              <w:spacing w:after="0"/>
              <w:rPr>
                <w:sz w:val="20"/>
                <w:szCs w:val="20"/>
                <w:color w:val="auto"/>
              </w:rPr>
            </w:pPr>
            <w:r>
              <w:rPr>
                <w:rFonts w:ascii="Arial" w:cs="Arial" w:eastAsia="Arial" w:hAnsi="Arial"/>
                <w:sz w:val="15"/>
                <w:szCs w:val="15"/>
                <w:color w:val="auto"/>
              </w:rPr>
              <w:t>(24,845)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6"/>
        </w:trPr>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Stock-based compensation 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694</w:t>
            </w:r>
          </w:p>
        </w:tc>
      </w:tr>
      <w:tr>
        <w:trPr>
          <w:trHeight w:val="176"/>
        </w:trPr>
        <w:tc>
          <w:tcPr>
            <w:tcW w:w="3820" w:type="dxa"/>
            <w:vAlign w:val="bottom"/>
          </w:tcPr>
          <w:p>
            <w:pPr>
              <w:spacing w:after="0"/>
              <w:rPr>
                <w:sz w:val="20"/>
                <w:szCs w:val="20"/>
                <w:color w:val="auto"/>
              </w:rPr>
            </w:pPr>
            <w:r>
              <w:rPr>
                <w:rFonts w:ascii="Arial" w:cs="Arial" w:eastAsia="Arial" w:hAnsi="Arial"/>
                <w:sz w:val="15"/>
                <w:szCs w:val="15"/>
                <w:color w:val="auto"/>
              </w:rPr>
              <w:t>Net share settlement of nonvested shares</w:t>
            </w:r>
          </w:p>
        </w:tc>
        <w:tc>
          <w:tcPr>
            <w:tcW w:w="920" w:type="dxa"/>
            <w:vAlign w:val="bottom"/>
          </w:tcPr>
          <w:p>
            <w:pPr>
              <w:jc w:val="right"/>
              <w:spacing w:after="0"/>
              <w:rPr>
                <w:sz w:val="20"/>
                <w:szCs w:val="20"/>
                <w:color w:val="auto"/>
              </w:rPr>
            </w:pPr>
            <w:r>
              <w:rPr>
                <w:rFonts w:ascii="Arial" w:cs="Arial" w:eastAsia="Arial" w:hAnsi="Arial"/>
                <w:sz w:val="15"/>
                <w:szCs w:val="15"/>
                <w:color w:val="auto"/>
              </w:rPr>
              <w:t>(23,771)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(524)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(524)</w:t>
            </w:r>
          </w:p>
        </w:tc>
      </w:tr>
      <w:tr>
        <w:trPr>
          <w:trHeight w:val="176"/>
        </w:trPr>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(18,413)</w:t>
            </w:r>
          </w:p>
        </w:tc>
        <w:tc>
          <w:tcPr>
            <w:tcW w:w="8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(18,413)</w:t>
            </w:r>
          </w:p>
        </w:tc>
      </w:tr>
      <w:tr>
        <w:trPr>
          <w:trHeight w:val="208"/>
        </w:trPr>
        <w:tc>
          <w:tcPr>
            <w:tcW w:w="3820" w:type="dxa"/>
            <w:vAlign w:val="bottom"/>
            <w:tcBorders>
              <w:bottom w:val="single" w:sz="8" w:color="CCEEFF"/>
            </w:tcBorders>
          </w:tcPr>
          <w:p>
            <w:pPr>
              <w:spacing w:after="0" w:line="169" w:lineRule="exact"/>
              <w:rPr>
                <w:sz w:val="20"/>
                <w:szCs w:val="20"/>
                <w:color w:val="auto"/>
              </w:rPr>
            </w:pPr>
            <w:r>
              <w:rPr>
                <w:rFonts w:ascii="Arial" w:cs="Arial" w:eastAsia="Arial" w:hAnsi="Arial"/>
                <w:sz w:val="15"/>
                <w:szCs w:val="15"/>
                <w:color w:val="auto"/>
              </w:rPr>
              <w:t>Balances — August 3, 2024</w:t>
            </w: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16,419,356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7"/>
              </w:rPr>
              <w:t>162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106,407</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297,232</w:t>
            </w: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7,804,013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(267,211)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136,590</w:t>
            </w:r>
          </w:p>
        </w:tc>
      </w:tr>
      <w:tr>
        <w:trPr>
          <w:trHeight w:val="154"/>
        </w:trPr>
        <w:tc>
          <w:tcPr>
            <w:tcW w:w="382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Issuance of nonvested shares under incentive plan</w:t>
            </w:r>
          </w:p>
        </w:tc>
        <w:tc>
          <w:tcPr>
            <w:tcW w:w="92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19,698</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r>
      <w:tr>
        <w:trPr>
          <w:trHeight w:val="176"/>
        </w:trPr>
        <w:tc>
          <w:tcPr>
            <w:tcW w:w="3820" w:type="dxa"/>
            <w:vAlign w:val="bottom"/>
          </w:tcPr>
          <w:p>
            <w:pPr>
              <w:spacing w:after="0"/>
              <w:rPr>
                <w:sz w:val="20"/>
                <w:szCs w:val="20"/>
                <w:color w:val="auto"/>
              </w:rPr>
            </w:pPr>
            <w:r>
              <w:rPr>
                <w:rFonts w:ascii="Arial" w:cs="Arial" w:eastAsia="Arial" w:hAnsi="Arial"/>
                <w:sz w:val="15"/>
                <w:szCs w:val="15"/>
                <w:color w:val="auto"/>
              </w:rPr>
              <w:t>Forfeiture of nonvested shares</w:t>
            </w:r>
          </w:p>
        </w:tc>
        <w:tc>
          <w:tcPr>
            <w:tcW w:w="920" w:type="dxa"/>
            <w:vAlign w:val="bottom"/>
          </w:tcPr>
          <w:p>
            <w:pPr>
              <w:jc w:val="right"/>
              <w:spacing w:after="0"/>
              <w:rPr>
                <w:sz w:val="20"/>
                <w:szCs w:val="20"/>
                <w:color w:val="auto"/>
              </w:rPr>
            </w:pPr>
            <w:r>
              <w:rPr>
                <w:rFonts w:ascii="Arial" w:cs="Arial" w:eastAsia="Arial" w:hAnsi="Arial"/>
                <w:sz w:val="15"/>
                <w:szCs w:val="15"/>
                <w:color w:val="auto"/>
              </w:rPr>
              <w:t>(3,757)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6"/>
        </w:trPr>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Stock-based compensation 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856</w:t>
            </w:r>
          </w:p>
        </w:tc>
      </w:tr>
      <w:tr>
        <w:trPr>
          <w:trHeight w:val="176"/>
        </w:trPr>
        <w:tc>
          <w:tcPr>
            <w:tcW w:w="3820" w:type="dxa"/>
            <w:vAlign w:val="bottom"/>
          </w:tcPr>
          <w:p>
            <w:pPr>
              <w:spacing w:after="0"/>
              <w:rPr>
                <w:sz w:val="20"/>
                <w:szCs w:val="20"/>
                <w:color w:val="auto"/>
              </w:rPr>
            </w:pPr>
            <w:r>
              <w:rPr>
                <w:rFonts w:ascii="Arial" w:cs="Arial" w:eastAsia="Arial" w:hAnsi="Arial"/>
                <w:sz w:val="15"/>
                <w:szCs w:val="15"/>
                <w:color w:val="auto"/>
              </w:rPr>
              <w:t>Net share settlement of nonvested shares</w:t>
            </w:r>
          </w:p>
        </w:tc>
        <w:tc>
          <w:tcPr>
            <w:tcW w:w="920" w:type="dxa"/>
            <w:vAlign w:val="bottom"/>
          </w:tcPr>
          <w:p>
            <w:pPr>
              <w:jc w:val="right"/>
              <w:spacing w:after="0"/>
              <w:rPr>
                <w:sz w:val="20"/>
                <w:szCs w:val="20"/>
                <w:color w:val="auto"/>
              </w:rPr>
            </w:pPr>
            <w:r>
              <w:rPr>
                <w:rFonts w:ascii="Arial" w:cs="Arial" w:eastAsia="Arial" w:hAnsi="Arial"/>
                <w:sz w:val="15"/>
                <w:szCs w:val="15"/>
                <w:color w:val="auto"/>
              </w:rPr>
              <w:t>(1,260)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176"/>
        </w:trPr>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(7,152)</w:t>
            </w:r>
          </w:p>
        </w:tc>
        <w:tc>
          <w:tcPr>
            <w:tcW w:w="8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(7,152)</w:t>
            </w:r>
          </w:p>
        </w:tc>
      </w:tr>
      <w:tr>
        <w:trPr>
          <w:trHeight w:val="168"/>
        </w:trPr>
        <w:tc>
          <w:tcPr>
            <w:tcW w:w="3820" w:type="dxa"/>
            <w:vAlign w:val="bottom"/>
          </w:tcPr>
          <w:p>
            <w:pPr>
              <w:spacing w:after="0" w:line="169" w:lineRule="exact"/>
              <w:rPr>
                <w:sz w:val="20"/>
                <w:szCs w:val="20"/>
                <w:color w:val="auto"/>
              </w:rPr>
            </w:pPr>
            <w:r>
              <w:rPr>
                <w:rFonts w:ascii="Arial" w:cs="Arial" w:eastAsia="Arial" w:hAnsi="Arial"/>
                <w:sz w:val="15"/>
                <w:szCs w:val="15"/>
                <w:color w:val="auto"/>
              </w:rPr>
              <w:t>Balances — November 2, 2024</w:t>
            </w: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16,434,037</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7"/>
              </w:rPr>
              <w:t>162</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107,239</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290,080</w:t>
            </w:r>
          </w:p>
        </w:tc>
        <w:tc>
          <w:tcPr>
            <w:tcW w:w="80" w:type="dxa"/>
            <w:vAlign w:val="bottom"/>
          </w:tcPr>
          <w:p>
            <w:pPr>
              <w:spacing w:after="0"/>
              <w:rPr>
                <w:sz w:val="14"/>
                <w:szCs w:val="14"/>
                <w:color w:val="auto"/>
              </w:rPr>
            </w:pPr>
          </w:p>
        </w:tc>
        <w:tc>
          <w:tcPr>
            <w:tcW w:w="8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7,804,013</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(267,211)</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130,270</w:t>
            </w:r>
          </w:p>
        </w:tc>
      </w:tr>
      <w:tr>
        <w:trPr>
          <w:trHeight w:val="20"/>
        </w:trPr>
        <w:tc>
          <w:tcPr>
            <w:tcW w:w="3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505"/>
        </w:trPr>
        <w:tc>
          <w:tcPr>
            <w:tcW w:w="3820" w:type="dxa"/>
            <w:vAlign w:val="bottom"/>
          </w:tcPr>
          <w:p>
            <w:pPr>
              <w:spacing w:after="0"/>
              <w:rPr>
                <w:sz w:val="24"/>
                <w:szCs w:val="24"/>
                <w:color w:val="auto"/>
              </w:rPr>
            </w:pPr>
          </w:p>
        </w:tc>
        <w:tc>
          <w:tcPr>
            <w:tcW w:w="128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85"/>
              <w:spacing w:after="0"/>
              <w:rPr>
                <w:sz w:val="20"/>
                <w:szCs w:val="20"/>
                <w:color w:val="auto"/>
              </w:rPr>
            </w:pPr>
            <w:r>
              <w:rPr>
                <w:rFonts w:ascii="Arial" w:cs="Arial" w:eastAsia="Arial" w:hAnsi="Arial"/>
                <w:sz w:val="13"/>
                <w:szCs w:val="13"/>
                <w:b w:val="1"/>
                <w:bCs w:val="1"/>
                <w:color w:val="auto"/>
              </w:rPr>
              <w:t>Paid in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w:t>
            </w:r>
          </w:p>
        </w:tc>
        <w:tc>
          <w:tcPr>
            <w:tcW w:w="1780" w:type="dxa"/>
            <w:vAlign w:val="bottom"/>
            <w:tcBorders>
              <w:bottom w:val="single" w:sz="8" w:color="auto"/>
            </w:tcBorders>
            <w:gridSpan w:val="4"/>
          </w:tcPr>
          <w:p>
            <w:pPr>
              <w:jc w:val="right"/>
              <w:ind w:right="345"/>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56"/>
        </w:trPr>
        <w:tc>
          <w:tcPr>
            <w:tcW w:w="3820" w:type="dxa"/>
            <w:vAlign w:val="bottom"/>
          </w:tcPr>
          <w:p>
            <w:pPr>
              <w:spacing w:after="0"/>
              <w:rPr>
                <w:sz w:val="13"/>
                <w:szCs w:val="13"/>
                <w:color w:val="auto"/>
              </w:rPr>
            </w:pPr>
          </w:p>
        </w:tc>
        <w:tc>
          <w:tcPr>
            <w:tcW w:w="920" w:type="dxa"/>
            <w:vAlign w:val="bottom"/>
          </w:tcPr>
          <w:p>
            <w:pPr>
              <w:jc w:val="right"/>
              <w:ind w:right="165"/>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85"/>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40" w:type="dxa"/>
            <w:vAlign w:val="bottom"/>
          </w:tcPr>
          <w:p>
            <w:pPr>
              <w:jc w:val="right"/>
              <w:ind w:right="125"/>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85"/>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85"/>
              <w:spacing w:after="0"/>
              <w:rPr>
                <w:sz w:val="20"/>
                <w:szCs w:val="20"/>
                <w:color w:val="auto"/>
              </w:rPr>
            </w:pPr>
            <w:r>
              <w:rPr>
                <w:rFonts w:ascii="Arial" w:cs="Arial" w:eastAsia="Arial" w:hAnsi="Arial"/>
                <w:sz w:val="13"/>
                <w:szCs w:val="13"/>
                <w:b w:val="1"/>
                <w:bCs w:val="1"/>
                <w:color w:val="auto"/>
              </w:rPr>
              <w:t>Total</w:t>
            </w:r>
          </w:p>
        </w:tc>
      </w:tr>
      <w:tr>
        <w:trPr>
          <w:trHeight w:val="168"/>
        </w:trPr>
        <w:tc>
          <w:tcPr>
            <w:tcW w:w="38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5"/>
                <w:szCs w:val="15"/>
                <w:color w:val="auto"/>
              </w:rPr>
              <w:t>Balances — January 28, 2023</w:t>
            </w:r>
          </w:p>
        </w:tc>
        <w:tc>
          <w:tcPr>
            <w:tcW w:w="9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16,158,494</w:t>
            </w: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3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87"/>
              </w:rPr>
              <w:t>160</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102,445</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331,050</w:t>
            </w: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7,804,013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(267,211)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166,444</w:t>
            </w:r>
          </w:p>
        </w:tc>
      </w:tr>
      <w:tr>
        <w:trPr>
          <w:trHeight w:val="176"/>
        </w:trPr>
        <w:tc>
          <w:tcPr>
            <w:tcW w:w="3820" w:type="dxa"/>
            <w:vAlign w:val="bottom"/>
          </w:tcPr>
          <w:p>
            <w:pPr>
              <w:spacing w:after="0"/>
              <w:rPr>
                <w:sz w:val="20"/>
                <w:szCs w:val="20"/>
                <w:color w:val="auto"/>
              </w:rPr>
            </w:pPr>
            <w:r>
              <w:rPr>
                <w:rFonts w:ascii="Arial" w:cs="Arial" w:eastAsia="Arial" w:hAnsi="Arial"/>
                <w:sz w:val="15"/>
                <w:szCs w:val="15"/>
                <w:color w:val="auto"/>
              </w:rPr>
              <w:t>Vesting of nonvested shares</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76"/>
        </w:trPr>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Issuance of nonvested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76"/>
        </w:trPr>
        <w:tc>
          <w:tcPr>
            <w:tcW w:w="3820" w:type="dxa"/>
            <w:vAlign w:val="bottom"/>
          </w:tcPr>
          <w:p>
            <w:pPr>
              <w:spacing w:after="0"/>
              <w:rPr>
                <w:sz w:val="20"/>
                <w:szCs w:val="20"/>
                <w:color w:val="auto"/>
              </w:rPr>
            </w:pPr>
            <w:r>
              <w:rPr>
                <w:rFonts w:ascii="Arial" w:cs="Arial" w:eastAsia="Arial" w:hAnsi="Arial"/>
                <w:sz w:val="15"/>
                <w:szCs w:val="15"/>
                <w:color w:val="auto"/>
              </w:rPr>
              <w:t>Forfeiture of nonvested shares</w:t>
            </w:r>
          </w:p>
        </w:tc>
        <w:tc>
          <w:tcPr>
            <w:tcW w:w="920" w:type="dxa"/>
            <w:vAlign w:val="bottom"/>
          </w:tcPr>
          <w:p>
            <w:pPr>
              <w:jc w:val="right"/>
              <w:spacing w:after="0"/>
              <w:rPr>
                <w:sz w:val="20"/>
                <w:szCs w:val="20"/>
                <w:color w:val="auto"/>
              </w:rPr>
            </w:pPr>
            <w:r>
              <w:rPr>
                <w:rFonts w:ascii="Arial" w:cs="Arial" w:eastAsia="Arial" w:hAnsi="Arial"/>
                <w:sz w:val="15"/>
                <w:szCs w:val="15"/>
                <w:color w:val="auto"/>
              </w:rPr>
              <w:t>(9,647)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6"/>
        </w:trPr>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Stock-based compensation 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935</w:t>
            </w:r>
          </w:p>
        </w:tc>
      </w:tr>
      <w:tr>
        <w:trPr>
          <w:trHeight w:val="176"/>
        </w:trPr>
        <w:tc>
          <w:tcPr>
            <w:tcW w:w="3820" w:type="dxa"/>
            <w:vAlign w:val="bottom"/>
          </w:tcPr>
          <w:p>
            <w:pPr>
              <w:spacing w:after="0"/>
              <w:rPr>
                <w:sz w:val="20"/>
                <w:szCs w:val="20"/>
                <w:color w:val="auto"/>
              </w:rPr>
            </w:pPr>
            <w:r>
              <w:rPr>
                <w:rFonts w:ascii="Arial" w:cs="Arial" w:eastAsia="Arial" w:hAnsi="Arial"/>
                <w:sz w:val="15"/>
                <w:szCs w:val="15"/>
                <w:color w:val="auto"/>
              </w:rPr>
              <w:t>Net share settlement of nonvested shares</w:t>
            </w:r>
          </w:p>
        </w:tc>
        <w:tc>
          <w:tcPr>
            <w:tcW w:w="920" w:type="dxa"/>
            <w:vAlign w:val="bottom"/>
          </w:tcPr>
          <w:p>
            <w:pPr>
              <w:jc w:val="right"/>
              <w:spacing w:after="0"/>
              <w:rPr>
                <w:sz w:val="20"/>
                <w:szCs w:val="20"/>
                <w:color w:val="auto"/>
              </w:rPr>
            </w:pPr>
            <w:r>
              <w:rPr>
                <w:rFonts w:ascii="Arial" w:cs="Arial" w:eastAsia="Arial" w:hAnsi="Arial"/>
                <w:sz w:val="15"/>
                <w:szCs w:val="15"/>
                <w:color w:val="auto"/>
              </w:rPr>
              <w:t>(33,432)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(782)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(783)</w:t>
            </w:r>
          </w:p>
        </w:tc>
      </w:tr>
      <w:tr>
        <w:trPr>
          <w:trHeight w:val="176"/>
        </w:trPr>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(6,635)</w:t>
            </w:r>
          </w:p>
        </w:tc>
        <w:tc>
          <w:tcPr>
            <w:tcW w:w="8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(6,635)</w:t>
            </w:r>
          </w:p>
        </w:tc>
      </w:tr>
      <w:tr>
        <w:trPr>
          <w:trHeight w:val="208"/>
        </w:trPr>
        <w:tc>
          <w:tcPr>
            <w:tcW w:w="3820" w:type="dxa"/>
            <w:vAlign w:val="bottom"/>
            <w:tcBorders>
              <w:bottom w:val="single" w:sz="8" w:color="CCEEFF"/>
            </w:tcBorders>
          </w:tcPr>
          <w:p>
            <w:pPr>
              <w:spacing w:after="0" w:line="169" w:lineRule="exact"/>
              <w:rPr>
                <w:sz w:val="20"/>
                <w:szCs w:val="20"/>
                <w:color w:val="auto"/>
              </w:rPr>
            </w:pPr>
            <w:r>
              <w:rPr>
                <w:rFonts w:ascii="Arial" w:cs="Arial" w:eastAsia="Arial" w:hAnsi="Arial"/>
                <w:sz w:val="15"/>
                <w:szCs w:val="15"/>
                <w:color w:val="auto"/>
              </w:rPr>
              <w:t>Balances — April 29, 2023</w:t>
            </w: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16,116,915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7"/>
              </w:rPr>
              <w:t>160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102,598</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324,415</w:t>
            </w: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7,804,013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(267,211)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159,962</w:t>
            </w:r>
          </w:p>
        </w:tc>
      </w:tr>
      <w:tr>
        <w:trPr>
          <w:trHeight w:val="154"/>
        </w:trPr>
        <w:tc>
          <w:tcPr>
            <w:tcW w:w="382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Issuance of nonvested shares</w:t>
            </w:r>
          </w:p>
        </w:tc>
        <w:tc>
          <w:tcPr>
            <w:tcW w:w="92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259,136</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r>
      <w:tr>
        <w:trPr>
          <w:trHeight w:val="176"/>
        </w:trPr>
        <w:tc>
          <w:tcPr>
            <w:tcW w:w="3820" w:type="dxa"/>
            <w:vAlign w:val="bottom"/>
          </w:tcPr>
          <w:p>
            <w:pPr>
              <w:spacing w:after="0"/>
              <w:rPr>
                <w:sz w:val="20"/>
                <w:szCs w:val="20"/>
                <w:color w:val="auto"/>
              </w:rPr>
            </w:pPr>
            <w:r>
              <w:rPr>
                <w:rFonts w:ascii="Arial" w:cs="Arial" w:eastAsia="Arial" w:hAnsi="Arial"/>
                <w:sz w:val="15"/>
                <w:szCs w:val="15"/>
                <w:color w:val="auto"/>
              </w:rPr>
              <w:t>Forfeiture of nonvested shares</w:t>
            </w:r>
          </w:p>
        </w:tc>
        <w:tc>
          <w:tcPr>
            <w:tcW w:w="920" w:type="dxa"/>
            <w:vAlign w:val="bottom"/>
          </w:tcPr>
          <w:p>
            <w:pPr>
              <w:jc w:val="right"/>
              <w:spacing w:after="0"/>
              <w:rPr>
                <w:sz w:val="20"/>
                <w:szCs w:val="20"/>
                <w:color w:val="auto"/>
              </w:rPr>
            </w:pPr>
            <w:r>
              <w:rPr>
                <w:rFonts w:ascii="Arial" w:cs="Arial" w:eastAsia="Arial" w:hAnsi="Arial"/>
                <w:sz w:val="15"/>
                <w:szCs w:val="15"/>
                <w:color w:val="auto"/>
              </w:rPr>
              <w:t>(6,581)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6"/>
        </w:trPr>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Stock-based compensation 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1,049</w:t>
            </w:r>
          </w:p>
        </w:tc>
      </w:tr>
      <w:tr>
        <w:trPr>
          <w:trHeight w:val="176"/>
        </w:trPr>
        <w:tc>
          <w:tcPr>
            <w:tcW w:w="3820" w:type="dxa"/>
            <w:vAlign w:val="bottom"/>
          </w:tcPr>
          <w:p>
            <w:pPr>
              <w:spacing w:after="0"/>
              <w:rPr>
                <w:sz w:val="20"/>
                <w:szCs w:val="20"/>
                <w:color w:val="auto"/>
              </w:rPr>
            </w:pPr>
            <w:r>
              <w:rPr>
                <w:rFonts w:ascii="Arial" w:cs="Arial" w:eastAsia="Arial" w:hAnsi="Arial"/>
                <w:sz w:val="15"/>
                <w:szCs w:val="15"/>
                <w:color w:val="auto"/>
              </w:rPr>
              <w:t>Net share settlement of nonvested shares</w:t>
            </w:r>
          </w:p>
        </w:tc>
        <w:tc>
          <w:tcPr>
            <w:tcW w:w="920" w:type="dxa"/>
            <w:vAlign w:val="bottom"/>
          </w:tcPr>
          <w:p>
            <w:pPr>
              <w:jc w:val="right"/>
              <w:spacing w:after="0"/>
              <w:rPr>
                <w:sz w:val="20"/>
                <w:szCs w:val="20"/>
                <w:color w:val="auto"/>
              </w:rPr>
            </w:pPr>
            <w:r>
              <w:rPr>
                <w:rFonts w:ascii="Arial" w:cs="Arial" w:eastAsia="Arial" w:hAnsi="Arial"/>
                <w:sz w:val="15"/>
                <w:szCs w:val="15"/>
                <w:color w:val="auto"/>
              </w:rPr>
              <w:t>(1,400)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176"/>
        </w:trPr>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(5,032)</w:t>
            </w:r>
          </w:p>
        </w:tc>
        <w:tc>
          <w:tcPr>
            <w:tcW w:w="8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(5,032)</w:t>
            </w:r>
          </w:p>
        </w:tc>
      </w:tr>
      <w:tr>
        <w:trPr>
          <w:trHeight w:val="208"/>
        </w:trPr>
        <w:tc>
          <w:tcPr>
            <w:tcW w:w="3820" w:type="dxa"/>
            <w:vAlign w:val="bottom"/>
            <w:tcBorders>
              <w:bottom w:val="single" w:sz="8" w:color="CCEEFF"/>
            </w:tcBorders>
          </w:tcPr>
          <w:p>
            <w:pPr>
              <w:spacing w:after="0" w:line="169" w:lineRule="exact"/>
              <w:rPr>
                <w:sz w:val="20"/>
                <w:szCs w:val="20"/>
                <w:color w:val="auto"/>
              </w:rPr>
            </w:pPr>
            <w:r>
              <w:rPr>
                <w:rFonts w:ascii="Arial" w:cs="Arial" w:eastAsia="Arial" w:hAnsi="Arial"/>
                <w:sz w:val="15"/>
                <w:szCs w:val="15"/>
                <w:color w:val="auto"/>
              </w:rPr>
              <w:t>Balances — July 29, 2023</w:t>
            </w: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16,368,070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7"/>
              </w:rPr>
              <w:t>160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103,621</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319,383</w:t>
            </w: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7,804,013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(267,211)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155,953</w:t>
            </w:r>
          </w:p>
        </w:tc>
      </w:tr>
      <w:tr>
        <w:trPr>
          <w:trHeight w:val="154"/>
        </w:trPr>
        <w:tc>
          <w:tcPr>
            <w:tcW w:w="382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Forfeiture of nonvested shares</w:t>
            </w:r>
          </w:p>
        </w:tc>
        <w:tc>
          <w:tcPr>
            <w:tcW w:w="92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(17,787)</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r>
      <w:tr>
        <w:trPr>
          <w:trHeight w:val="176"/>
        </w:trPr>
        <w:tc>
          <w:tcPr>
            <w:tcW w:w="3820" w:type="dxa"/>
            <w:vAlign w:val="bottom"/>
          </w:tcPr>
          <w:p>
            <w:pPr>
              <w:spacing w:after="0"/>
              <w:rPr>
                <w:sz w:val="20"/>
                <w:szCs w:val="20"/>
                <w:color w:val="auto"/>
              </w:rPr>
            </w:pPr>
            <w:r>
              <w:rPr>
                <w:rFonts w:ascii="Arial" w:cs="Arial" w:eastAsia="Arial" w:hAnsi="Arial"/>
                <w:sz w:val="15"/>
                <w:szCs w:val="15"/>
                <w:color w:val="auto"/>
              </w:rPr>
              <w:t>Stock-based compensation expense</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1,018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1,018</w:t>
            </w:r>
          </w:p>
        </w:tc>
      </w:tr>
      <w:tr>
        <w:trPr>
          <w:trHeight w:val="176"/>
        </w:trPr>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Net share settlement of nonvested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w:t>
            </w:r>
          </w:p>
        </w:tc>
      </w:tr>
      <w:tr>
        <w:trPr>
          <w:trHeight w:val="176"/>
        </w:trPr>
        <w:tc>
          <w:tcPr>
            <w:tcW w:w="38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Net income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(3,863)</w:t>
            </w: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(3,863)</w:t>
            </w:r>
          </w:p>
        </w:tc>
      </w:tr>
      <w:tr>
        <w:trPr>
          <w:trHeight w:val="168"/>
        </w:trPr>
        <w:tc>
          <w:tcPr>
            <w:tcW w:w="382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5"/>
                <w:szCs w:val="15"/>
                <w:color w:val="auto"/>
              </w:rPr>
              <w:t>Balances — October 28, 2023</w:t>
            </w:r>
          </w:p>
        </w:tc>
        <w:tc>
          <w:tcPr>
            <w:tcW w:w="9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16,348,358</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87"/>
              </w:rPr>
              <w:t>160</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104,597</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315,520</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7,804,013</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(267,211)</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153,066</w:t>
            </w:r>
          </w:p>
        </w:tc>
      </w:tr>
      <w:tr>
        <w:trPr>
          <w:trHeight w:val="20"/>
        </w:trPr>
        <w:tc>
          <w:tcPr>
            <w:tcW w:w="3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 to the condensed consolidated financial statements (unaudited).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328930</wp:posOffset>
            </wp:positionV>
            <wp:extent cx="629602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87" w:right="99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Citi Trends, Inc.</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Notes to the Condensed Consolidated Financial Statements (unaudited)</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November 2, 2024</w:t>
      </w:r>
    </w:p>
    <w:p>
      <w:pPr>
        <w:spacing w:after="0" w:line="267" w:lineRule="exact"/>
        <w:rPr>
          <w:sz w:val="20"/>
          <w:szCs w:val="20"/>
          <w:color w:val="auto"/>
        </w:rPr>
      </w:pPr>
    </w:p>
    <w:p>
      <w:pPr>
        <w:ind w:left="160" w:hanging="158"/>
        <w:spacing w:after="0"/>
        <w:tabs>
          <w:tab w:leader="none" w:pos="160" w:val="left"/>
        </w:tabs>
        <w:numPr>
          <w:ilvl w:val="0"/>
          <w:numId w:val="3"/>
        </w:numPr>
        <w:rPr>
          <w:rFonts w:ascii="Arial" w:cs="Arial" w:eastAsia="Arial" w:hAnsi="Arial"/>
          <w:sz w:val="15"/>
          <w:szCs w:val="15"/>
          <w:color w:val="auto"/>
        </w:rPr>
      </w:pPr>
      <w:r>
        <w:rPr>
          <w:rFonts w:ascii="Arial" w:cs="Arial" w:eastAsia="Arial" w:hAnsi="Arial"/>
          <w:sz w:val="15"/>
          <w:szCs w:val="15"/>
          <w:u w:val="single" w:color="auto"/>
          <w:color w:val="auto"/>
        </w:rPr>
        <w:t>Significant Accounting Policies</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Basis of Presentation</w:t>
      </w:r>
    </w:p>
    <w:p>
      <w:pPr>
        <w:spacing w:after="0" w:line="29" w:lineRule="exact"/>
        <w:rPr>
          <w:sz w:val="20"/>
          <w:szCs w:val="20"/>
          <w:color w:val="auto"/>
        </w:rPr>
      </w:pPr>
    </w:p>
    <w:p>
      <w:pPr>
        <w:ind w:right="120"/>
        <w:spacing w:after="0" w:line="280" w:lineRule="auto"/>
        <w:rPr>
          <w:sz w:val="20"/>
          <w:szCs w:val="20"/>
          <w:color w:val="auto"/>
        </w:rPr>
      </w:pPr>
      <w:r>
        <w:rPr>
          <w:rFonts w:ascii="Arial" w:cs="Arial" w:eastAsia="Arial" w:hAnsi="Arial"/>
          <w:sz w:val="15"/>
          <w:szCs w:val="15"/>
          <w:color w:val="auto"/>
        </w:rPr>
        <w:t>Citi Trends, Inc. and its subsidiary (the “Company”) is a leading specialty value retailer of apparel, accessories and home trends for way less spend primarily for African American and multicultural families. As of November 2, 2024, the Company operated 593 stores in urban, suburban and rural markets in 33 states.</w:t>
      </w:r>
    </w:p>
    <w:p>
      <w:pPr>
        <w:spacing w:after="0" w:line="163" w:lineRule="exact"/>
        <w:rPr>
          <w:sz w:val="20"/>
          <w:szCs w:val="20"/>
          <w:color w:val="auto"/>
        </w:rPr>
      </w:pPr>
    </w:p>
    <w:p>
      <w:pPr>
        <w:ind w:right="60"/>
        <w:spacing w:after="0" w:line="274" w:lineRule="auto"/>
        <w:rPr>
          <w:sz w:val="20"/>
          <w:szCs w:val="20"/>
          <w:color w:val="auto"/>
        </w:rPr>
      </w:pPr>
      <w:r>
        <w:rPr>
          <w:rFonts w:ascii="Arial" w:cs="Arial" w:eastAsia="Arial" w:hAnsi="Arial"/>
          <w:sz w:val="15"/>
          <w:szCs w:val="15"/>
          <w:color w:val="auto"/>
        </w:rPr>
        <w:t>The condensed consolidated financial statements are prepared in accordance with U.S. generally accepted accounting principles (“U.S. GAAP”) for interim reporting and are unaudited. In the opinion of management, the condensed consolidated financial statements reflect all adjustments, which are normal and recurring in nature, necessary for fair financial statement presentation. The condensed consolidated balance sheet as of February 3, 2024 is derived from the audited financial statements in the Company’s Annual Report on Form 10-K for the fiscal year ended February 3, 2024 (the “2023 Form 10-K”). These condensed consolidated financial statements should be read in conjunction with the audited consolidated financial statements and notes thereto included in the 2023 Form 10-K. Results of a period shorter than a full year may not be indicative of results expected for the entire year as a result of the seasonality of our business, among other things.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Fiscal Year</w:t>
      </w:r>
    </w:p>
    <w:p>
      <w:pPr>
        <w:spacing w:after="0" w:line="26" w:lineRule="exact"/>
        <w:rPr>
          <w:sz w:val="20"/>
          <w:szCs w:val="20"/>
          <w:color w:val="auto"/>
        </w:rPr>
      </w:pPr>
    </w:p>
    <w:p>
      <w:pPr>
        <w:ind w:right="80"/>
        <w:spacing w:after="0" w:line="284" w:lineRule="auto"/>
        <w:rPr>
          <w:sz w:val="20"/>
          <w:szCs w:val="20"/>
          <w:color w:val="auto"/>
        </w:rPr>
      </w:pPr>
      <w:r>
        <w:rPr>
          <w:rFonts w:ascii="Arial" w:cs="Arial" w:eastAsia="Arial" w:hAnsi="Arial"/>
          <w:sz w:val="15"/>
          <w:szCs w:val="15"/>
          <w:color w:val="auto"/>
        </w:rPr>
        <w:t>The following contains references to fiscal years 2024 and 2023, which represent fiscal years ending or ended on February 1, 2025 and February 3, 2024, respectively. Fiscal 2024 has a 52-week accounting period, and fiscal 2023 had a 53-week accounting period.</w:t>
      </w:r>
    </w:p>
    <w:p>
      <w:pPr>
        <w:spacing w:after="0" w:line="198" w:lineRule="exact"/>
        <w:rPr>
          <w:sz w:val="20"/>
          <w:szCs w:val="20"/>
          <w:color w:val="auto"/>
        </w:rPr>
      </w:pPr>
    </w:p>
    <w:p>
      <w:pPr>
        <w:ind w:left="160" w:hanging="158"/>
        <w:spacing w:after="0"/>
        <w:tabs>
          <w:tab w:leader="none" w:pos="160" w:val="left"/>
        </w:tabs>
        <w:numPr>
          <w:ilvl w:val="0"/>
          <w:numId w:val="4"/>
        </w:numPr>
        <w:rPr>
          <w:rFonts w:ascii="Arial" w:cs="Arial" w:eastAsia="Arial" w:hAnsi="Arial"/>
          <w:sz w:val="15"/>
          <w:szCs w:val="15"/>
          <w:color w:val="auto"/>
        </w:rPr>
      </w:pPr>
      <w:r>
        <w:rPr>
          <w:rFonts w:ascii="Arial" w:cs="Arial" w:eastAsia="Arial" w:hAnsi="Arial"/>
          <w:sz w:val="15"/>
          <w:szCs w:val="15"/>
          <w:u w:val="single" w:color="auto"/>
          <w:color w:val="auto"/>
        </w:rPr>
        <w:t>Cash and Cash Equivalents/Concentration of Credit Risk</w:t>
      </w:r>
    </w:p>
    <w:p>
      <w:pPr>
        <w:spacing w:after="0" w:line="230" w:lineRule="exact"/>
        <w:rPr>
          <w:sz w:val="20"/>
          <w:szCs w:val="20"/>
          <w:color w:val="auto"/>
        </w:rPr>
      </w:pPr>
    </w:p>
    <w:p>
      <w:pPr>
        <w:ind w:right="300"/>
        <w:spacing w:after="0" w:line="275" w:lineRule="auto"/>
        <w:rPr>
          <w:sz w:val="20"/>
          <w:szCs w:val="20"/>
          <w:color w:val="auto"/>
        </w:rPr>
      </w:pPr>
      <w:r>
        <w:rPr>
          <w:rFonts w:ascii="Arial" w:cs="Arial" w:eastAsia="Arial" w:hAnsi="Arial"/>
          <w:sz w:val="15"/>
          <w:szCs w:val="15"/>
          <w:color w:val="auto"/>
        </w:rPr>
        <w:t>For purposes of the condensed consolidated balance sheets and condensed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spacing w:after="0" w:line="206" w:lineRule="exact"/>
        <w:rPr>
          <w:sz w:val="20"/>
          <w:szCs w:val="20"/>
          <w:color w:val="auto"/>
        </w:rPr>
      </w:pPr>
    </w:p>
    <w:p>
      <w:pPr>
        <w:ind w:left="160" w:hanging="158"/>
        <w:spacing w:after="0"/>
        <w:tabs>
          <w:tab w:leader="none" w:pos="160" w:val="left"/>
        </w:tabs>
        <w:numPr>
          <w:ilvl w:val="0"/>
          <w:numId w:val="5"/>
        </w:numPr>
        <w:rPr>
          <w:rFonts w:ascii="Arial" w:cs="Arial" w:eastAsia="Arial" w:hAnsi="Arial"/>
          <w:sz w:val="15"/>
          <w:szCs w:val="15"/>
          <w:color w:val="auto"/>
        </w:rPr>
      </w:pPr>
      <w:r>
        <w:rPr>
          <w:rFonts w:ascii="Arial" w:cs="Arial" w:eastAsia="Arial" w:hAnsi="Arial"/>
          <w:sz w:val="15"/>
          <w:szCs w:val="15"/>
          <w:u w:val="single" w:color="auto"/>
          <w:color w:val="auto"/>
        </w:rPr>
        <w:t>Earnings per Share</w:t>
      </w:r>
    </w:p>
    <w:p>
      <w:pPr>
        <w:spacing w:after="0" w:line="217"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During loss periods, diluted loss per share amounts are based on the weighted average number of common shares outstanding because the inclusion of common stock equivalents would be antidilutive.</w:t>
      </w:r>
    </w:p>
    <w:p>
      <w:pPr>
        <w:spacing w:after="0" w:line="251"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The dilutive effect of stock-based compensation arrangements is accounted for using the treasury stock method. The Company includes as assumed proceeds the amount of compensation cost attributed to future services and not yet recognized. For the third quarter of 2024 and 2023, there were 258,000 and 318,000 shares of nonvested restricted stock, respectively, excluded from the calculation of diluted earnings per share because of antidilution. For the thirty-nine weeks ended November 2, 2024 and October 28, 2023, there were 242,000 and 259,000 shares of nonvested restricted stock, respectively, excluded from the calculation of diluted earnings per share because of antidilution.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328930</wp:posOffset>
            </wp:positionV>
            <wp:extent cx="6296025" cy="24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487" w:right="99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ind w:right="240"/>
        <w:spacing w:after="0" w:line="298" w:lineRule="auto"/>
        <w:rPr>
          <w:sz w:val="20"/>
          <w:szCs w:val="20"/>
          <w:color w:val="auto"/>
        </w:rPr>
      </w:pPr>
      <w:r>
        <w:rPr>
          <w:rFonts w:ascii="Arial" w:cs="Arial" w:eastAsia="Arial" w:hAnsi="Arial"/>
          <w:sz w:val="15"/>
          <w:szCs w:val="15"/>
          <w:color w:val="auto"/>
        </w:rPr>
        <w:t>The following table provides a reconciliation of the weighted average number of common shares outstanding used to calculate basic earnings per share to the number of common shares and common stock equivalents outstanding used in calculating diluted earnings per share: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260" w:type="dxa"/>
            <w:vAlign w:val="bottom"/>
          </w:tcPr>
          <w:p>
            <w:pPr>
              <w:spacing w:after="0"/>
              <w:rPr>
                <w:sz w:val="13"/>
                <w:szCs w:val="13"/>
                <w:color w:val="auto"/>
              </w:rPr>
            </w:pPr>
          </w:p>
        </w:tc>
        <w:tc>
          <w:tcPr>
            <w:tcW w:w="2660" w:type="dxa"/>
            <w:vAlign w:val="bottom"/>
            <w:tcBorders>
              <w:bottom w:val="single" w:sz="8" w:color="auto"/>
            </w:tcBorders>
            <w:gridSpan w:val="3"/>
          </w:tcPr>
          <w:p>
            <w:pPr>
              <w:jc w:val="right"/>
              <w:ind w:right="547"/>
              <w:spacing w:after="0"/>
              <w:rPr>
                <w:sz w:val="20"/>
                <w:szCs w:val="20"/>
                <w:color w:val="auto"/>
              </w:rPr>
            </w:pPr>
            <w:r>
              <w:rPr>
                <w:rFonts w:ascii="Arial" w:cs="Arial" w:eastAsia="Arial" w:hAnsi="Arial"/>
                <w:sz w:val="13"/>
                <w:szCs w:val="13"/>
                <w:b w:val="1"/>
                <w:bCs w:val="1"/>
                <w:color w:val="auto"/>
              </w:rPr>
              <w:t>Thirteen Weeks Ended</w:t>
            </w:r>
          </w:p>
        </w:tc>
      </w:tr>
      <w:tr>
        <w:trPr>
          <w:trHeight w:val="143"/>
        </w:trPr>
        <w:tc>
          <w:tcPr>
            <w:tcW w:w="7260" w:type="dxa"/>
            <w:vAlign w:val="bottom"/>
          </w:tcPr>
          <w:p>
            <w:pPr>
              <w:spacing w:after="0"/>
              <w:rPr>
                <w:sz w:val="12"/>
                <w:szCs w:val="12"/>
                <w:color w:val="auto"/>
              </w:rPr>
            </w:pPr>
          </w:p>
        </w:tc>
        <w:tc>
          <w:tcPr>
            <w:tcW w:w="146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rPr>
              <w:t>November 2, 2024</w:t>
            </w:r>
          </w:p>
        </w:tc>
        <w:tc>
          <w:tcPr>
            <w:tcW w:w="1200" w:type="dxa"/>
            <w:vAlign w:val="bottom"/>
          </w:tcPr>
          <w:p>
            <w:pPr>
              <w:jc w:val="right"/>
              <w:ind w:right="7"/>
              <w:spacing w:after="0" w:line="144" w:lineRule="exact"/>
              <w:rPr>
                <w:sz w:val="20"/>
                <w:szCs w:val="20"/>
                <w:color w:val="auto"/>
              </w:rPr>
            </w:pPr>
            <w:r>
              <w:rPr>
                <w:rFonts w:ascii="Arial" w:cs="Arial" w:eastAsia="Arial" w:hAnsi="Arial"/>
                <w:sz w:val="13"/>
                <w:szCs w:val="13"/>
                <w:b w:val="1"/>
                <w:bCs w:val="1"/>
                <w:color w:val="auto"/>
              </w:rPr>
              <w:t>October 28, 2023</w:t>
            </w:r>
          </w:p>
        </w:tc>
      </w:tr>
      <w:tr>
        <w:trPr>
          <w:trHeight w:val="168"/>
        </w:trPr>
        <w:tc>
          <w:tcPr>
            <w:tcW w:w="72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5"/>
                <w:szCs w:val="15"/>
                <w:color w:val="auto"/>
              </w:rPr>
              <w:t>Weighted average number of common shares outstanding (basic)</w:t>
            </w:r>
          </w:p>
        </w:tc>
        <w:tc>
          <w:tcPr>
            <w:tcW w:w="12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8,356,085</w:t>
            </w:r>
          </w:p>
        </w:tc>
        <w:tc>
          <w:tcPr>
            <w:tcW w:w="2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8,237,729</w:t>
            </w:r>
          </w:p>
        </w:tc>
      </w:tr>
      <w:tr>
        <w:trPr>
          <w:trHeight w:val="176"/>
        </w:trPr>
        <w:tc>
          <w:tcPr>
            <w:tcW w:w="7260" w:type="dxa"/>
            <w:vAlign w:val="bottom"/>
          </w:tcPr>
          <w:p>
            <w:pPr>
              <w:spacing w:after="0"/>
              <w:rPr>
                <w:sz w:val="20"/>
                <w:szCs w:val="20"/>
                <w:color w:val="auto"/>
              </w:rPr>
            </w:pPr>
            <w:r>
              <w:rPr>
                <w:rFonts w:ascii="Arial" w:cs="Arial" w:eastAsia="Arial" w:hAnsi="Arial"/>
                <w:sz w:val="15"/>
                <w:szCs w:val="15"/>
                <w:color w:val="auto"/>
              </w:rPr>
              <w:t>Incremental shares from assumed vesting of nonvested restricted stock</w:t>
            </w:r>
          </w:p>
        </w:tc>
        <w:tc>
          <w:tcPr>
            <w:tcW w:w="14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68"/>
        </w:trPr>
        <w:tc>
          <w:tcPr>
            <w:tcW w:w="7260" w:type="dxa"/>
            <w:vAlign w:val="bottom"/>
            <w:tcBorders>
              <w:top w:val="single" w:sz="8" w:color="CCEEFF"/>
              <w:bottom w:val="single" w:sz="8" w:color="CCEEFF"/>
            </w:tcBorders>
            <w:shd w:val="clear" w:color="auto" w:fill="CCEEFF"/>
          </w:tcPr>
          <w:p>
            <w:pPr>
              <w:spacing w:after="0" w:line="169" w:lineRule="exact"/>
              <w:rPr>
                <w:sz w:val="20"/>
                <w:szCs w:val="20"/>
                <w:color w:val="auto"/>
              </w:rPr>
            </w:pPr>
            <w:r>
              <w:rPr>
                <w:rFonts w:ascii="Arial" w:cs="Arial" w:eastAsia="Arial" w:hAnsi="Arial"/>
                <w:sz w:val="15"/>
                <w:szCs w:val="15"/>
                <w:color w:val="auto"/>
              </w:rPr>
              <w:t>Weighted average number of common shares and common stock equivalents outstanding (diluted)</w:t>
            </w:r>
          </w:p>
        </w:tc>
        <w:tc>
          <w:tcPr>
            <w:tcW w:w="12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8,356,085</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8,237,729</w:t>
            </w:r>
          </w:p>
        </w:tc>
      </w:tr>
      <w:tr>
        <w:trPr>
          <w:trHeight w:val="20"/>
        </w:trPr>
        <w:tc>
          <w:tcPr>
            <w:tcW w:w="7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30"/>
        </w:trPr>
        <w:tc>
          <w:tcPr>
            <w:tcW w:w="7260" w:type="dxa"/>
            <w:vAlign w:val="bottom"/>
          </w:tcPr>
          <w:p>
            <w:pPr>
              <w:spacing w:after="0"/>
              <w:rPr>
                <w:sz w:val="24"/>
                <w:szCs w:val="24"/>
                <w:color w:val="auto"/>
              </w:rPr>
            </w:pPr>
          </w:p>
        </w:tc>
        <w:tc>
          <w:tcPr>
            <w:tcW w:w="2660" w:type="dxa"/>
            <w:vAlign w:val="bottom"/>
            <w:tcBorders>
              <w:bottom w:val="single" w:sz="8" w:color="auto"/>
            </w:tcBorders>
            <w:gridSpan w:val="3"/>
          </w:tcPr>
          <w:p>
            <w:pPr>
              <w:jc w:val="right"/>
              <w:ind w:right="447"/>
              <w:spacing w:after="0"/>
              <w:rPr>
                <w:sz w:val="20"/>
                <w:szCs w:val="20"/>
                <w:color w:val="auto"/>
              </w:rPr>
            </w:pPr>
            <w:r>
              <w:rPr>
                <w:rFonts w:ascii="Arial" w:cs="Arial" w:eastAsia="Arial" w:hAnsi="Arial"/>
                <w:sz w:val="13"/>
                <w:szCs w:val="13"/>
                <w:b w:val="1"/>
                <w:bCs w:val="1"/>
                <w:color w:val="auto"/>
              </w:rPr>
              <w:t>Thirty-Nine Weeks Ended</w:t>
            </w:r>
          </w:p>
        </w:tc>
      </w:tr>
      <w:tr>
        <w:trPr>
          <w:trHeight w:val="143"/>
        </w:trPr>
        <w:tc>
          <w:tcPr>
            <w:tcW w:w="7260" w:type="dxa"/>
            <w:vAlign w:val="bottom"/>
          </w:tcPr>
          <w:p>
            <w:pPr>
              <w:spacing w:after="0"/>
              <w:rPr>
                <w:sz w:val="12"/>
                <w:szCs w:val="12"/>
                <w:color w:val="auto"/>
              </w:rPr>
            </w:pPr>
          </w:p>
        </w:tc>
        <w:tc>
          <w:tcPr>
            <w:tcW w:w="146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rPr>
              <w:t>November 2, 2024</w:t>
            </w:r>
          </w:p>
        </w:tc>
        <w:tc>
          <w:tcPr>
            <w:tcW w:w="1200" w:type="dxa"/>
            <w:vAlign w:val="bottom"/>
          </w:tcPr>
          <w:p>
            <w:pPr>
              <w:jc w:val="right"/>
              <w:ind w:right="7"/>
              <w:spacing w:after="0" w:line="144" w:lineRule="exact"/>
              <w:rPr>
                <w:sz w:val="20"/>
                <w:szCs w:val="20"/>
                <w:color w:val="auto"/>
              </w:rPr>
            </w:pPr>
            <w:r>
              <w:rPr>
                <w:rFonts w:ascii="Arial" w:cs="Arial" w:eastAsia="Arial" w:hAnsi="Arial"/>
                <w:sz w:val="13"/>
                <w:szCs w:val="13"/>
                <w:b w:val="1"/>
                <w:bCs w:val="1"/>
                <w:color w:val="auto"/>
              </w:rPr>
              <w:t>October 28, 2023</w:t>
            </w:r>
          </w:p>
        </w:tc>
      </w:tr>
      <w:tr>
        <w:trPr>
          <w:trHeight w:val="168"/>
        </w:trPr>
        <w:tc>
          <w:tcPr>
            <w:tcW w:w="72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5"/>
                <w:szCs w:val="15"/>
                <w:color w:val="auto"/>
              </w:rPr>
              <w:t>Weighted average number of common shares outstanding (basic)</w:t>
            </w:r>
          </w:p>
        </w:tc>
        <w:tc>
          <w:tcPr>
            <w:tcW w:w="12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8,315,090</w:t>
            </w:r>
          </w:p>
        </w:tc>
        <w:tc>
          <w:tcPr>
            <w:tcW w:w="2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8,214,907</w:t>
            </w:r>
          </w:p>
        </w:tc>
      </w:tr>
      <w:tr>
        <w:trPr>
          <w:trHeight w:val="176"/>
        </w:trPr>
        <w:tc>
          <w:tcPr>
            <w:tcW w:w="7260" w:type="dxa"/>
            <w:vAlign w:val="bottom"/>
          </w:tcPr>
          <w:p>
            <w:pPr>
              <w:spacing w:after="0"/>
              <w:rPr>
                <w:sz w:val="20"/>
                <w:szCs w:val="20"/>
                <w:color w:val="auto"/>
              </w:rPr>
            </w:pPr>
            <w:r>
              <w:rPr>
                <w:rFonts w:ascii="Arial" w:cs="Arial" w:eastAsia="Arial" w:hAnsi="Arial"/>
                <w:sz w:val="15"/>
                <w:szCs w:val="15"/>
                <w:color w:val="auto"/>
              </w:rPr>
              <w:t>Incremental shares from assumed vesting of nonvested restricted stock</w:t>
            </w:r>
          </w:p>
        </w:tc>
        <w:tc>
          <w:tcPr>
            <w:tcW w:w="14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68"/>
        </w:trPr>
        <w:tc>
          <w:tcPr>
            <w:tcW w:w="7260" w:type="dxa"/>
            <w:vAlign w:val="bottom"/>
            <w:tcBorders>
              <w:top w:val="single" w:sz="8" w:color="CCEEFF"/>
              <w:bottom w:val="single" w:sz="8" w:color="CCEEFF"/>
            </w:tcBorders>
            <w:shd w:val="clear" w:color="auto" w:fill="CCEEFF"/>
          </w:tcPr>
          <w:p>
            <w:pPr>
              <w:spacing w:after="0" w:line="169" w:lineRule="exact"/>
              <w:rPr>
                <w:sz w:val="20"/>
                <w:szCs w:val="20"/>
                <w:color w:val="auto"/>
              </w:rPr>
            </w:pPr>
            <w:r>
              <w:rPr>
                <w:rFonts w:ascii="Arial" w:cs="Arial" w:eastAsia="Arial" w:hAnsi="Arial"/>
                <w:sz w:val="15"/>
                <w:szCs w:val="15"/>
                <w:color w:val="auto"/>
              </w:rPr>
              <w:t>Weighted average number of common shares and common stock equivalents outstanding (diluted)</w:t>
            </w:r>
          </w:p>
        </w:tc>
        <w:tc>
          <w:tcPr>
            <w:tcW w:w="12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8,315,090</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8,214,907</w:t>
            </w:r>
          </w:p>
        </w:tc>
      </w:tr>
      <w:tr>
        <w:trPr>
          <w:trHeight w:val="20"/>
        </w:trPr>
        <w:tc>
          <w:tcPr>
            <w:tcW w:w="7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4. </w:t>
      </w:r>
      <w:r>
        <w:rPr>
          <w:rFonts w:ascii="Arial" w:cs="Arial" w:eastAsia="Arial" w:hAnsi="Arial"/>
          <w:sz w:val="15"/>
          <w:szCs w:val="15"/>
          <w:u w:val="single" w:color="auto"/>
          <w:color w:val="auto"/>
        </w:rPr>
        <w:t>Revolving Credit Facility</w:t>
      </w:r>
    </w:p>
    <w:p>
      <w:pPr>
        <w:spacing w:after="0" w:line="217"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In October 2011, the Company entered into a five-year, $50 million credit facility with Bank of America. The facility was amended in August 2015 and May 2020 to extend the maturity dates. The facility was further amended in April 2021 to modify terms and extend the maturity date to April 15, 2026. In May 2023, the facility was amended to replace the London Interbank Offered Rate (“LIBOR”) with the Secured Overnight Financing Rate (“SOFR”). The amended facility provides a $75 million credit commitment and a $25 million uncommitted “accordion” feature that under certain circumstances could allow the Company to increase the size of the facility to $100 million. The facility is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0.20% and permits the payment of cash dividends subject to certain limitations. Borrowings under the credit facility bear interest (a) for SOFR Loans, at a rate equal to the SOFR Rate plus a SOFR adjustment equal to 0.10% plus either 1.25%, 1.50% or 1.75%, or (b) for Base Rate Loans, at a rate equal to the highest of</w:t>
      </w:r>
    </w:p>
    <w:p>
      <w:pPr>
        <w:spacing w:after="0" w:line="4" w:lineRule="exact"/>
        <w:rPr>
          <w:sz w:val="20"/>
          <w:szCs w:val="20"/>
          <w:color w:val="auto"/>
        </w:rPr>
      </w:pPr>
    </w:p>
    <w:p>
      <w:pPr>
        <w:ind w:right="380" w:firstLine="2"/>
        <w:spacing w:after="0" w:line="302" w:lineRule="auto"/>
        <w:tabs>
          <w:tab w:leader="none" w:pos="176"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prime rate, (ii) the Federal Funds Rate plus 0.5% or (iii) the Eurodollar Rate plus 1.0%, plus, in each case either 0.25%, 0.50% or 0.75%, based in any such case on the average daily availability for borrowings under the facility.</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As of November 2, 2024, the Company had no borrowings under the credit facility and $1.4 million of letters of credit outstanding.</w:t>
      </w:r>
    </w:p>
    <w:p>
      <w:pPr>
        <w:spacing w:after="0" w:line="318" w:lineRule="exact"/>
        <w:rPr>
          <w:sz w:val="20"/>
          <w:szCs w:val="20"/>
          <w:color w:val="auto"/>
        </w:rPr>
      </w:pPr>
    </w:p>
    <w:p>
      <w:pPr>
        <w:ind w:left="160" w:hanging="158"/>
        <w:spacing w:after="0"/>
        <w:tabs>
          <w:tab w:leader="none" w:pos="160" w:val="left"/>
        </w:tabs>
        <w:numPr>
          <w:ilvl w:val="0"/>
          <w:numId w:val="7"/>
        </w:numPr>
        <w:rPr>
          <w:rFonts w:ascii="Arial" w:cs="Arial" w:eastAsia="Arial" w:hAnsi="Arial"/>
          <w:sz w:val="15"/>
          <w:szCs w:val="15"/>
          <w:color w:val="auto"/>
        </w:rPr>
      </w:pPr>
      <w:r>
        <w:rPr>
          <w:rFonts w:ascii="Arial" w:cs="Arial" w:eastAsia="Arial" w:hAnsi="Arial"/>
          <w:sz w:val="15"/>
          <w:szCs w:val="15"/>
          <w:u w:val="single" w:color="auto"/>
          <w:color w:val="auto"/>
        </w:rPr>
        <w:t>Impairment of Assets</w:t>
      </w:r>
    </w:p>
    <w:p>
      <w:pPr>
        <w:spacing w:after="0" w:line="217" w:lineRule="exact"/>
        <w:rPr>
          <w:sz w:val="20"/>
          <w:szCs w:val="20"/>
          <w:color w:val="auto"/>
        </w:rPr>
      </w:pPr>
    </w:p>
    <w:p>
      <w:pPr>
        <w:ind w:right="120"/>
        <w:spacing w:after="0" w:line="273" w:lineRule="auto"/>
        <w:rPr>
          <w:sz w:val="20"/>
          <w:szCs w:val="20"/>
          <w:color w:val="auto"/>
        </w:rPr>
      </w:pPr>
      <w:r>
        <w:rPr>
          <w:rFonts w:ascii="Arial" w:cs="Arial" w:eastAsia="Arial" w:hAnsi="Arial"/>
          <w:sz w:val="15"/>
          <w:szCs w:val="15"/>
          <w:color w:val="auto"/>
        </w:rPr>
        <w:t>If facts and circumstances indicate that a long-lived asset or operating lease right-of-use asset may be impaired,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In the third quarter of 2024, non-cash impairment expense related to underperforming stores totaled $0.6 million, comprised of $0.3 million for leasehold improvements and fixtures and equipment, and $0.3 million for operating lease right of use assets. In the third quarter of 2023, non-cash impairment expense related to underperforming stores totaled $0.2 million, primarily for leasehold improvements and fixtures and equipment.</w:t>
      </w:r>
    </w:p>
    <w:p>
      <w:pPr>
        <w:spacing w:after="0" w:line="243" w:lineRule="exact"/>
        <w:rPr>
          <w:sz w:val="20"/>
          <w:szCs w:val="20"/>
          <w:color w:val="auto"/>
        </w:rPr>
      </w:pPr>
    </w:p>
    <w:p>
      <w:pPr>
        <w:ind w:left="160" w:hanging="158"/>
        <w:spacing w:after="0"/>
        <w:tabs>
          <w:tab w:leader="none" w:pos="160" w:val="left"/>
        </w:tabs>
        <w:numPr>
          <w:ilvl w:val="0"/>
          <w:numId w:val="8"/>
        </w:numPr>
        <w:rPr>
          <w:rFonts w:ascii="Arial" w:cs="Arial" w:eastAsia="Arial" w:hAnsi="Arial"/>
          <w:sz w:val="15"/>
          <w:szCs w:val="15"/>
          <w:color w:val="auto"/>
        </w:rPr>
      </w:pPr>
      <w:r>
        <w:rPr>
          <w:rFonts w:ascii="Arial" w:cs="Arial" w:eastAsia="Arial" w:hAnsi="Arial"/>
          <w:sz w:val="15"/>
          <w:szCs w:val="15"/>
          <w:u w:val="single" w:color="auto"/>
          <w:color w:val="auto"/>
        </w:rPr>
        <w:t>Income Taxes</w:t>
      </w:r>
    </w:p>
    <w:p>
      <w:pPr>
        <w:spacing w:after="0" w:line="217" w:lineRule="exact"/>
        <w:rPr>
          <w:sz w:val="20"/>
          <w:szCs w:val="20"/>
          <w:color w:val="auto"/>
        </w:rPr>
      </w:pPr>
    </w:p>
    <w:p>
      <w:pPr>
        <w:ind w:right="80"/>
        <w:spacing w:after="0" w:line="280" w:lineRule="auto"/>
        <w:rPr>
          <w:sz w:val="20"/>
          <w:szCs w:val="20"/>
          <w:color w:val="auto"/>
        </w:rPr>
      </w:pPr>
      <w:r>
        <w:rPr>
          <w:rFonts w:ascii="Arial" w:cs="Arial" w:eastAsia="Arial" w:hAnsi="Arial"/>
          <w:sz w:val="15"/>
          <w:szCs w:val="15"/>
          <w:color w:val="auto"/>
        </w:rPr>
        <w:t>The provision for income taxes for the interim period in 2024 is based on an estimate of the annual effective tax rate adjusted to reflect the impact of discrete items. Management judgment is required in projecting ordinary income to estimate the Company’s annual effective tax rate. For the first thirty-nine weeks of 2023 the Company used the discrete effective tax rate method to determine its tax expense based upon interim period results. The Company determined that since small changes in estimated ordinary income would result in significant changes in the estimated annual effective tax rate, the annual effective tax rate method would not have provided a reliable estimate for the first thirty-nine weeks of 2023.</w:t>
      </w:r>
    </w:p>
    <w:p>
      <w:pPr>
        <w:spacing w:after="0" w:line="163" w:lineRule="exact"/>
        <w:rPr>
          <w:sz w:val="20"/>
          <w:szCs w:val="20"/>
          <w:color w:val="auto"/>
        </w:rPr>
      </w:pPr>
    </w:p>
    <w:p>
      <w:pPr>
        <w:ind w:right="200"/>
        <w:spacing w:after="0" w:line="298" w:lineRule="auto"/>
        <w:rPr>
          <w:sz w:val="20"/>
          <w:szCs w:val="20"/>
          <w:color w:val="auto"/>
        </w:rPr>
      </w:pPr>
      <w:r>
        <w:rPr>
          <w:rFonts w:ascii="Arial" w:cs="Arial" w:eastAsia="Arial" w:hAnsi="Arial"/>
          <w:sz w:val="15"/>
          <w:szCs w:val="15"/>
          <w:color w:val="auto"/>
        </w:rPr>
        <w:t>As of November 2, 2024, we had approximately $15.3 million in net deferred tax assets (DTA). At this time, we consider it more likely than not that we will have sufficient taxable income in the future that will allow us to realize these DTAs. If we are not able to generate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328930</wp:posOffset>
            </wp:positionV>
            <wp:extent cx="6296025"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87" w:right="99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ind w:right="80"/>
        <w:spacing w:after="0" w:line="298" w:lineRule="auto"/>
        <w:rPr>
          <w:sz w:val="20"/>
          <w:szCs w:val="20"/>
          <w:color w:val="auto"/>
        </w:rPr>
      </w:pPr>
      <w:r>
        <w:rPr>
          <w:rFonts w:ascii="Arial" w:cs="Arial" w:eastAsia="Arial" w:hAnsi="Arial"/>
          <w:sz w:val="15"/>
          <w:szCs w:val="15"/>
          <w:color w:val="auto"/>
        </w:rPr>
        <w:t>sufficient taxable income to realize these DTAs, a substantial valuation allowance to reduce our U.S. DTAs may be required, which would materially increase our expenses in the period the allowance is recognized and adversely affect our results of operations.</w:t>
      </w:r>
    </w:p>
    <w:p>
      <w:pPr>
        <w:spacing w:after="0" w:line="162" w:lineRule="exact"/>
        <w:rPr>
          <w:sz w:val="20"/>
          <w:szCs w:val="20"/>
          <w:color w:val="auto"/>
        </w:rPr>
      </w:pPr>
    </w:p>
    <w:p>
      <w:pPr>
        <w:ind w:right="60"/>
        <w:spacing w:after="0" w:line="253" w:lineRule="auto"/>
        <w:rPr>
          <w:sz w:val="20"/>
          <w:szCs w:val="20"/>
          <w:color w:val="auto"/>
        </w:rPr>
      </w:pPr>
      <w:r>
        <w:rPr>
          <w:rFonts w:ascii="Arial" w:cs="Arial" w:eastAsia="Arial" w:hAnsi="Arial"/>
          <w:sz w:val="15"/>
          <w:szCs w:val="15"/>
          <w:color w:val="auto"/>
        </w:rPr>
        <w:t>As of November 2, 2024, our net DTA includes approximately $9.3 million related to net operating loss (NOL) carryforwards that can be used to offset taxable income in future periods and reduce our income taxes payable in those future periods. NOL carryforwards may be subject to annual limitations under Internal Revenue Code Section 382 (Section 382) (or comparable provisions of foreign or state law) in the event that certain changes in ownership were to occur. In addition, tax credit carryforwards may be subject to annual limitations under Internal Revenue Code Section 383 (Section 383).</w:t>
      </w:r>
    </w:p>
    <w:p>
      <w:pPr>
        <w:spacing w:after="0" w:line="172" w:lineRule="exact"/>
        <w:rPr>
          <w:sz w:val="20"/>
          <w:szCs w:val="20"/>
          <w:color w:val="auto"/>
        </w:rPr>
      </w:pPr>
    </w:p>
    <w:p>
      <w:pPr>
        <w:ind w:right="160"/>
        <w:spacing w:after="0" w:line="256" w:lineRule="auto"/>
        <w:rPr>
          <w:sz w:val="20"/>
          <w:szCs w:val="20"/>
          <w:color w:val="auto"/>
        </w:rPr>
      </w:pPr>
      <w:r>
        <w:rPr>
          <w:rFonts w:ascii="Arial" w:cs="Arial" w:eastAsia="Arial" w:hAnsi="Arial"/>
          <w:sz w:val="15"/>
          <w:szCs w:val="15"/>
          <w:color w:val="auto"/>
        </w:rPr>
        <w:t>We are required to evaluate our NOL and tax credit carryforwards and whether certain changes in ownership have occurred as measured under Section 382 that would limit our ability to utilize a portion of our NOL and tax credit carryforwards. If it is determined that an ownership change has occurred, there may be annual limitations on the use of these NOL and tax credit carryforwards under Sections 382 and 383 (or comparable provisions of foreign or state law).</w:t>
      </w:r>
    </w:p>
    <w:p>
      <w:pPr>
        <w:spacing w:after="0" w:line="169" w:lineRule="exact"/>
        <w:rPr>
          <w:sz w:val="20"/>
          <w:szCs w:val="20"/>
          <w:color w:val="auto"/>
        </w:rPr>
      </w:pPr>
    </w:p>
    <w:p>
      <w:pPr>
        <w:ind w:left="160" w:hanging="158"/>
        <w:spacing w:after="0"/>
        <w:tabs>
          <w:tab w:leader="none" w:pos="160" w:val="left"/>
        </w:tabs>
        <w:numPr>
          <w:ilvl w:val="0"/>
          <w:numId w:val="9"/>
        </w:numPr>
        <w:rPr>
          <w:rFonts w:ascii="Arial" w:cs="Arial" w:eastAsia="Arial" w:hAnsi="Arial"/>
          <w:sz w:val="15"/>
          <w:szCs w:val="15"/>
          <w:color w:val="auto"/>
        </w:rPr>
      </w:pPr>
      <w:r>
        <w:rPr>
          <w:rFonts w:ascii="Arial" w:cs="Arial" w:eastAsia="Arial" w:hAnsi="Arial"/>
          <w:sz w:val="15"/>
          <w:szCs w:val="15"/>
          <w:u w:val="single" w:color="auto"/>
          <w:color w:val="auto"/>
        </w:rPr>
        <w:t>Commitments and Contingencies</w:t>
      </w:r>
    </w:p>
    <w:p>
      <w:pPr>
        <w:spacing w:after="0" w:line="217" w:lineRule="exact"/>
        <w:rPr>
          <w:sz w:val="20"/>
          <w:szCs w:val="20"/>
          <w:color w:val="auto"/>
        </w:rPr>
      </w:pPr>
    </w:p>
    <w:p>
      <w:pPr>
        <w:ind w:right="140"/>
        <w:spacing w:after="0" w:line="289" w:lineRule="auto"/>
        <w:rPr>
          <w:sz w:val="20"/>
          <w:szCs w:val="20"/>
          <w:color w:val="auto"/>
        </w:rPr>
      </w:pPr>
      <w:r>
        <w:rPr>
          <w:rFonts w:ascii="Arial" w:cs="Arial" w:eastAsia="Arial" w:hAnsi="Arial"/>
          <w:sz w:val="15"/>
          <w:szCs w:val="15"/>
          <w:color w:val="auto"/>
        </w:rPr>
        <w:t>The Company from time to time is involved in various legal proceedings incidental to the conduct of its business, including claims by customers, landlords, employees or former employees. Once it becomes probable that the Company will incur costs in connection with a legal proceeding and such costs can be reasonably estimated, the Company establishes appropriate reserves.</w:t>
      </w:r>
    </w:p>
    <w:p>
      <w:pPr>
        <w:spacing w:after="0" w:line="156" w:lineRule="exact"/>
        <w:rPr>
          <w:sz w:val="20"/>
          <w:szCs w:val="20"/>
          <w:color w:val="auto"/>
        </w:rPr>
      </w:pPr>
    </w:p>
    <w:p>
      <w:pPr>
        <w:ind w:right="160"/>
        <w:spacing w:after="0" w:line="289" w:lineRule="auto"/>
        <w:rPr>
          <w:sz w:val="20"/>
          <w:szCs w:val="20"/>
          <w:color w:val="auto"/>
        </w:rPr>
      </w:pPr>
      <w:r>
        <w:rPr>
          <w:rFonts w:ascii="Arial" w:cs="Arial" w:eastAsia="Arial" w:hAnsi="Arial"/>
          <w:sz w:val="15"/>
          <w:szCs w:val="15"/>
          <w:color w:val="auto"/>
        </w:rPr>
        <w:t>While legal proceedings are subject to uncertainties and the outcome of any such matter is not predictable, the Company is not aware of any legal proceedings pending or threatened against it that it expects to have a material adverse effect on its financial condition, results of operations or liquidity.</w:t>
      </w:r>
    </w:p>
    <w:p>
      <w:pPr>
        <w:spacing w:after="0" w:line="156" w:lineRule="exact"/>
        <w:rPr>
          <w:sz w:val="20"/>
          <w:szCs w:val="20"/>
          <w:color w:val="auto"/>
        </w:rPr>
      </w:pPr>
    </w:p>
    <w:p>
      <w:pPr>
        <w:ind w:left="160" w:hanging="158"/>
        <w:spacing w:after="0"/>
        <w:tabs>
          <w:tab w:leader="none" w:pos="160" w:val="left"/>
        </w:tabs>
        <w:numPr>
          <w:ilvl w:val="0"/>
          <w:numId w:val="10"/>
        </w:numPr>
        <w:rPr>
          <w:rFonts w:ascii="Arial" w:cs="Arial" w:eastAsia="Arial" w:hAnsi="Arial"/>
          <w:sz w:val="15"/>
          <w:szCs w:val="15"/>
          <w:color w:val="auto"/>
        </w:rPr>
      </w:pPr>
      <w:r>
        <w:rPr>
          <w:rFonts w:ascii="Arial" w:cs="Arial" w:eastAsia="Arial" w:hAnsi="Arial"/>
          <w:sz w:val="15"/>
          <w:szCs w:val="15"/>
          <w:u w:val="single" w:color="auto"/>
          <w:color w:val="auto"/>
        </w:rPr>
        <w:t>Stock Repurchases</w:t>
      </w:r>
    </w:p>
    <w:p>
      <w:pPr>
        <w:spacing w:after="0" w:line="217" w:lineRule="exact"/>
        <w:rPr>
          <w:sz w:val="20"/>
          <w:szCs w:val="20"/>
          <w:color w:val="auto"/>
        </w:rPr>
      </w:pPr>
    </w:p>
    <w:p>
      <w:pPr>
        <w:jc w:val="both"/>
        <w:ind w:right="60"/>
        <w:spacing w:after="0" w:line="289" w:lineRule="auto"/>
        <w:rPr>
          <w:sz w:val="20"/>
          <w:szCs w:val="20"/>
          <w:color w:val="auto"/>
        </w:rPr>
      </w:pPr>
      <w:r>
        <w:rPr>
          <w:rFonts w:ascii="Arial" w:cs="Arial" w:eastAsia="Arial" w:hAnsi="Arial"/>
          <w:sz w:val="15"/>
          <w:szCs w:val="15"/>
          <w:color w:val="auto"/>
        </w:rPr>
        <w:t>The Company periodically repurchases shares of its common stock under board-authorized repurchase programs. Such repurchases may be made in the open market, through block trades or through other negotiated transactions. There were no stock repurchases in the first thirty-nine weeks of 2024 or the first thirty-nine weeks of 2023.</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At November 2, 2024, $50.0 million remained available under the Company’s stock repurchase authorization.</w:t>
      </w:r>
    </w:p>
    <w:p>
      <w:pPr>
        <w:spacing w:after="0" w:line="205" w:lineRule="exact"/>
        <w:rPr>
          <w:sz w:val="20"/>
          <w:szCs w:val="20"/>
          <w:color w:val="auto"/>
        </w:rPr>
      </w:pPr>
    </w:p>
    <w:p>
      <w:pPr>
        <w:ind w:left="160" w:hanging="158"/>
        <w:spacing w:after="0"/>
        <w:tabs>
          <w:tab w:leader="none" w:pos="160" w:val="left"/>
        </w:tabs>
        <w:numPr>
          <w:ilvl w:val="0"/>
          <w:numId w:val="11"/>
        </w:numPr>
        <w:rPr>
          <w:rFonts w:ascii="Arial" w:cs="Arial" w:eastAsia="Arial" w:hAnsi="Arial"/>
          <w:sz w:val="15"/>
          <w:szCs w:val="15"/>
          <w:color w:val="auto"/>
        </w:rPr>
      </w:pPr>
      <w:r>
        <w:rPr>
          <w:rFonts w:ascii="Arial" w:cs="Arial" w:eastAsia="Arial" w:hAnsi="Arial"/>
          <w:sz w:val="15"/>
          <w:szCs w:val="15"/>
          <w:u w:val="single" w:color="auto"/>
          <w:color w:val="auto"/>
        </w:rPr>
        <w:t>Revenue</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Revenue Recognition</w:t>
      </w:r>
    </w:p>
    <w:p>
      <w:pPr>
        <w:spacing w:after="0" w:line="26"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The Company’s primary source of revenue is derived from the sale of clothing and accessories to its customers with the Company’s performance obligations satisfied immediately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Company’s performance obligation. The Company defers revenue from the sale of gift cards and recognizes the associated revenue upon the redemption of the cards by customers to purchase merchandise.</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Sales Returns</w:t>
      </w:r>
    </w:p>
    <w:p>
      <w:pPr>
        <w:spacing w:after="0" w:line="29" w:lineRule="exact"/>
        <w:rPr>
          <w:sz w:val="20"/>
          <w:szCs w:val="20"/>
          <w:color w:val="auto"/>
        </w:rPr>
      </w:pPr>
    </w:p>
    <w:p>
      <w:pPr>
        <w:ind w:right="320"/>
        <w:spacing w:after="0" w:line="298" w:lineRule="auto"/>
        <w:rPr>
          <w:sz w:val="20"/>
          <w:szCs w:val="20"/>
          <w:color w:val="auto"/>
        </w:rPr>
      </w:pPr>
      <w:r>
        <w:rPr>
          <w:rFonts w:ascii="Arial" w:cs="Arial" w:eastAsia="Arial" w:hAnsi="Arial"/>
          <w:sz w:val="15"/>
          <w:szCs w:val="15"/>
          <w:color w:val="auto"/>
        </w:rPr>
        <w:t>The Company allows customers to return merchandise for up to 30 days after the date of sale subject to certain conditions. Expected refunds to customers are recorded based on estimated margin using historical return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Disaggregation of Revenue</w:t>
      </w:r>
    </w:p>
    <w:p>
      <w:pPr>
        <w:spacing w:after="0" w:line="26"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The Company’s retail operations represent a single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328930</wp:posOffset>
            </wp:positionV>
            <wp:extent cx="629602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880"/>
          </w:cols>
          <w:pgMar w:left="980" w:top="487" w:right="10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ind w:right="600"/>
        <w:spacing w:after="0" w:line="298" w:lineRule="auto"/>
        <w:rPr>
          <w:sz w:val="20"/>
          <w:szCs w:val="20"/>
          <w:color w:val="auto"/>
        </w:rPr>
      </w:pPr>
      <w:r>
        <w:rPr>
          <w:rFonts w:ascii="Arial" w:cs="Arial" w:eastAsia="Arial" w:hAnsi="Arial"/>
          <w:sz w:val="15"/>
          <w:szCs w:val="15"/>
          <w:color w:val="auto"/>
        </w:rPr>
        <w:t>In the following table, the Company’s revenue from contracts with customers is disaggregated by “CITI” or major merchandise category. The percentage of net sales for each CITI with the merchandise assortment was approximately: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260" w:type="dxa"/>
            <w:vAlign w:val="bottom"/>
          </w:tcPr>
          <w:p>
            <w:pPr>
              <w:spacing w:after="0"/>
              <w:rPr>
                <w:sz w:val="13"/>
                <w:szCs w:val="13"/>
                <w:color w:val="auto"/>
              </w:rPr>
            </w:pPr>
          </w:p>
        </w:tc>
        <w:tc>
          <w:tcPr>
            <w:tcW w:w="184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3"/>
                <w:szCs w:val="13"/>
                <w:b w:val="1"/>
                <w:bCs w:val="1"/>
                <w:color w:val="auto"/>
              </w:rPr>
              <w:t>Thirteen Weeks Ended</w:t>
            </w:r>
          </w:p>
        </w:tc>
        <w:tc>
          <w:tcPr>
            <w:tcW w:w="2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Thirty-Nine Weeks Ended</w:t>
            </w:r>
          </w:p>
        </w:tc>
        <w:tc>
          <w:tcPr>
            <w:tcW w:w="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1"/>
        </w:trPr>
        <w:tc>
          <w:tcPr>
            <w:tcW w:w="5260" w:type="dxa"/>
            <w:vAlign w:val="bottom"/>
          </w:tcPr>
          <w:p>
            <w:pPr>
              <w:spacing w:after="0"/>
              <w:rPr>
                <w:sz w:val="20"/>
                <w:szCs w:val="20"/>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November 2,</w:t>
            </w:r>
          </w:p>
        </w:tc>
        <w:tc>
          <w:tcPr>
            <w:tcW w:w="1280" w:type="dxa"/>
            <w:vAlign w:val="bottom"/>
            <w:gridSpan w:val="3"/>
          </w:tcPr>
          <w:p>
            <w:pPr>
              <w:ind w:left="100"/>
              <w:spacing w:after="0"/>
              <w:rPr>
                <w:sz w:val="20"/>
                <w:szCs w:val="20"/>
                <w:color w:val="auto"/>
              </w:rPr>
            </w:pPr>
            <w:r>
              <w:rPr>
                <w:rFonts w:ascii="Arial" w:cs="Arial" w:eastAsia="Arial" w:hAnsi="Arial"/>
                <w:sz w:val="13"/>
                <w:szCs w:val="13"/>
                <w:b w:val="1"/>
                <w:bCs w:val="1"/>
                <w:color w:val="auto"/>
              </w:rPr>
              <w:t>October 28,</w:t>
            </w:r>
          </w:p>
        </w:tc>
        <w:tc>
          <w:tcPr>
            <w:tcW w:w="118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November 2,</w:t>
            </w:r>
          </w:p>
        </w:tc>
        <w:tc>
          <w:tcPr>
            <w:tcW w:w="1040" w:type="dxa"/>
            <w:vAlign w:val="bottom"/>
            <w:gridSpan w:val="3"/>
          </w:tcPr>
          <w:p>
            <w:pPr>
              <w:ind w:left="100"/>
              <w:spacing w:after="0"/>
              <w:rPr>
                <w:sz w:val="20"/>
                <w:szCs w:val="20"/>
                <w:color w:val="auto"/>
              </w:rPr>
            </w:pPr>
            <w:r>
              <w:rPr>
                <w:rFonts w:ascii="Arial" w:cs="Arial" w:eastAsia="Arial" w:hAnsi="Arial"/>
                <w:sz w:val="13"/>
                <w:szCs w:val="13"/>
                <w:b w:val="1"/>
                <w:bCs w:val="1"/>
                <w:color w:val="auto"/>
              </w:rPr>
              <w:t>October 28,</w:t>
            </w:r>
          </w:p>
        </w:tc>
      </w:tr>
      <w:tr>
        <w:trPr>
          <w:trHeight w:val="201"/>
        </w:trPr>
        <w:tc>
          <w:tcPr>
            <w:tcW w:w="526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auto"/>
              </w:rPr>
              <w:t>2024</w:t>
            </w: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240" w:type="dxa"/>
            <w:vAlign w:val="bottom"/>
            <w:tcBorders>
              <w:bottom w:val="single" w:sz="8" w:color="auto"/>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27"/>
              <w:spacing w:after="0"/>
              <w:rPr>
                <w:sz w:val="20"/>
                <w:szCs w:val="20"/>
                <w:color w:val="auto"/>
              </w:rPr>
            </w:pPr>
            <w:r>
              <w:rPr>
                <w:rFonts w:ascii="Arial" w:cs="Arial" w:eastAsia="Arial" w:hAnsi="Arial"/>
                <w:sz w:val="13"/>
                <w:szCs w:val="13"/>
                <w:b w:val="1"/>
                <w:bCs w:val="1"/>
                <w:color w:val="auto"/>
              </w:rPr>
              <w:t>2023</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r>
      <w:tr>
        <w:trPr>
          <w:trHeight w:val="168"/>
        </w:trPr>
        <w:tc>
          <w:tcPr>
            <w:tcW w:w="5260" w:type="dxa"/>
            <w:vAlign w:val="bottom"/>
            <w:shd w:val="clear" w:color="auto" w:fill="CCEEFF"/>
          </w:tcPr>
          <w:p>
            <w:pPr>
              <w:spacing w:after="0" w:line="168" w:lineRule="exact"/>
              <w:rPr>
                <w:sz w:val="20"/>
                <w:szCs w:val="20"/>
                <w:color w:val="auto"/>
              </w:rPr>
            </w:pPr>
            <w:r>
              <w:rPr>
                <w:rFonts w:ascii="Arial" w:cs="Arial" w:eastAsia="Arial" w:hAnsi="Arial"/>
                <w:sz w:val="16"/>
                <w:szCs w:val="16"/>
                <w:color w:val="auto"/>
              </w:rPr>
              <w:t>Ladies</w:t>
            </w:r>
          </w:p>
        </w:tc>
        <w:tc>
          <w:tcPr>
            <w:tcW w:w="6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27</w:t>
            </w:r>
          </w:p>
        </w:tc>
        <w:tc>
          <w:tcPr>
            <w:tcW w:w="2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26</w:t>
            </w:r>
          </w:p>
        </w:tc>
        <w:tc>
          <w:tcPr>
            <w:tcW w:w="2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28</w:t>
            </w:r>
          </w:p>
        </w:tc>
        <w:tc>
          <w:tcPr>
            <w:tcW w:w="2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rPr>
              <w:t>27</w:t>
            </w:r>
          </w:p>
        </w:tc>
        <w:tc>
          <w:tcPr>
            <w:tcW w:w="2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r>
      <w:tr>
        <w:trPr>
          <w:trHeight w:val="176"/>
        </w:trPr>
        <w:tc>
          <w:tcPr>
            <w:tcW w:w="5260" w:type="dxa"/>
            <w:vAlign w:val="bottom"/>
          </w:tcPr>
          <w:p>
            <w:pPr>
              <w:spacing w:after="0" w:line="176" w:lineRule="exact"/>
              <w:rPr>
                <w:sz w:val="20"/>
                <w:szCs w:val="20"/>
                <w:color w:val="auto"/>
              </w:rPr>
            </w:pPr>
            <w:r>
              <w:rPr>
                <w:rFonts w:ascii="Arial" w:cs="Arial" w:eastAsia="Arial" w:hAnsi="Arial"/>
                <w:sz w:val="16"/>
                <w:szCs w:val="16"/>
                <w:color w:val="auto"/>
              </w:rPr>
              <w:t>Kids</w:t>
            </w:r>
          </w:p>
        </w:tc>
        <w:tc>
          <w:tcPr>
            <w:tcW w:w="680" w:type="dxa"/>
            <w:vAlign w:val="bottom"/>
          </w:tcPr>
          <w:p>
            <w:pPr>
              <w:jc w:val="right"/>
              <w:spacing w:after="0"/>
              <w:rPr>
                <w:sz w:val="20"/>
                <w:szCs w:val="20"/>
                <w:color w:val="auto"/>
              </w:rPr>
            </w:pPr>
            <w:r>
              <w:rPr>
                <w:rFonts w:ascii="Arial" w:cs="Arial" w:eastAsia="Arial" w:hAnsi="Arial"/>
                <w:sz w:val="15"/>
                <w:szCs w:val="15"/>
                <w:color w:val="auto"/>
              </w:rPr>
              <w:t>24</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24</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23</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720" w:type="dxa"/>
            <w:vAlign w:val="bottom"/>
          </w:tcPr>
          <w:p>
            <w:pPr>
              <w:jc w:val="right"/>
              <w:ind w:right="27"/>
              <w:spacing w:after="0"/>
              <w:rPr>
                <w:sz w:val="20"/>
                <w:szCs w:val="20"/>
                <w:color w:val="auto"/>
              </w:rPr>
            </w:pPr>
            <w:r>
              <w:rPr>
                <w:rFonts w:ascii="Arial" w:cs="Arial" w:eastAsia="Arial" w:hAnsi="Arial"/>
                <w:sz w:val="15"/>
                <w:szCs w:val="15"/>
                <w:color w:val="auto"/>
              </w:rPr>
              <w:t>22</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r>
      <w:tr>
        <w:trPr>
          <w:trHeight w:val="176"/>
        </w:trPr>
        <w:tc>
          <w:tcPr>
            <w:tcW w:w="52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Mens</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17</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r>
      <w:tr>
        <w:trPr>
          <w:trHeight w:val="176"/>
        </w:trPr>
        <w:tc>
          <w:tcPr>
            <w:tcW w:w="5260" w:type="dxa"/>
            <w:vAlign w:val="bottom"/>
          </w:tcPr>
          <w:p>
            <w:pPr>
              <w:spacing w:after="0" w:line="176" w:lineRule="exact"/>
              <w:rPr>
                <w:sz w:val="20"/>
                <w:szCs w:val="20"/>
                <w:color w:val="auto"/>
              </w:rPr>
            </w:pPr>
            <w:r>
              <w:rPr>
                <w:rFonts w:ascii="Arial" w:cs="Arial" w:eastAsia="Arial" w:hAnsi="Arial"/>
                <w:sz w:val="16"/>
                <w:szCs w:val="16"/>
                <w:color w:val="auto"/>
              </w:rPr>
              <w:t>Accessories &amp; Beauty</w:t>
            </w:r>
          </w:p>
        </w:tc>
        <w:tc>
          <w:tcPr>
            <w:tcW w:w="680" w:type="dxa"/>
            <w:vAlign w:val="bottom"/>
          </w:tcPr>
          <w:p>
            <w:pPr>
              <w:jc w:val="right"/>
              <w:spacing w:after="0"/>
              <w:rPr>
                <w:sz w:val="20"/>
                <w:szCs w:val="20"/>
                <w:color w:val="auto"/>
              </w:rPr>
            </w:pPr>
            <w:r>
              <w:rPr>
                <w:rFonts w:ascii="Arial" w:cs="Arial" w:eastAsia="Arial" w:hAnsi="Arial"/>
                <w:sz w:val="15"/>
                <w:szCs w:val="15"/>
                <w:color w:val="auto"/>
              </w:rPr>
              <w:t>16</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17</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16</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720" w:type="dxa"/>
            <w:vAlign w:val="bottom"/>
          </w:tcPr>
          <w:p>
            <w:pPr>
              <w:jc w:val="right"/>
              <w:ind w:right="27"/>
              <w:spacing w:after="0"/>
              <w:rPr>
                <w:sz w:val="20"/>
                <w:szCs w:val="20"/>
                <w:color w:val="auto"/>
              </w:rPr>
            </w:pPr>
            <w:r>
              <w:rPr>
                <w:rFonts w:ascii="Arial" w:cs="Arial" w:eastAsia="Arial" w:hAnsi="Arial"/>
                <w:sz w:val="15"/>
                <w:szCs w:val="15"/>
                <w:color w:val="auto"/>
              </w:rPr>
              <w:t>18</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r>
      <w:tr>
        <w:trPr>
          <w:trHeight w:val="176"/>
        </w:trPr>
        <w:tc>
          <w:tcPr>
            <w:tcW w:w="52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Home &amp; Lifestyle</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8</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r>
      <w:tr>
        <w:trPr>
          <w:trHeight w:val="210"/>
        </w:trPr>
        <w:tc>
          <w:tcPr>
            <w:tcW w:w="5260" w:type="dxa"/>
            <w:vAlign w:val="bottom"/>
          </w:tcPr>
          <w:p>
            <w:pPr>
              <w:spacing w:after="0"/>
              <w:rPr>
                <w:sz w:val="20"/>
                <w:szCs w:val="20"/>
                <w:color w:val="auto"/>
              </w:rPr>
            </w:pPr>
            <w:r>
              <w:rPr>
                <w:rFonts w:ascii="Arial" w:cs="Arial" w:eastAsia="Arial" w:hAnsi="Arial"/>
                <w:sz w:val="16"/>
                <w:szCs w:val="16"/>
                <w:color w:val="auto"/>
              </w:rPr>
              <w:t>Footwear</w:t>
            </w:r>
          </w:p>
        </w:tc>
        <w:tc>
          <w:tcPr>
            <w:tcW w:w="680" w:type="dxa"/>
            <w:vAlign w:val="bottom"/>
          </w:tcPr>
          <w:p>
            <w:pPr>
              <w:jc w:val="right"/>
              <w:spacing w:after="0"/>
              <w:rPr>
                <w:sz w:val="20"/>
                <w:szCs w:val="20"/>
                <w:color w:val="auto"/>
              </w:rPr>
            </w:pPr>
            <w:r>
              <w:rPr>
                <w:rFonts w:ascii="Arial" w:cs="Arial" w:eastAsia="Arial" w:hAnsi="Arial"/>
                <w:sz w:val="15"/>
                <w:szCs w:val="15"/>
                <w:color w:val="auto"/>
              </w:rPr>
              <w:t>6</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720" w:type="dxa"/>
            <w:vAlign w:val="bottom"/>
          </w:tcPr>
          <w:p>
            <w:pPr>
              <w:jc w:val="right"/>
              <w:ind w:right="27"/>
              <w:spacing w:after="0"/>
              <w:rPr>
                <w:sz w:val="20"/>
                <w:szCs w:val="20"/>
                <w:color w:val="auto"/>
              </w:rPr>
            </w:pPr>
            <w:r>
              <w:rPr>
                <w:rFonts w:ascii="Arial" w:cs="Arial" w:eastAsia="Arial" w:hAnsi="Arial"/>
                <w:sz w:val="15"/>
                <w:szCs w:val="15"/>
                <w:color w:val="auto"/>
              </w:rPr>
              <w:t>8</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r>
    </w:tbl>
    <w:p>
      <w:pPr>
        <w:spacing w:after="0" w:line="356" w:lineRule="exact"/>
        <w:rPr>
          <w:sz w:val="20"/>
          <w:szCs w:val="20"/>
          <w:color w:val="auto"/>
        </w:rPr>
      </w:pPr>
    </w:p>
    <w:p>
      <w:pPr>
        <w:ind w:left="260" w:hanging="258"/>
        <w:spacing w:after="0"/>
        <w:tabs>
          <w:tab w:leader="none" w:pos="260" w:val="left"/>
        </w:tabs>
        <w:numPr>
          <w:ilvl w:val="0"/>
          <w:numId w:val="12"/>
        </w:numPr>
        <w:rPr>
          <w:rFonts w:ascii="Arial" w:cs="Arial" w:eastAsia="Arial" w:hAnsi="Arial"/>
          <w:sz w:val="15"/>
          <w:szCs w:val="15"/>
          <w:color w:val="auto"/>
        </w:rPr>
      </w:pPr>
      <w:r>
        <w:rPr>
          <w:rFonts w:ascii="Arial" w:cs="Arial" w:eastAsia="Arial" w:hAnsi="Arial"/>
          <w:sz w:val="15"/>
          <w:szCs w:val="15"/>
          <w:u w:val="single" w:color="auto"/>
          <w:color w:val="auto"/>
        </w:rPr>
        <w:t>Leases</w:t>
      </w:r>
    </w:p>
    <w:p>
      <w:pPr>
        <w:spacing w:after="0" w:line="217" w:lineRule="exact"/>
        <w:rPr>
          <w:sz w:val="20"/>
          <w:szCs w:val="20"/>
          <w:color w:val="auto"/>
        </w:rPr>
      </w:pPr>
    </w:p>
    <w:p>
      <w:pPr>
        <w:spacing w:after="0" w:line="315" w:lineRule="auto"/>
        <w:rPr>
          <w:sz w:val="20"/>
          <w:szCs w:val="20"/>
          <w:color w:val="auto"/>
        </w:rPr>
      </w:pPr>
      <w:r>
        <w:rPr>
          <w:rFonts w:ascii="Arial" w:cs="Arial" w:eastAsia="Arial" w:hAnsi="Arial"/>
          <w:sz w:val="15"/>
          <w:szCs w:val="15"/>
          <w:color w:val="auto"/>
        </w:rPr>
        <w:t>The Company leases its retail store locations, distribution centers, and certain office space and equipment. Leases for store locations are typically for a term of five years with options to extend for one or more five-year periods.</w:t>
      </w:r>
    </w:p>
    <w:p>
      <w:pPr>
        <w:spacing w:after="0" w:line="138" w:lineRule="exact"/>
        <w:rPr>
          <w:sz w:val="20"/>
          <w:szCs w:val="20"/>
          <w:color w:val="auto"/>
        </w:rPr>
      </w:pPr>
    </w:p>
    <w:p>
      <w:pPr>
        <w:jc w:val="both"/>
        <w:ind w:right="40"/>
        <w:spacing w:after="0" w:line="289" w:lineRule="auto"/>
        <w:rPr>
          <w:sz w:val="20"/>
          <w:szCs w:val="20"/>
          <w:color w:val="auto"/>
        </w:rPr>
      </w:pPr>
      <w:r>
        <w:rPr>
          <w:rFonts w:ascii="Arial" w:cs="Arial" w:eastAsia="Arial" w:hAnsi="Arial"/>
          <w:sz w:val="15"/>
          <w:szCs w:val="15"/>
          <w:color w:val="auto"/>
        </w:rPr>
        <w:t>The Company analyzes all leases at inception to determine if a right-of-use asset and lease liability should be recognized. Leases with an initial term of 12 months or less and leases with mutual termination clauses are not included on the condensed consolidated balance sheets. The lease liability is measured at the present value of future lease payments as of the lease commencement date.</w:t>
      </w:r>
    </w:p>
    <w:p>
      <w:pPr>
        <w:spacing w:after="0" w:line="156" w:lineRule="exact"/>
        <w:rPr>
          <w:sz w:val="20"/>
          <w:szCs w:val="20"/>
          <w:color w:val="auto"/>
        </w:rPr>
      </w:pPr>
    </w:p>
    <w:p>
      <w:pPr>
        <w:jc w:val="both"/>
        <w:ind w:right="160"/>
        <w:spacing w:after="0" w:line="289" w:lineRule="auto"/>
        <w:rPr>
          <w:sz w:val="20"/>
          <w:szCs w:val="20"/>
          <w:color w:val="auto"/>
        </w:rPr>
      </w:pPr>
      <w:r>
        <w:rPr>
          <w:rFonts w:ascii="Arial" w:cs="Arial" w:eastAsia="Arial" w:hAnsi="Arial"/>
          <w:sz w:val="15"/>
          <w:szCs w:val="15"/>
          <w:color w:val="auto"/>
        </w:rPr>
        <w:t>Total lease cost is comprised of operating lease costs, short-term lease costs and variable lease costs, which include rent paid as a percentage of sales, common area maintenance, real estate taxes and insurance for the Company’s real estate leases. Lease costs consisted of the following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4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Thirteen Weeks Ended</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6"/>
          </w:tcPr>
          <w:p>
            <w:pPr>
              <w:jc w:val="right"/>
              <w:ind w:right="425"/>
              <w:spacing w:after="0"/>
              <w:rPr>
                <w:sz w:val="20"/>
                <w:szCs w:val="20"/>
                <w:color w:val="auto"/>
              </w:rPr>
            </w:pPr>
            <w:r>
              <w:rPr>
                <w:rFonts w:ascii="Arial" w:cs="Arial" w:eastAsia="Arial" w:hAnsi="Arial"/>
                <w:sz w:val="13"/>
                <w:szCs w:val="13"/>
                <w:b w:val="1"/>
                <w:bCs w:val="1"/>
                <w:color w:val="auto"/>
              </w:rPr>
              <w:t>Thirty-Nine Weeks Ended</w:t>
            </w:r>
          </w:p>
        </w:tc>
      </w:tr>
      <w:tr>
        <w:trPr>
          <w:trHeight w:val="206"/>
        </w:trPr>
        <w:tc>
          <w:tcPr>
            <w:tcW w:w="740" w:type="dxa"/>
            <w:vAlign w:val="bottom"/>
            <w:tcBorders>
              <w:bottom w:val="single" w:sz="8" w:color="CCEEFF"/>
            </w:tcBorders>
          </w:tcPr>
          <w:p>
            <w:pPr>
              <w:spacing w:after="0"/>
              <w:rPr>
                <w:sz w:val="17"/>
                <w:szCs w:val="17"/>
                <w:color w:val="auto"/>
              </w:rPr>
            </w:pPr>
          </w:p>
        </w:tc>
        <w:tc>
          <w:tcPr>
            <w:tcW w:w="38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November 2, 2024</w:t>
            </w: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October 28, 2023</w:t>
            </w: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November 2, 2024</w:t>
            </w:r>
          </w:p>
        </w:tc>
        <w:tc>
          <w:tcPr>
            <w:tcW w:w="16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October 28, 2023</w:t>
            </w:r>
          </w:p>
        </w:tc>
      </w:tr>
      <w:tr>
        <w:trPr>
          <w:trHeight w:val="206"/>
        </w:trPr>
        <w:tc>
          <w:tcPr>
            <w:tcW w:w="4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Operating lease cost</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16,441</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89"/>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15,521</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46,232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89"/>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46,930</w:t>
            </w:r>
          </w:p>
        </w:tc>
      </w:tr>
      <w:tr>
        <w:trPr>
          <w:trHeight w:val="226"/>
        </w:trPr>
        <w:tc>
          <w:tcPr>
            <w:tcW w:w="4560" w:type="dxa"/>
            <w:vAlign w:val="bottom"/>
            <w:gridSpan w:val="2"/>
          </w:tcPr>
          <w:p>
            <w:pPr>
              <w:spacing w:after="0"/>
              <w:rPr>
                <w:sz w:val="20"/>
                <w:szCs w:val="20"/>
                <w:color w:val="auto"/>
              </w:rPr>
            </w:pPr>
            <w:r>
              <w:rPr>
                <w:rFonts w:ascii="Arial" w:cs="Arial" w:eastAsia="Arial" w:hAnsi="Arial"/>
                <w:sz w:val="15"/>
                <w:szCs w:val="15"/>
                <w:color w:val="auto"/>
              </w:rPr>
              <w:t>Variable lease cost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1,997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2,628</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8,160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8,406</w:t>
            </w:r>
          </w:p>
        </w:tc>
      </w:tr>
      <w:tr>
        <w:trPr>
          <w:trHeight w:val="226"/>
        </w:trPr>
        <w:tc>
          <w:tcPr>
            <w:tcW w:w="4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Short term lease cost</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393</w:t>
            </w: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1,344</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1,171</w:t>
            </w:r>
          </w:p>
        </w:tc>
      </w:tr>
      <w:tr>
        <w:trPr>
          <w:trHeight w:val="194"/>
        </w:trPr>
        <w:tc>
          <w:tcPr>
            <w:tcW w:w="4560" w:type="dxa"/>
            <w:vAlign w:val="bottom"/>
            <w:gridSpan w:val="2"/>
          </w:tcPr>
          <w:p>
            <w:pPr>
              <w:spacing w:after="0"/>
              <w:rPr>
                <w:sz w:val="20"/>
                <w:szCs w:val="20"/>
                <w:color w:val="auto"/>
              </w:rPr>
            </w:pPr>
            <w:r>
              <w:rPr>
                <w:rFonts w:ascii="Arial" w:cs="Arial" w:eastAsia="Arial" w:hAnsi="Arial"/>
                <w:sz w:val="15"/>
                <w:szCs w:val="15"/>
                <w:color w:val="auto"/>
              </w:rPr>
              <w:t>Total lease cost</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18,688</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Borders>
              <w:bottom w:val="single" w:sz="8" w:color="auto"/>
            </w:tcBorders>
          </w:tcPr>
          <w:p>
            <w:pPr>
              <w:jc w:val="right"/>
              <w:ind w:right="489"/>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18,542</w:t>
            </w:r>
          </w:p>
        </w:tc>
        <w:tc>
          <w:tcPr>
            <w:tcW w:w="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55,736</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Borders>
              <w:bottom w:val="single" w:sz="8" w:color="auto"/>
            </w:tcBorders>
          </w:tcPr>
          <w:p>
            <w:pPr>
              <w:jc w:val="right"/>
              <w:ind w:right="289"/>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56,507</w:t>
            </w:r>
          </w:p>
        </w:tc>
      </w:tr>
      <w:tr>
        <w:trPr>
          <w:trHeight w:val="20"/>
        </w:trPr>
        <w:tc>
          <w:tcPr>
            <w:tcW w:w="7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340"/>
        </w:trPr>
        <w:tc>
          <w:tcPr>
            <w:tcW w:w="5900" w:type="dxa"/>
            <w:vAlign w:val="bottom"/>
            <w:gridSpan w:val="5"/>
          </w:tcPr>
          <w:p>
            <w:pPr>
              <w:spacing w:after="0"/>
              <w:rPr>
                <w:sz w:val="20"/>
                <w:szCs w:val="20"/>
                <w:color w:val="auto"/>
              </w:rPr>
            </w:pPr>
            <w:r>
              <w:rPr>
                <w:rFonts w:ascii="Arial" w:cs="Arial" w:eastAsia="Arial" w:hAnsi="Arial"/>
                <w:sz w:val="15"/>
                <w:szCs w:val="15"/>
                <w:color w:val="auto"/>
              </w:rPr>
              <w:t>Future minimum lease payments as of November 2, 2024 are as follows (in thousands):</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66"/>
        </w:trPr>
        <w:tc>
          <w:tcPr>
            <w:tcW w:w="740" w:type="dxa"/>
            <w:vAlign w:val="bottom"/>
          </w:tcPr>
          <w:p>
            <w:pPr>
              <w:spacing w:after="0"/>
              <w:rPr>
                <w:sz w:val="23"/>
                <w:szCs w:val="23"/>
                <w:color w:val="auto"/>
              </w:rPr>
            </w:pPr>
          </w:p>
        </w:tc>
        <w:tc>
          <w:tcPr>
            <w:tcW w:w="3820" w:type="dxa"/>
            <w:vAlign w:val="bottom"/>
          </w:tcPr>
          <w:p>
            <w:pPr>
              <w:spacing w:after="0"/>
              <w:rPr>
                <w:sz w:val="20"/>
                <w:szCs w:val="20"/>
                <w:color w:val="auto"/>
              </w:rPr>
            </w:pPr>
            <w:r>
              <w:rPr>
                <w:rFonts w:ascii="Arial" w:cs="Arial" w:eastAsia="Arial" w:hAnsi="Arial"/>
                <w:sz w:val="13"/>
                <w:szCs w:val="13"/>
                <w:b w:val="1"/>
                <w:bCs w:val="1"/>
                <w:color w:val="auto"/>
              </w:rPr>
              <w:t>Fiscal Year</w:t>
            </w: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rPr>
              <w:t>Lease Costs</w:t>
            </w: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68"/>
        </w:trPr>
        <w:tc>
          <w:tcPr>
            <w:tcW w:w="740" w:type="dxa"/>
            <w:vAlign w:val="bottom"/>
          </w:tcPr>
          <w:p>
            <w:pPr>
              <w:spacing w:after="0"/>
              <w:rPr>
                <w:sz w:val="14"/>
                <w:szCs w:val="14"/>
                <w:color w:val="auto"/>
              </w:rPr>
            </w:pPr>
          </w:p>
        </w:tc>
        <w:tc>
          <w:tcPr>
            <w:tcW w:w="382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5"/>
                <w:szCs w:val="15"/>
                <w:color w:val="auto"/>
              </w:rPr>
              <w:t>Remainder of 2024</w:t>
            </w:r>
          </w:p>
        </w:tc>
        <w:tc>
          <w:tcPr>
            <w:tcW w:w="3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16,535</w:t>
            </w: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740" w:type="dxa"/>
            <w:vAlign w:val="bottom"/>
          </w:tcPr>
          <w:p>
            <w:pPr>
              <w:spacing w:after="0"/>
              <w:rPr>
                <w:sz w:val="14"/>
                <w:szCs w:val="14"/>
                <w:color w:val="auto"/>
              </w:rPr>
            </w:pPr>
          </w:p>
        </w:tc>
      </w:tr>
      <w:tr>
        <w:trPr>
          <w:trHeight w:val="176"/>
        </w:trPr>
        <w:tc>
          <w:tcPr>
            <w:tcW w:w="74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Arial" w:cs="Arial" w:eastAsia="Arial" w:hAnsi="Arial"/>
                <w:sz w:val="15"/>
                <w:szCs w:val="15"/>
                <w:color w:val="auto"/>
              </w:rPr>
              <w:t>2025</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5"/>
                <w:szCs w:val="15"/>
                <w:color w:val="auto"/>
              </w:rPr>
              <w:t>58,464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740" w:type="dxa"/>
            <w:vAlign w:val="bottom"/>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2026</w:t>
            </w: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47,423</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74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Arial" w:cs="Arial" w:eastAsia="Arial" w:hAnsi="Arial"/>
                <w:sz w:val="15"/>
                <w:szCs w:val="15"/>
                <w:color w:val="auto"/>
              </w:rPr>
              <w:t>2027</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5"/>
                <w:szCs w:val="15"/>
                <w:color w:val="auto"/>
              </w:rPr>
              <w:t>36,204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740" w:type="dxa"/>
            <w:vAlign w:val="bottom"/>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2028</w:t>
            </w: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28,253</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740" w:type="dxa"/>
            <w:vAlign w:val="bottom"/>
          </w:tcPr>
          <w:p>
            <w:pPr>
              <w:spacing w:after="0"/>
              <w:rPr>
                <w:sz w:val="15"/>
                <w:szCs w:val="15"/>
                <w:color w:val="auto"/>
              </w:rPr>
            </w:pPr>
          </w:p>
        </w:tc>
        <w:tc>
          <w:tcPr>
            <w:tcW w:w="38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Thereafter</w:t>
            </w:r>
          </w:p>
        </w:tc>
        <w:tc>
          <w:tcPr>
            <w:tcW w:w="3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rPr>
              <w:t>108,800</w:t>
            </w: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740" w:type="dxa"/>
            <w:vAlign w:val="bottom"/>
          </w:tcPr>
          <w:p>
            <w:pPr>
              <w:spacing w:after="0"/>
              <w:rPr>
                <w:sz w:val="15"/>
                <w:szCs w:val="15"/>
                <w:color w:val="auto"/>
              </w:rPr>
            </w:pPr>
          </w:p>
        </w:tc>
      </w:tr>
      <w:tr>
        <w:trPr>
          <w:trHeight w:val="168"/>
        </w:trPr>
        <w:tc>
          <w:tcPr>
            <w:tcW w:w="740" w:type="dxa"/>
            <w:vAlign w:val="bottom"/>
          </w:tcPr>
          <w:p>
            <w:pPr>
              <w:spacing w:after="0"/>
              <w:rPr>
                <w:sz w:val="14"/>
                <w:szCs w:val="14"/>
                <w:color w:val="auto"/>
              </w:rPr>
            </w:pPr>
          </w:p>
        </w:tc>
        <w:tc>
          <w:tcPr>
            <w:tcW w:w="38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 future minimum lease payments</w:t>
            </w: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295,679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40" w:type="dxa"/>
            <w:vAlign w:val="bottom"/>
          </w:tcPr>
          <w:p>
            <w:pPr>
              <w:spacing w:after="0"/>
              <w:rPr>
                <w:sz w:val="14"/>
                <w:szCs w:val="14"/>
                <w:color w:val="auto"/>
              </w:rPr>
            </w:pPr>
          </w:p>
        </w:tc>
      </w:tr>
      <w:tr>
        <w:trPr>
          <w:trHeight w:val="176"/>
        </w:trPr>
        <w:tc>
          <w:tcPr>
            <w:tcW w:w="74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Arial" w:cs="Arial" w:eastAsia="Arial" w:hAnsi="Arial"/>
                <w:sz w:val="15"/>
                <w:szCs w:val="15"/>
                <w:color w:val="auto"/>
              </w:rPr>
              <w:t>Less: imputed interest</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5"/>
                <w:szCs w:val="15"/>
                <w:color w:val="auto"/>
              </w:rPr>
              <w:t>(70,522)</w:t>
            </w:r>
          </w:p>
        </w:tc>
        <w:tc>
          <w:tcPr>
            <w:tcW w:w="460" w:type="dxa"/>
            <w:vAlign w:val="bottom"/>
            <w:gridSpan w:val="2"/>
          </w:tcPr>
          <w:p>
            <w:pPr>
              <w:ind w:left="60"/>
              <w:spacing w:after="0"/>
              <w:rPr>
                <w:sz w:val="20"/>
                <w:szCs w:val="20"/>
                <w:color w:val="auto"/>
              </w:rPr>
            </w:pPr>
            <w:r>
              <w:rPr>
                <w:rFonts w:ascii="Arial" w:cs="Arial" w:eastAsia="Arial" w:hAnsi="Arial"/>
                <w:sz w:val="12"/>
                <w:szCs w:val="12"/>
                <w:color w:val="auto"/>
              </w:rPr>
              <w:t>(1)</w:t>
            </w:r>
          </w:p>
        </w:tc>
        <w:tc>
          <w:tcPr>
            <w:tcW w:w="740" w:type="dxa"/>
            <w:vAlign w:val="bottom"/>
          </w:tcPr>
          <w:p>
            <w:pPr>
              <w:spacing w:after="0"/>
              <w:rPr>
                <w:sz w:val="15"/>
                <w:szCs w:val="15"/>
                <w:color w:val="auto"/>
              </w:rPr>
            </w:pPr>
          </w:p>
        </w:tc>
      </w:tr>
      <w:tr>
        <w:trPr>
          <w:trHeight w:val="168"/>
        </w:trPr>
        <w:tc>
          <w:tcPr>
            <w:tcW w:w="740" w:type="dxa"/>
            <w:vAlign w:val="bottom"/>
          </w:tcPr>
          <w:p>
            <w:pPr>
              <w:spacing w:after="0"/>
              <w:rPr>
                <w:sz w:val="14"/>
                <w:szCs w:val="14"/>
                <w:color w:val="auto"/>
              </w:rPr>
            </w:pPr>
          </w:p>
        </w:tc>
        <w:tc>
          <w:tcPr>
            <w:tcW w:w="3820" w:type="dxa"/>
            <w:vAlign w:val="bottom"/>
            <w:tcBorders>
              <w:top w:val="single" w:sz="8" w:color="CCEEFF"/>
              <w:bottom w:val="single" w:sz="8" w:color="CCEEFF"/>
            </w:tcBorders>
            <w:shd w:val="clear" w:color="auto" w:fill="CCEEFF"/>
          </w:tcPr>
          <w:p>
            <w:pPr>
              <w:spacing w:after="0" w:line="169" w:lineRule="exact"/>
              <w:rPr>
                <w:sz w:val="20"/>
                <w:szCs w:val="20"/>
                <w:color w:val="auto"/>
              </w:rPr>
            </w:pPr>
            <w:r>
              <w:rPr>
                <w:rFonts w:ascii="Arial" w:cs="Arial" w:eastAsia="Arial" w:hAnsi="Arial"/>
                <w:sz w:val="15"/>
                <w:szCs w:val="15"/>
                <w:color w:val="auto"/>
              </w:rPr>
              <w:t>Total present value of lease liabilities</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225,157</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6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Arial" w:cs="Arial" w:eastAsia="Arial" w:hAnsi="Arial"/>
                <w:sz w:val="12"/>
                <w:szCs w:val="12"/>
                <w:color w:val="auto"/>
              </w:rPr>
              <w:t>(2)</w:t>
            </w:r>
          </w:p>
        </w:tc>
        <w:tc>
          <w:tcPr>
            <w:tcW w:w="740" w:type="dxa"/>
            <w:vAlign w:val="bottom"/>
          </w:tcPr>
          <w:p>
            <w:pPr>
              <w:spacing w:after="0"/>
              <w:rPr>
                <w:sz w:val="14"/>
                <w:szCs w:val="14"/>
                <w:color w:val="auto"/>
              </w:rPr>
            </w:pPr>
          </w:p>
        </w:tc>
      </w:tr>
      <w:tr>
        <w:trPr>
          <w:trHeight w:val="20"/>
        </w:trPr>
        <w:tc>
          <w:tcPr>
            <w:tcW w:w="7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55" w:lineRule="exact"/>
        <w:rPr>
          <w:sz w:val="20"/>
          <w:szCs w:val="20"/>
          <w:color w:val="auto"/>
        </w:rPr>
      </w:pPr>
    </w:p>
    <w:p>
      <w:pPr>
        <w:ind w:left="1280" w:hanging="298"/>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Calculated using the discount rate for each lease.</w:t>
      </w:r>
    </w:p>
    <w:p>
      <w:pPr>
        <w:spacing w:after="0" w:line="51" w:lineRule="exact"/>
        <w:rPr>
          <w:rFonts w:ascii="Arial" w:cs="Arial" w:eastAsia="Arial" w:hAnsi="Arial"/>
          <w:sz w:val="13"/>
          <w:szCs w:val="13"/>
          <w:color w:val="auto"/>
        </w:rPr>
      </w:pPr>
    </w:p>
    <w:p>
      <w:pPr>
        <w:ind w:left="1280" w:hanging="298"/>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short-term and long-term portions of operating lease liabilities.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328930</wp:posOffset>
            </wp:positionV>
            <wp:extent cx="629602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87" w:right="99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ind w:right="60"/>
        <w:spacing w:after="0" w:line="298" w:lineRule="auto"/>
        <w:rPr>
          <w:sz w:val="20"/>
          <w:szCs w:val="20"/>
          <w:color w:val="auto"/>
        </w:rPr>
      </w:pPr>
      <w:r>
        <w:rPr>
          <w:rFonts w:ascii="Arial" w:cs="Arial" w:eastAsia="Arial" w:hAnsi="Arial"/>
          <w:sz w:val="15"/>
          <w:szCs w:val="15"/>
          <w:color w:val="auto"/>
        </w:rPr>
        <w:t>Certain operating leases provide for fixed monthly rents, while others provide for contingent rents computed as a percentage of net sales and others provide for a combination of both fixed monthly rents and contingent rents computed as a percentage of net sales.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Supplemental cash flows and other information related to operating leases are as follows (in thousands, except for weighted average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380" w:type="dxa"/>
            <w:vAlign w:val="bottom"/>
            <w:tcBorders>
              <w:bottom w:val="single" w:sz="8" w:color="auto"/>
            </w:tcBorders>
            <w:gridSpan w:val="4"/>
          </w:tcPr>
          <w:p>
            <w:pPr>
              <w:jc w:val="right"/>
              <w:ind w:right="886"/>
              <w:spacing w:after="0"/>
              <w:rPr>
                <w:sz w:val="20"/>
                <w:szCs w:val="20"/>
                <w:color w:val="auto"/>
              </w:rPr>
            </w:pPr>
            <w:r>
              <w:rPr>
                <w:rFonts w:ascii="Arial" w:cs="Arial" w:eastAsia="Arial" w:hAnsi="Arial"/>
                <w:sz w:val="13"/>
                <w:szCs w:val="13"/>
                <w:b w:val="1"/>
                <w:bCs w:val="1"/>
                <w:color w:val="auto"/>
              </w:rPr>
              <w:t>Thirty-Nine Weeks Ended</w:t>
            </w:r>
          </w:p>
        </w:tc>
      </w:tr>
      <w:tr>
        <w:trPr>
          <w:trHeight w:val="143"/>
        </w:trPr>
        <w:tc>
          <w:tcPr>
            <w:tcW w:w="63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147"/>
              <w:spacing w:after="0" w:line="144" w:lineRule="exact"/>
              <w:rPr>
                <w:sz w:val="20"/>
                <w:szCs w:val="20"/>
                <w:color w:val="auto"/>
              </w:rPr>
            </w:pPr>
            <w:r>
              <w:rPr>
                <w:rFonts w:ascii="Arial" w:cs="Arial" w:eastAsia="Arial" w:hAnsi="Arial"/>
                <w:sz w:val="13"/>
                <w:szCs w:val="13"/>
                <w:b w:val="1"/>
                <w:bCs w:val="1"/>
                <w:color w:val="auto"/>
              </w:rPr>
              <w:t>November 2, 2024</w:t>
            </w: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206"/>
              <w:spacing w:after="0" w:line="144" w:lineRule="exact"/>
              <w:rPr>
                <w:sz w:val="20"/>
                <w:szCs w:val="20"/>
                <w:color w:val="auto"/>
              </w:rPr>
            </w:pPr>
            <w:r>
              <w:rPr>
                <w:rFonts w:ascii="Arial" w:cs="Arial" w:eastAsia="Arial" w:hAnsi="Arial"/>
                <w:sz w:val="13"/>
                <w:szCs w:val="13"/>
                <w:b w:val="1"/>
                <w:bCs w:val="1"/>
                <w:color w:val="auto"/>
              </w:rPr>
              <w:t>October 28, 2023</w:t>
            </w:r>
          </w:p>
        </w:tc>
      </w:tr>
      <w:tr>
        <w:trPr>
          <w:trHeight w:val="168"/>
        </w:trPr>
        <w:tc>
          <w:tcPr>
            <w:tcW w:w="63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Cash paid for operating leases</w:t>
            </w:r>
          </w:p>
        </w:tc>
        <w:tc>
          <w:tcPr>
            <w:tcW w:w="1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46,735</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52,734</w:t>
            </w:r>
          </w:p>
        </w:tc>
      </w:tr>
      <w:tr>
        <w:trPr>
          <w:trHeight w:val="176"/>
        </w:trPr>
        <w:tc>
          <w:tcPr>
            <w:tcW w:w="6380" w:type="dxa"/>
            <w:vAlign w:val="bottom"/>
          </w:tcPr>
          <w:p>
            <w:pPr>
              <w:spacing w:after="0"/>
              <w:rPr>
                <w:sz w:val="20"/>
                <w:szCs w:val="20"/>
                <w:color w:val="auto"/>
              </w:rPr>
            </w:pPr>
            <w:r>
              <w:rPr>
                <w:rFonts w:ascii="Arial" w:cs="Arial" w:eastAsia="Arial" w:hAnsi="Arial"/>
                <w:sz w:val="15"/>
                <w:szCs w:val="15"/>
                <w:color w:val="auto"/>
              </w:rPr>
              <w:t>Right of use assets obtained in exchange for new operating lease liabilities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25,182</w:t>
            </w:r>
          </w:p>
        </w:tc>
        <w:tc>
          <w:tcPr>
            <w:tcW w:w="48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22,322</w:t>
            </w:r>
          </w:p>
        </w:tc>
      </w:tr>
      <w:tr>
        <w:trPr>
          <w:trHeight w:val="176"/>
        </w:trPr>
        <w:tc>
          <w:tcPr>
            <w:tcW w:w="6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76"/>
        </w:trPr>
        <w:tc>
          <w:tcPr>
            <w:tcW w:w="6380" w:type="dxa"/>
            <w:vAlign w:val="bottom"/>
          </w:tcPr>
          <w:p>
            <w:pPr>
              <w:spacing w:after="0"/>
              <w:rPr>
                <w:sz w:val="20"/>
                <w:szCs w:val="20"/>
                <w:color w:val="auto"/>
              </w:rPr>
            </w:pPr>
            <w:r>
              <w:rPr>
                <w:rFonts w:ascii="Arial" w:cs="Arial" w:eastAsia="Arial" w:hAnsi="Arial"/>
                <w:sz w:val="15"/>
                <w:szCs w:val="15"/>
                <w:color w:val="auto"/>
              </w:rPr>
              <w:t>Weighted average remaining lease term (years) - operating leases</w:t>
            </w: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7.31</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7.60</w:t>
            </w:r>
          </w:p>
        </w:tc>
      </w:tr>
      <w:tr>
        <w:trPr>
          <w:trHeight w:val="176"/>
        </w:trPr>
        <w:tc>
          <w:tcPr>
            <w:tcW w:w="638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discount rate - operating leases</w:t>
            </w: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5.47%</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4.90%</w:t>
            </w:r>
          </w:p>
        </w:tc>
      </w:tr>
    </w:tbl>
    <w:p>
      <w:pPr>
        <w:spacing w:after="0" w:line="327" w:lineRule="exact"/>
        <w:rPr>
          <w:sz w:val="20"/>
          <w:szCs w:val="20"/>
          <w:color w:val="auto"/>
        </w:rPr>
      </w:pPr>
    </w:p>
    <w:p>
      <w:pPr>
        <w:ind w:left="240" w:hanging="238"/>
        <w:spacing w:after="0"/>
        <w:tabs>
          <w:tab w:leader="none" w:pos="240" w:val="left"/>
        </w:tabs>
        <w:numPr>
          <w:ilvl w:val="0"/>
          <w:numId w:val="14"/>
        </w:numPr>
        <w:rPr>
          <w:rFonts w:ascii="Arial" w:cs="Arial" w:eastAsia="Arial" w:hAnsi="Arial"/>
          <w:sz w:val="15"/>
          <w:szCs w:val="15"/>
          <w:color w:val="auto"/>
        </w:rPr>
      </w:pPr>
      <w:r>
        <w:rPr>
          <w:rFonts w:ascii="Arial" w:cs="Arial" w:eastAsia="Arial" w:hAnsi="Arial"/>
          <w:sz w:val="15"/>
          <w:szCs w:val="15"/>
          <w:u w:val="single" w:color="auto"/>
          <w:color w:val="auto"/>
        </w:rPr>
        <w:t>Recent Accounting Pronouncements</w:t>
      </w:r>
    </w:p>
    <w:p>
      <w:pPr>
        <w:spacing w:after="0" w:line="205" w:lineRule="exact"/>
        <w:rPr>
          <w:sz w:val="20"/>
          <w:szCs w:val="20"/>
          <w:color w:val="auto"/>
        </w:rPr>
      </w:pPr>
    </w:p>
    <w:p>
      <w:pPr>
        <w:ind w:right="60"/>
        <w:spacing w:after="0" w:line="274" w:lineRule="auto"/>
        <w:rPr>
          <w:sz w:val="20"/>
          <w:szCs w:val="20"/>
          <w:color w:val="auto"/>
        </w:rPr>
      </w:pPr>
      <w:r>
        <w:rPr>
          <w:rFonts w:ascii="Arial" w:cs="Arial" w:eastAsia="Arial" w:hAnsi="Arial"/>
          <w:sz w:val="15"/>
          <w:szCs w:val="15"/>
          <w:color w:val="auto"/>
        </w:rPr>
        <w:t>In November 2023, the FASB issued ASU 2023-07, “Segment Reporting (Topic 280): Improvements to Reportable Segment Disclosures” (“ASU 2023-07”), which expands reportable segment disclosure requirements primarily through enhanced disclosures about significant segment expenses. ASU 2023-07 requires disclosure of (i) significant segment expenses that are regularly provided to the CODM and included within the segment measure of profit or loss, (ii) an amount and description of its composition for other segment items to reconcile to segment profit or loss, and (iii) the title and position of the Company’s CODM. The ASU does not change how a public entity identifies its operating segments, aggregates them, or applies the quantitative thresholds to determine its reportable segments. The new standard will be effective on a retrospective basis for fiscal years beginning after December 15, 2023, and interim periods within fiscal years beginning after December 15, 2024, with early adoption permitted. The Company is currently evaluating the ASU to determine the impact of the amended guidance.</w:t>
      </w:r>
    </w:p>
    <w:p>
      <w:pPr>
        <w:spacing w:after="0" w:line="171"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auto"/>
        </w:rPr>
        <w:t>In December 2023, the FASB issued ASU 2023-09, “Income Taxes (Topic 740): Improvements to Income Tax Disclosures” (“ASU 2023-09”). The amendments in ASU 2023-09 require public entities, on an annual basis, to provide disclosure of specific categories in the rate reconciliation, as well as disclosure of income taxes paid disaggregated by jurisdiction. The new standard will be effective on a prospective basis for fiscal years beginning after December 15, 2024 and interim periods therein, with early adoption permitted. The Company is currently evaluating the ASU to determine the impact of the amended guidance.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Management’s Discussion and Analysis of Financial Condition and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217" w:lineRule="exact"/>
        <w:rPr>
          <w:sz w:val="20"/>
          <w:szCs w:val="20"/>
          <w:color w:val="auto"/>
        </w:rPr>
      </w:pPr>
    </w:p>
    <w:p>
      <w:pPr>
        <w:ind w:right="20"/>
        <w:spacing w:after="0" w:line="274" w:lineRule="auto"/>
        <w:rPr>
          <w:sz w:val="20"/>
          <w:szCs w:val="20"/>
          <w:color w:val="auto"/>
        </w:rPr>
      </w:pPr>
      <w:r>
        <w:rPr>
          <w:rFonts w:ascii="Arial" w:cs="Arial" w:eastAsia="Arial" w:hAnsi="Arial"/>
          <w:sz w:val="15"/>
          <w:szCs w:val="15"/>
          <w:color w:val="auto"/>
        </w:rPr>
        <w:t>Except for specific historical information, many of the matters discussed in this Form 10-Q may express or imply projections of revenues or expenditures, statements of plans and objectives for future operations, growth or initiatives, statements of future economic performance, capital allocation expectations or statements regarding the outcome or impact of pending or threatened litigation. These, and similar statements, are forward-looking statements concerning matters that involve risks, uncertainties and other factors that may cause the actual performance of the Company to differ materially from those expressed or implied by these statements. All forward-looking information should be evaluated in the context of these risks, uncertainties and other factors. The words “believe,” “anticipate,” “project,” “plan,” “expect,” “estimate,” “objective,” “forecast,” “goal,” “intend,” “could,” “will likely result,” or “will continue” and similar words and expressions generally identify forward-looking statements, although not all forward-looking statements contain such language. The Company believes the assumptions underlying these forward-looking statements are reasonable; however, any of the assumptions could be inaccurate, and therefore, actual results may differ materially from those projected in the forward-looking statements.</w:t>
      </w:r>
    </w:p>
    <w:p>
      <w:pPr>
        <w:spacing w:after="0" w:line="167" w:lineRule="exact"/>
        <w:rPr>
          <w:sz w:val="20"/>
          <w:szCs w:val="20"/>
          <w:color w:val="auto"/>
        </w:rPr>
      </w:pPr>
    </w:p>
    <w:p>
      <w:pPr>
        <w:ind w:right="20"/>
        <w:spacing w:after="0" w:line="272" w:lineRule="auto"/>
        <w:rPr>
          <w:sz w:val="20"/>
          <w:szCs w:val="20"/>
          <w:color w:val="auto"/>
        </w:rPr>
      </w:pPr>
      <w:r>
        <w:rPr>
          <w:rFonts w:ascii="Arial" w:cs="Arial" w:eastAsia="Arial" w:hAnsi="Arial"/>
          <w:sz w:val="15"/>
          <w:szCs w:val="15"/>
          <w:color w:val="auto"/>
        </w:rPr>
        <w:t>The factors that may result in actual results differing from such forward-looking information include, but are not limited to: uncertainties relating to general economic conditions, including inflation, energy and fuel costs, unemployment levels, and any deterioration whether caused by acts of war, terrorism, political or social unrest (including any resulting store closures, damage or loss of inventory) or other factors; changes in market interest rates and market levels of wages; impacts of natural disasters such as hurricanes; uncertainty and economic impact of pandemics, epidemics or other public health emergencies; transportation and distribution delays or interruptions; changes in freight rates; the Company’s ability to attract and retain workers; the Company’s ability to negotiate effectively the cost and purchase of merchandise; inventory risks due to shifts in market demand; the Company’s ability to gauge fashion trends and changing consumer preferences; consumer confidence and changes in consumer spending patterns; competition within the industry; competition in our markets; the duration and extent of any economic stimulus programs; changes in product</w:t>
      </w:r>
    </w:p>
    <w:p>
      <w:pPr>
        <w:spacing w:after="0" w:line="7" w:lineRule="exact"/>
        <w:rPr>
          <w:sz w:val="20"/>
          <w:szCs w:val="20"/>
          <w:color w:val="auto"/>
        </w:rPr>
      </w:pPr>
    </w:p>
    <w:p>
      <w:pPr>
        <w:ind w:right="580"/>
        <w:spacing w:after="0" w:line="298" w:lineRule="auto"/>
        <w:rPr>
          <w:sz w:val="20"/>
          <w:szCs w:val="20"/>
          <w:color w:val="auto"/>
        </w:rPr>
      </w:pPr>
      <w:r>
        <w:rPr>
          <w:rFonts w:ascii="Arial" w:cs="Arial" w:eastAsia="Arial" w:hAnsi="Arial"/>
          <w:sz w:val="15"/>
          <w:szCs w:val="15"/>
          <w:color w:val="auto"/>
        </w:rPr>
        <w:t>mix; interruptions in suppliers’ businesses; the impact of the cyber disruption we identified on January 14, 2023, including legal, reputational, financial and contractual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328930</wp:posOffset>
            </wp:positionV>
            <wp:extent cx="6296025"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87" w:right="99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ind w:right="40"/>
        <w:spacing w:after="0" w:line="274" w:lineRule="auto"/>
        <w:rPr>
          <w:sz w:val="20"/>
          <w:szCs w:val="20"/>
          <w:color w:val="auto"/>
        </w:rPr>
      </w:pPr>
      <w:r>
        <w:rPr>
          <w:rFonts w:ascii="Arial" w:cs="Arial" w:eastAsia="Arial" w:hAnsi="Arial"/>
          <w:sz w:val="15"/>
          <w:szCs w:val="15"/>
          <w:color w:val="auto"/>
        </w:rPr>
        <w:t>risks resulting from the disruption, and other risks related to cybersecurity, data privacy and intellectual property; the results of pending or threatened litigation; temporary changes in demand due to weather patterns; seasonality of the Company’s business; changes in market interest rates and market level wages; delays associated with building, opening, remodeling and operating new stores; delays associated with building, opening or expanding new or existing distribution centers; and other factors described in the section titled “Item 1A. Risk Factors” and elsewhere in the Company’s Annual Report on Form 10-K for the fiscal year ended February 3, 2024, and in Part II, “Item 1A. Risk Factors” and elsewhere in the Company’s Quarterly Reports on Form 10-Q and any amendments thereto and in the other documents the Company files with the SEC, including reports on Form 8-K.</w:t>
      </w:r>
    </w:p>
    <w:p>
      <w:pPr>
        <w:spacing w:after="0" w:line="167" w:lineRule="exact"/>
        <w:rPr>
          <w:sz w:val="20"/>
          <w:szCs w:val="20"/>
          <w:color w:val="auto"/>
        </w:rPr>
      </w:pPr>
    </w:p>
    <w:p>
      <w:pPr>
        <w:ind w:right="80"/>
        <w:spacing w:after="0" w:line="280" w:lineRule="auto"/>
        <w:rPr>
          <w:sz w:val="20"/>
          <w:szCs w:val="20"/>
          <w:color w:val="auto"/>
        </w:rPr>
      </w:pPr>
      <w:r>
        <w:rPr>
          <w:rFonts w:ascii="Arial" w:cs="Arial" w:eastAsia="Arial" w:hAnsi="Arial"/>
          <w:sz w:val="15"/>
          <w:szCs w:val="15"/>
          <w:color w:val="auto"/>
        </w:rPr>
        <w:t>Readers are cautioned not to place undue reliance on these forward-looking statements, which speak only as of the date of this Form 10-Q. Except as may be required by law, the Company undertakes no obligation to update or revise publicly any forward-looking statements contained herein to reflect events or circumstances occurring after the date of this Form 10-Q or to reflect the occurrence of unanticipated events. Readers are advised, however, to read any further disclosures the Company may make on related subjects in its public disclosures or documents filed with the SEC, including reports on Form 8-K.</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Overview</w:t>
      </w:r>
    </w:p>
    <w:p>
      <w:pPr>
        <w:spacing w:after="0" w:line="217" w:lineRule="exact"/>
        <w:rPr>
          <w:sz w:val="20"/>
          <w:szCs w:val="20"/>
          <w:color w:val="auto"/>
        </w:rPr>
      </w:pPr>
    </w:p>
    <w:p>
      <w:pPr>
        <w:ind w:right="40"/>
        <w:spacing w:after="0" w:line="289" w:lineRule="auto"/>
        <w:rPr>
          <w:sz w:val="20"/>
          <w:szCs w:val="20"/>
          <w:color w:val="auto"/>
        </w:rPr>
      </w:pPr>
      <w:r>
        <w:rPr>
          <w:rFonts w:ascii="Arial" w:cs="Arial" w:eastAsia="Arial" w:hAnsi="Arial"/>
          <w:sz w:val="15"/>
          <w:szCs w:val="15"/>
          <w:color w:val="auto"/>
        </w:rPr>
        <w:t>We are a leading specialty value retailer of apparel, accessories and home trends for way less spend primarily for African American and multicultural families. Our high-quality and trend-right merchandise offerings at everyday low prices are designed to appeal to the fashion and trend preferences of value-conscious customers. As of November 2, 2024, we operated 593 stores in urban, suburban and rural markets in 33 states.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Uncertainties and Challenges</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General Economic Conditions</w:t>
      </w:r>
    </w:p>
    <w:p>
      <w:pPr>
        <w:spacing w:after="0" w:line="217" w:lineRule="exact"/>
        <w:rPr>
          <w:sz w:val="20"/>
          <w:szCs w:val="20"/>
          <w:color w:val="auto"/>
        </w:rPr>
      </w:pPr>
    </w:p>
    <w:p>
      <w:pPr>
        <w:ind w:right="120"/>
        <w:spacing w:after="0" w:line="280" w:lineRule="auto"/>
        <w:rPr>
          <w:sz w:val="20"/>
          <w:szCs w:val="20"/>
          <w:color w:val="auto"/>
        </w:rPr>
      </w:pPr>
      <w:r>
        <w:rPr>
          <w:rFonts w:ascii="Arial" w:cs="Arial" w:eastAsia="Arial" w:hAnsi="Arial"/>
          <w:sz w:val="15"/>
          <w:szCs w:val="15"/>
          <w:color w:val="auto"/>
        </w:rPr>
        <w:t>We expect that our operations in the short-term will continue to be influenced by general economic conditions, including on-going inflationary pressures, which are particularly impactful to the communities we serve. Given the macro-economic environment, we expect low-income families to remain under pressure and to tightly manage their discretionary spend through the remainder of fiscal 2024. In addition, we continue to monitor the impacts on our business of unemployment levels, wage inflation, interest rates, inflation rates, housing costs, energy costs, consumer confidence, consumer perception of economic conditions, costs to source our merchandise and supply chain disruptions.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Seasonality and Weather Patterns</w:t>
      </w:r>
    </w:p>
    <w:p>
      <w:pPr>
        <w:spacing w:after="0" w:line="217"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The nature of our business is seasonal. Historically, sales in the first and fourth quarters have been higher than sales achieved in the second and third quarters of the fiscal year. In addition, sales of clothing are directly impacted by the timing of the seasons to which the clothing relates. While we have expanded our product offerings to include more non-apparel goods, traffic to our stores is still influenced by weather patterns to some extent.</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Cyber Disruption (January 2023)</w:t>
      </w:r>
    </w:p>
    <w:p>
      <w:pPr>
        <w:spacing w:after="0" w:line="255" w:lineRule="exact"/>
        <w:rPr>
          <w:sz w:val="20"/>
          <w:szCs w:val="20"/>
          <w:color w:val="auto"/>
        </w:rPr>
      </w:pPr>
    </w:p>
    <w:p>
      <w:pPr>
        <w:ind w:right="220"/>
        <w:spacing w:after="0" w:line="289" w:lineRule="auto"/>
        <w:rPr>
          <w:sz w:val="20"/>
          <w:szCs w:val="20"/>
          <w:color w:val="auto"/>
        </w:rPr>
      </w:pPr>
      <w:r>
        <w:rPr>
          <w:rFonts w:ascii="Arial" w:cs="Arial" w:eastAsia="Arial" w:hAnsi="Arial"/>
          <w:sz w:val="15"/>
          <w:szCs w:val="15"/>
          <w:color w:val="auto"/>
        </w:rPr>
        <w:t>As previously disclosed, in January 2023, we experienced a disruption of our back office and distribution center IT systems, (the “January 2023 cyber disruption”). In the first thirty-nine weeks of fiscal 2023, we recognized $1.7 million of costs related to the cyber disruption in Selling, general and administrative expenses on our Statement of Operations.</w:t>
      </w:r>
    </w:p>
    <w:p>
      <w:pPr>
        <w:spacing w:after="0" w:line="194" w:lineRule="exact"/>
        <w:rPr>
          <w:sz w:val="20"/>
          <w:szCs w:val="20"/>
          <w:color w:val="auto"/>
        </w:rPr>
      </w:pPr>
    </w:p>
    <w:p>
      <w:pPr>
        <w:ind w:right="180"/>
        <w:spacing w:after="0" w:line="280" w:lineRule="auto"/>
        <w:rPr>
          <w:sz w:val="20"/>
          <w:szCs w:val="20"/>
          <w:color w:val="auto"/>
        </w:rPr>
      </w:pPr>
      <w:r>
        <w:rPr>
          <w:rFonts w:ascii="Arial" w:cs="Arial" w:eastAsia="Arial" w:hAnsi="Arial"/>
          <w:sz w:val="15"/>
          <w:szCs w:val="15"/>
          <w:color w:val="auto"/>
        </w:rPr>
        <w:t>Several putative class action lawsuits have been filed against the Company and several inquiries have been made to the Company with respect to the January 2023 cyber disruption. At November 2, 2024, we had an accrual of $0.7 million for estimated losses in connection with these matters recorded in Accrued expenses on our Balance Sheet. For additional information regarding these lawsuits, see Note 7 of the Annual Report on Form 10-K for the fiscal year ended February 3, 2024.</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of Presentation</w:t>
      </w:r>
    </w:p>
    <w:p>
      <w:pPr>
        <w:spacing w:after="0" w:line="217" w:lineRule="exact"/>
        <w:rPr>
          <w:sz w:val="20"/>
          <w:szCs w:val="20"/>
          <w:color w:val="auto"/>
        </w:rPr>
      </w:pPr>
    </w:p>
    <w:p>
      <w:pPr>
        <w:ind w:right="100"/>
        <w:spacing w:after="0" w:line="280" w:lineRule="auto"/>
        <w:rPr>
          <w:sz w:val="20"/>
          <w:szCs w:val="20"/>
          <w:color w:val="auto"/>
        </w:rPr>
      </w:pPr>
      <w:r>
        <w:rPr>
          <w:rFonts w:ascii="Arial" w:cs="Arial" w:eastAsia="Arial" w:hAnsi="Arial"/>
          <w:sz w:val="15"/>
          <w:szCs w:val="15"/>
          <w:color w:val="auto"/>
        </w:rPr>
        <w:t>Net sales consist of store sales and layaway fees, net of returns by customers. Cost of sales consists of the cost of products we sell and associated freight costs. Depreciation is not considered a component of cost of sales and is included as a separate line item in the consolidated statements of operations. Selling, general and administrative expenses are comprised of store costs, including payroll and occupancy costs, corporate and distribution center costs and advertising costs.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328930</wp:posOffset>
            </wp:positionV>
            <wp:extent cx="629602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6025" cy="15875"/>
                    </a:xfrm>
                    <a:prstGeom prst="rect">
                      <a:avLst/>
                    </a:prstGeom>
                    <a:noFill/>
                  </pic:spPr>
                </pic:pic>
              </a:graphicData>
            </a:graphic>
          </wp:anchor>
        </w:drawing>
      </w:r>
    </w:p>
    <w:p>
      <w:pPr>
        <w:sectPr>
          <w:pgSz w:w="11900" w:h="16838" w:orient="portrait"/>
          <w:cols w:equalWidth="0" w:num="1">
            <w:col w:w="9920"/>
          </w:cols>
          <w:pgMar w:left="980" w:top="487" w:right="99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ind w:right="60"/>
        <w:spacing w:after="0" w:line="280" w:lineRule="auto"/>
        <w:rPr>
          <w:sz w:val="20"/>
          <w:szCs w:val="20"/>
          <w:color w:val="auto"/>
        </w:rPr>
      </w:pPr>
      <w:r>
        <w:rPr>
          <w:rFonts w:ascii="Arial" w:cs="Arial" w:eastAsia="Arial" w:hAnsi="Arial"/>
          <w:sz w:val="15"/>
          <w:szCs w:val="15"/>
          <w:color w:val="auto"/>
        </w:rPr>
        <w:t>The following discussion contains references to fiscal years 2024 and 2023, which represent fiscal years ending or ended on February 1, 2025 and February 3, 2024, respectively. Fiscal 2024 has a 52-week accounting period and fiscal 2023 had a 53-week accounting period. This discussion and analysis should be read with the unaudited condensed consolidated financial statements and the notes thereto contained in Part 1, Item 1 of this Report.</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230" w:lineRule="exact"/>
        <w:rPr>
          <w:sz w:val="20"/>
          <w:szCs w:val="20"/>
          <w:color w:val="auto"/>
        </w:rPr>
      </w:pPr>
    </w:p>
    <w:p>
      <w:pPr>
        <w:ind w:right="180"/>
        <w:spacing w:after="0" w:line="280" w:lineRule="auto"/>
        <w:rPr>
          <w:sz w:val="20"/>
          <w:szCs w:val="20"/>
          <w:color w:val="auto"/>
        </w:rPr>
      </w:pPr>
      <w:r>
        <w:rPr>
          <w:rFonts w:ascii="Arial" w:cs="Arial" w:eastAsia="Arial" w:hAnsi="Arial"/>
          <w:sz w:val="15"/>
          <w:szCs w:val="15"/>
          <w:color w:val="auto"/>
        </w:rPr>
        <w:t>The following discussion of the Company’s financial performance is based on the unaudited condensed consolidated financial statements set forth herein. Expenses and, to a greater extent, operating income, vary by quarter. Results of a period shorter than a full year may not be indicative of results expected for the entire year as a result of the seasonality of our business, among other things.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Operating Statistics</w:t>
      </w:r>
    </w:p>
    <w:p>
      <w:pPr>
        <w:spacing w:after="0" w:line="217" w:lineRule="exact"/>
        <w:rPr>
          <w:sz w:val="20"/>
          <w:szCs w:val="20"/>
          <w:color w:val="auto"/>
        </w:rPr>
      </w:pPr>
    </w:p>
    <w:p>
      <w:pPr>
        <w:spacing w:after="0" w:line="277" w:lineRule="auto"/>
        <w:rPr>
          <w:sz w:val="20"/>
          <w:szCs w:val="20"/>
          <w:color w:val="auto"/>
        </w:rPr>
      </w:pPr>
      <w:r>
        <w:rPr>
          <w:rFonts w:ascii="Arial" w:cs="Arial" w:eastAsia="Arial" w:hAnsi="Arial"/>
          <w:sz w:val="15"/>
          <w:szCs w:val="15"/>
          <w:color w:val="auto"/>
        </w:rPr>
        <w:t>We measure performance using key operating statistics. One of the main performance measures we use is comparable store sales growth. In fiscal years following those with 53 fiscal weeks, the prior year period is shifted by one week to compare similar retail calendar weeks. Additionally, for 2024, we updated our definition of a comparable store. We now define a comparable store as a store that has been open for at least 14 full consecutive months without closure for more than seven days within the same fiscal month. Remodeled or relocated stores are considered comparable stores if the selling square footage is not changed significantly, the store is not closed for more than five days in any fiscal month and the store remains in the same trade area. This change aligns more with industry standards in regard to measuring “comp store” sales performance. This change is effective for fiscal year 2024 and forward. For fiscal year 2024, the definition change results in six stores becoming comparable stores in 2024, which would not have become a comparable store until 2025 under the prior definition. The revised definition would result in no change to the full year 2023 comparable store sales results of 5.3%.</w:t>
      </w:r>
    </w:p>
    <w:p>
      <w:pPr>
        <w:spacing w:after="0" w:line="169"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color w:val="auto"/>
        </w:rPr>
        <w:t>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 In addition to sales, we measure cost of sales as a percentage of sales and store operating expenses, with a particular focus on labor, as a percentage of sales. These results translate into store level contribution, which we use to evaluate overall performance of each individual store. Finally, we monitor corporate and distribution center expenses against budgeted amounts.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Thirteen Weeks Ended November 2, 2024 and October 28, 2023</w:t>
      </w:r>
    </w:p>
    <w:p>
      <w:pPr>
        <w:spacing w:after="0" w:line="230" w:lineRule="exact"/>
        <w:rPr>
          <w:sz w:val="20"/>
          <w:szCs w:val="20"/>
          <w:color w:val="auto"/>
        </w:rPr>
      </w:pPr>
    </w:p>
    <w:p>
      <w:pPr>
        <w:ind w:right="240"/>
        <w:spacing w:after="0" w:line="275" w:lineRule="auto"/>
        <w:rPr>
          <w:sz w:val="20"/>
          <w:szCs w:val="20"/>
          <w:color w:val="auto"/>
        </w:rPr>
      </w:pPr>
      <w:r>
        <w:rPr>
          <w:rFonts w:ascii="Arial" w:cs="Arial" w:eastAsia="Arial" w:hAnsi="Arial"/>
          <w:sz w:val="15"/>
          <w:szCs w:val="15"/>
          <w:i w:val="1"/>
          <w:iCs w:val="1"/>
          <w:color w:val="auto"/>
        </w:rPr>
        <w:t xml:space="preserve">Net Sales. </w:t>
      </w:r>
      <w:r>
        <w:rPr>
          <w:rFonts w:ascii="Arial" w:cs="Arial" w:eastAsia="Arial" w:hAnsi="Arial"/>
          <w:sz w:val="15"/>
          <w:szCs w:val="15"/>
          <w:color w:val="auto"/>
        </w:rPr>
        <w:t>Sales comparisons for 2024 to the prior year are affected by the shift in the calendar caused by last year having 53 weeks. Net sales</w:t>
      </w:r>
      <w:r>
        <w:rPr>
          <w:rFonts w:ascii="Arial" w:cs="Arial" w:eastAsia="Arial" w:hAnsi="Arial"/>
          <w:sz w:val="15"/>
          <w:szCs w:val="15"/>
          <w:i w:val="1"/>
          <w:iCs w:val="1"/>
          <w:color w:val="auto"/>
        </w:rPr>
        <w:t xml:space="preserve"> </w:t>
      </w:r>
      <w:r>
        <w:rPr>
          <w:rFonts w:ascii="Arial" w:cs="Arial" w:eastAsia="Arial" w:hAnsi="Arial"/>
          <w:sz w:val="15"/>
          <w:szCs w:val="15"/>
          <w:color w:val="auto"/>
        </w:rPr>
        <w:t>decreased $0.4 million, or 0.3%, to $179.1 million in the third quarter of 2024 from $179.5 million in the third quarter of 2023. The shift in the retail calendar contributed $7.0 million to revenue for the thirteen weeks ended November 2, 2024. Comparable store sales, on a comparable weeks basis, increased 5.7%, resulting in an increase of $9.6 million in sales. Net store opening and closing activity resulted in a net decrease of $2.8 million in sales.</w:t>
      </w:r>
    </w:p>
    <w:p>
      <w:pPr>
        <w:spacing w:after="0" w:line="180" w:lineRule="exact"/>
        <w:rPr>
          <w:sz w:val="20"/>
          <w:szCs w:val="20"/>
          <w:color w:val="auto"/>
        </w:rPr>
      </w:pPr>
    </w:p>
    <w:p>
      <w:pPr>
        <w:ind w:right="120"/>
        <w:spacing w:after="0" w:line="280" w:lineRule="auto"/>
        <w:rPr>
          <w:sz w:val="20"/>
          <w:szCs w:val="20"/>
          <w:color w:val="auto"/>
        </w:rPr>
      </w:pPr>
      <w:r>
        <w:rPr>
          <w:rFonts w:ascii="Arial" w:cs="Arial" w:eastAsia="Arial" w:hAnsi="Arial"/>
          <w:sz w:val="15"/>
          <w:szCs w:val="15"/>
          <w:i w:val="1"/>
          <w:iCs w:val="1"/>
          <w:color w:val="auto"/>
        </w:rPr>
        <w:t xml:space="preserve">Cost of Sales (exclusive of depreciation). </w:t>
      </w:r>
      <w:r>
        <w:rPr>
          <w:rFonts w:ascii="Arial" w:cs="Arial" w:eastAsia="Arial" w:hAnsi="Arial"/>
          <w:sz w:val="15"/>
          <w:szCs w:val="15"/>
          <w:color w:val="auto"/>
        </w:rPr>
        <w:t>Cost of sales (exclusive of depreciation) decreased $3.1 million, or 2.7%, to $107.8 million in the third</w:t>
      </w:r>
      <w:r>
        <w:rPr>
          <w:rFonts w:ascii="Arial" w:cs="Arial" w:eastAsia="Arial" w:hAnsi="Arial"/>
          <w:sz w:val="15"/>
          <w:szCs w:val="15"/>
          <w:i w:val="1"/>
          <w:iCs w:val="1"/>
          <w:color w:val="auto"/>
        </w:rPr>
        <w:t xml:space="preserve"> </w:t>
      </w:r>
      <w:r>
        <w:rPr>
          <w:rFonts w:ascii="Arial" w:cs="Arial" w:eastAsia="Arial" w:hAnsi="Arial"/>
          <w:sz w:val="15"/>
          <w:szCs w:val="15"/>
          <w:color w:val="auto"/>
        </w:rPr>
        <w:t>quarter of 2024 from $110.9 million in the third quarter of 2023. Cost of sales as a percentage of sales decreased to 60.2% in the third quarter of 2024 from 61.8% in the third quarter of 2023. The 160 basis points decrease was driven by a 40 basis points decrease in shrink (driven by physical inventory results), and a decrease of 120 basis points in other cost of sales.</w:t>
      </w:r>
    </w:p>
    <w:p>
      <w:pPr>
        <w:spacing w:after="0" w:line="163" w:lineRule="exact"/>
        <w:rPr>
          <w:sz w:val="20"/>
          <w:szCs w:val="20"/>
          <w:color w:val="auto"/>
        </w:rPr>
      </w:pPr>
    </w:p>
    <w:p>
      <w:pPr>
        <w:ind w:right="20"/>
        <w:spacing w:after="0" w:line="275" w:lineRule="auto"/>
        <w:rPr>
          <w:sz w:val="20"/>
          <w:szCs w:val="20"/>
          <w:color w:val="auto"/>
        </w:rPr>
      </w:pPr>
      <w:r>
        <w:rPr>
          <w:rFonts w:ascii="Arial" w:cs="Arial" w:eastAsia="Arial" w:hAnsi="Arial"/>
          <w:sz w:val="15"/>
          <w:szCs w:val="15"/>
          <w:i w:val="1"/>
          <w:iCs w:val="1"/>
          <w:color w:val="auto"/>
        </w:rPr>
        <w:t xml:space="preserve">Selling, General and Administrative Expenses. </w:t>
      </w:r>
      <w:r>
        <w:rPr>
          <w:rFonts w:ascii="Arial" w:cs="Arial" w:eastAsia="Arial" w:hAnsi="Arial"/>
          <w:sz w:val="15"/>
          <w:szCs w:val="15"/>
          <w:color w:val="auto"/>
        </w:rPr>
        <w:t>Selling, general and administrative expenses increased $5.1 million, or 7.3%, to $74.7 million in the</w:t>
      </w:r>
      <w:r>
        <w:rPr>
          <w:rFonts w:ascii="Arial" w:cs="Arial" w:eastAsia="Arial" w:hAnsi="Arial"/>
          <w:sz w:val="15"/>
          <w:szCs w:val="15"/>
          <w:i w:val="1"/>
          <w:iCs w:val="1"/>
          <w:color w:val="auto"/>
        </w:rPr>
        <w:t xml:space="preserve"> </w:t>
      </w:r>
      <w:r>
        <w:rPr>
          <w:rFonts w:ascii="Arial" w:cs="Arial" w:eastAsia="Arial" w:hAnsi="Arial"/>
          <w:sz w:val="15"/>
          <w:szCs w:val="15"/>
          <w:color w:val="auto"/>
        </w:rPr>
        <w:t>third quarter of 2024 from $69.7 million in the third quarter of 2023. The increase was driven by corporate expense (primarily payroll and professional fees) of $2.2 million, including $1.6 million of one-time expenses for strategic initiatives, occupancy expense of $1.0 million, and third quarter 2023 gain on insurance of $2.0 million. As a percentage of sales, Selling, general and administrative expenses increased to 41.7% in the third quarter of 2024 from 38.8% in the third quarter of 2023, primarily driven by the aforementioned items.</w:t>
      </w:r>
    </w:p>
    <w:p>
      <w:pPr>
        <w:spacing w:after="0" w:line="180" w:lineRule="exact"/>
        <w:rPr>
          <w:sz w:val="20"/>
          <w:szCs w:val="20"/>
          <w:color w:val="auto"/>
        </w:rPr>
      </w:pPr>
    </w:p>
    <w:p>
      <w:pPr>
        <w:ind w:right="20"/>
        <w:spacing w:after="0" w:line="298" w:lineRule="auto"/>
        <w:rPr>
          <w:sz w:val="20"/>
          <w:szCs w:val="20"/>
          <w:color w:val="auto"/>
        </w:rPr>
      </w:pPr>
      <w:r>
        <w:rPr>
          <w:rFonts w:ascii="Arial" w:cs="Arial" w:eastAsia="Arial" w:hAnsi="Arial"/>
          <w:sz w:val="15"/>
          <w:szCs w:val="15"/>
          <w:i w:val="1"/>
          <w:iCs w:val="1"/>
          <w:color w:val="auto"/>
        </w:rPr>
        <w:t xml:space="preserve">Depreciation. </w:t>
      </w:r>
      <w:r>
        <w:rPr>
          <w:rFonts w:ascii="Arial" w:cs="Arial" w:eastAsia="Arial" w:hAnsi="Arial"/>
          <w:sz w:val="15"/>
          <w:szCs w:val="15"/>
          <w:color w:val="auto"/>
        </w:rPr>
        <w:t>Depreciation expense increased $0.1 million, or 0.1%, to $4.8 million in the third quarter of 2024 from $4.7 million in the third quarter of</w:t>
      </w:r>
      <w:r>
        <w:rPr>
          <w:rFonts w:ascii="Arial" w:cs="Arial" w:eastAsia="Arial" w:hAnsi="Arial"/>
          <w:sz w:val="15"/>
          <w:szCs w:val="15"/>
          <w:i w:val="1"/>
          <w:iCs w:val="1"/>
          <w:color w:val="auto"/>
        </w:rPr>
        <w:t xml:space="preserve"> </w:t>
      </w:r>
      <w:r>
        <w:rPr>
          <w:rFonts w:ascii="Arial" w:cs="Arial" w:eastAsia="Arial" w:hAnsi="Arial"/>
          <w:sz w:val="15"/>
          <w:szCs w:val="15"/>
          <w:color w:val="auto"/>
        </w:rPr>
        <w:t>2023.</w:t>
      </w:r>
    </w:p>
    <w:p>
      <w:pPr>
        <w:spacing w:after="0" w:line="162" w:lineRule="exact"/>
        <w:rPr>
          <w:sz w:val="20"/>
          <w:szCs w:val="20"/>
          <w:color w:val="auto"/>
        </w:rPr>
      </w:pPr>
    </w:p>
    <w:p>
      <w:pPr>
        <w:ind w:right="100"/>
        <w:spacing w:after="0" w:line="280" w:lineRule="auto"/>
        <w:rPr>
          <w:sz w:val="20"/>
          <w:szCs w:val="20"/>
          <w:color w:val="auto"/>
        </w:rPr>
      </w:pPr>
      <w:r>
        <w:rPr>
          <w:rFonts w:ascii="Arial" w:cs="Arial" w:eastAsia="Arial" w:hAnsi="Arial"/>
          <w:sz w:val="15"/>
          <w:szCs w:val="15"/>
          <w:i w:val="1"/>
          <w:iCs w:val="1"/>
          <w:color w:val="auto"/>
        </w:rPr>
        <w:t xml:space="preserve">Impairment. </w:t>
      </w:r>
      <w:r>
        <w:rPr>
          <w:rFonts w:ascii="Arial" w:cs="Arial" w:eastAsia="Arial" w:hAnsi="Arial"/>
          <w:sz w:val="15"/>
          <w:szCs w:val="15"/>
          <w:color w:val="auto"/>
        </w:rPr>
        <w:t>Non-cash impairment expense related to underperforming stores totaled $0.6 million in the third quarter of 2024, comprised of $0.3</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for leasehold improvements and fixtures and equipment, and $0.3 million for operating lease right of use assets. Non-cash impairment expense related to underperforming stores totaled $0.2 million in the third quarter of 2023 primarily due to leasehold improvements and fixtures and equipment.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328930</wp:posOffset>
            </wp:positionV>
            <wp:extent cx="6296025" cy="24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487" w:right="99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ind w:right="140"/>
        <w:spacing w:after="0" w:line="289" w:lineRule="auto"/>
        <w:rPr>
          <w:sz w:val="20"/>
          <w:szCs w:val="20"/>
          <w:color w:val="auto"/>
        </w:rPr>
      </w:pPr>
      <w:r>
        <w:rPr>
          <w:rFonts w:ascii="Arial" w:cs="Arial" w:eastAsia="Arial" w:hAnsi="Arial"/>
          <w:sz w:val="15"/>
          <w:szCs w:val="15"/>
          <w:i w:val="1"/>
          <w:iCs w:val="1"/>
          <w:color w:val="auto"/>
        </w:rPr>
        <w:t xml:space="preserve">Income Tax Benefit. </w:t>
      </w:r>
      <w:r>
        <w:rPr>
          <w:rFonts w:ascii="Arial" w:cs="Arial" w:eastAsia="Arial" w:hAnsi="Arial"/>
          <w:sz w:val="15"/>
          <w:szCs w:val="15"/>
          <w:color w:val="auto"/>
        </w:rPr>
        <w:t>Income tax benefit was $1.3 million in the third quarter of 2024 and in the third quarter of 2023. The effective tax rate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third quarter of 2024 and 2023 was 15.1% and 25.5%, respectively. The difference is attributable to fluctuations in permanent items during the third quarter of 2024.</w:t>
      </w:r>
    </w:p>
    <w:p>
      <w:pPr>
        <w:spacing w:after="0" w:line="156" w:lineRule="exact"/>
        <w:rPr>
          <w:sz w:val="20"/>
          <w:szCs w:val="20"/>
          <w:color w:val="auto"/>
        </w:rPr>
      </w:pPr>
    </w:p>
    <w:p>
      <w:pPr>
        <w:ind w:right="340"/>
        <w:spacing w:after="0" w:line="298" w:lineRule="auto"/>
        <w:rPr>
          <w:sz w:val="20"/>
          <w:szCs w:val="20"/>
          <w:color w:val="auto"/>
        </w:rPr>
      </w:pPr>
      <w:r>
        <w:rPr>
          <w:rFonts w:ascii="Arial" w:cs="Arial" w:eastAsia="Arial" w:hAnsi="Arial"/>
          <w:sz w:val="15"/>
          <w:szCs w:val="15"/>
          <w:i w:val="1"/>
          <w:iCs w:val="1"/>
          <w:color w:val="auto"/>
        </w:rPr>
        <w:t xml:space="preserve">Net Loss. </w:t>
      </w:r>
      <w:r>
        <w:rPr>
          <w:rFonts w:ascii="Arial" w:cs="Arial" w:eastAsia="Arial" w:hAnsi="Arial"/>
          <w:sz w:val="15"/>
          <w:szCs w:val="15"/>
          <w:color w:val="auto"/>
        </w:rPr>
        <w:t>Net loss was $7.2 million in the third quarter of 2024 compared to net loss of $3.9 million in the third quarter of 2023 due to the factors</w:t>
      </w:r>
      <w:r>
        <w:rPr>
          <w:rFonts w:ascii="Arial" w:cs="Arial" w:eastAsia="Arial" w:hAnsi="Arial"/>
          <w:sz w:val="15"/>
          <w:szCs w:val="15"/>
          <w:i w:val="1"/>
          <w:iCs w:val="1"/>
          <w:color w:val="auto"/>
        </w:rPr>
        <w:t xml:space="preserve"> </w:t>
      </w:r>
      <w:r>
        <w:rPr>
          <w:rFonts w:ascii="Arial" w:cs="Arial" w:eastAsia="Arial" w:hAnsi="Arial"/>
          <w:sz w:val="15"/>
          <w:szCs w:val="15"/>
          <w:color w:val="auto"/>
        </w:rPr>
        <w:t>discussed above.</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Thirty-Nine Weeks Ended November 2, 2024 and October 28, 2023</w:t>
      </w:r>
    </w:p>
    <w:p>
      <w:pPr>
        <w:spacing w:after="0" w:line="217" w:lineRule="exact"/>
        <w:rPr>
          <w:sz w:val="20"/>
          <w:szCs w:val="20"/>
          <w:color w:val="auto"/>
        </w:rPr>
      </w:pPr>
    </w:p>
    <w:p>
      <w:pPr>
        <w:ind w:right="60"/>
        <w:spacing w:after="0" w:line="275" w:lineRule="auto"/>
        <w:rPr>
          <w:sz w:val="20"/>
          <w:szCs w:val="20"/>
          <w:color w:val="auto"/>
        </w:rPr>
      </w:pPr>
      <w:r>
        <w:rPr>
          <w:rFonts w:ascii="Arial" w:cs="Arial" w:eastAsia="Arial" w:hAnsi="Arial"/>
          <w:sz w:val="15"/>
          <w:szCs w:val="15"/>
          <w:i w:val="1"/>
          <w:iCs w:val="1"/>
          <w:color w:val="auto"/>
        </w:rPr>
        <w:t xml:space="preserve">Net Sales. </w:t>
      </w:r>
      <w:r>
        <w:rPr>
          <w:rFonts w:ascii="Arial" w:cs="Arial" w:eastAsia="Arial" w:hAnsi="Arial"/>
          <w:sz w:val="15"/>
          <w:szCs w:val="15"/>
          <w:color w:val="auto"/>
        </w:rPr>
        <w:t>Sales comparisons for 2024 to the prior year are affected by the shift in the retail calendar caused by last year having 53 weeks. Net</w:t>
      </w:r>
      <w:r>
        <w:rPr>
          <w:rFonts w:ascii="Arial" w:cs="Arial" w:eastAsia="Arial" w:hAnsi="Arial"/>
          <w:sz w:val="15"/>
          <w:szCs w:val="15"/>
          <w:i w:val="1"/>
          <w:iCs w:val="1"/>
          <w:color w:val="auto"/>
        </w:rPr>
        <w:t xml:space="preserve"> </w:t>
      </w:r>
      <w:r>
        <w:rPr>
          <w:rFonts w:ascii="Arial" w:cs="Arial" w:eastAsia="Arial" w:hAnsi="Arial"/>
          <w:sz w:val="15"/>
          <w:szCs w:val="15"/>
          <w:color w:val="auto"/>
        </w:rPr>
        <w:t>sales increased $9.1 million, or 1.7%, to $541.9 million in the first thirty-nine weeks of 2024 from $532.8 million in the same period of 2023. The shift in the retail calendar contributed $3.1 million to revenue for the thirty-nine weeks ended November 2, 2024. Comparable store sales, on a comparable weeks basis, increased 2.3%, resulting in an increase of $3.2 million in sales. Net store opening and closing activity resulted in a net decrease of $6.2 million in sales.</w:t>
      </w:r>
    </w:p>
    <w:p>
      <w:pPr>
        <w:spacing w:after="0" w:line="180" w:lineRule="exact"/>
        <w:rPr>
          <w:sz w:val="20"/>
          <w:szCs w:val="20"/>
          <w:color w:val="auto"/>
        </w:rPr>
      </w:pPr>
    </w:p>
    <w:p>
      <w:pPr>
        <w:spacing w:after="0" w:line="275" w:lineRule="auto"/>
        <w:rPr>
          <w:sz w:val="20"/>
          <w:szCs w:val="20"/>
          <w:color w:val="auto"/>
        </w:rPr>
      </w:pPr>
      <w:r>
        <w:rPr>
          <w:rFonts w:ascii="Arial" w:cs="Arial" w:eastAsia="Arial" w:hAnsi="Arial"/>
          <w:sz w:val="15"/>
          <w:szCs w:val="15"/>
          <w:i w:val="1"/>
          <w:iCs w:val="1"/>
          <w:color w:val="auto"/>
        </w:rPr>
        <w:t xml:space="preserve">Cost of Sales (exclusive of depreciation). </w:t>
      </w:r>
      <w:r>
        <w:rPr>
          <w:rFonts w:ascii="Arial" w:cs="Arial" w:eastAsia="Arial" w:hAnsi="Arial"/>
          <w:sz w:val="15"/>
          <w:szCs w:val="15"/>
          <w:color w:val="auto"/>
        </w:rPr>
        <w:t>Cost of sales (exclusive of depreciation) increased $11.9 million, or 3.6%, to $343.7 million in the first thirty-nine weeks of 2024 from $331.8 million in the same period of 2023. Cost of sales as a percentage of sales increased to 63.4% in the first thirty-nine weeks of 2024 from 62.3% in the same period of 2023. The 110 basis points increase was driven by an increase of 120 basis points of markdowns and a 100 basis points increase in shrink, partially offset by a decrease of 50 basis points of freight and a decrease of 60 basis points in other cost of sales.</w:t>
      </w:r>
    </w:p>
    <w:p>
      <w:pPr>
        <w:spacing w:after="0" w:line="180" w:lineRule="exact"/>
        <w:rPr>
          <w:sz w:val="20"/>
          <w:szCs w:val="20"/>
          <w:color w:val="auto"/>
        </w:rPr>
      </w:pPr>
    </w:p>
    <w:p>
      <w:pPr>
        <w:spacing w:after="0" w:line="273" w:lineRule="auto"/>
        <w:rPr>
          <w:sz w:val="20"/>
          <w:szCs w:val="20"/>
          <w:color w:val="auto"/>
        </w:rPr>
      </w:pPr>
      <w:r>
        <w:rPr>
          <w:rFonts w:ascii="Arial" w:cs="Arial" w:eastAsia="Arial" w:hAnsi="Arial"/>
          <w:sz w:val="15"/>
          <w:szCs w:val="15"/>
          <w:i w:val="1"/>
          <w:iCs w:val="1"/>
          <w:color w:val="auto"/>
        </w:rPr>
        <w:t xml:space="preserve">Selling, General and Administrative Expenses. </w:t>
      </w:r>
      <w:r>
        <w:rPr>
          <w:rFonts w:ascii="Arial" w:cs="Arial" w:eastAsia="Arial" w:hAnsi="Arial"/>
          <w:sz w:val="15"/>
          <w:szCs w:val="15"/>
          <w:color w:val="auto"/>
        </w:rPr>
        <w:t>Selling, general and administrative expenses increased $12.7 million, or 6.1%, to $222.7 million in the</w:t>
      </w:r>
      <w:r>
        <w:rPr>
          <w:rFonts w:ascii="Arial" w:cs="Arial" w:eastAsia="Arial" w:hAnsi="Arial"/>
          <w:sz w:val="15"/>
          <w:szCs w:val="15"/>
          <w:i w:val="1"/>
          <w:iCs w:val="1"/>
          <w:color w:val="auto"/>
        </w:rPr>
        <w:t xml:space="preserve"> </w:t>
      </w:r>
      <w:r>
        <w:rPr>
          <w:rFonts w:ascii="Arial" w:cs="Arial" w:eastAsia="Arial" w:hAnsi="Arial"/>
          <w:sz w:val="15"/>
          <w:szCs w:val="15"/>
          <w:color w:val="auto"/>
        </w:rPr>
        <w:t>first thirty-nine weeks of 2024 from $210.0 million in the same period of 2023. The increase was primarily driven by one-time CEO transition related expenses of $3.2 million, corporate expenses (primarily payroll, insurance and professional fees) of $6.5 million, stores selling and advertising expense of $4.7 million, and distribution center costs of $0.3 million, partially offset by lower incentive compensation expense of $2.0 million. As a percentage of sales, Selling, general and administrative expenses increased to 41.1% in the first thirty-nine weeks of 2024 from 39.4% in the first thirty-nine weeks of 2023, due to the aforementioned items.</w:t>
      </w:r>
    </w:p>
    <w:p>
      <w:pPr>
        <w:spacing w:after="0" w:line="180" w:lineRule="exact"/>
        <w:rPr>
          <w:sz w:val="20"/>
          <w:szCs w:val="20"/>
          <w:color w:val="auto"/>
        </w:rPr>
      </w:pPr>
    </w:p>
    <w:p>
      <w:pPr>
        <w:ind w:right="280"/>
        <w:spacing w:after="0" w:line="298" w:lineRule="auto"/>
        <w:rPr>
          <w:sz w:val="20"/>
          <w:szCs w:val="20"/>
          <w:color w:val="auto"/>
        </w:rPr>
      </w:pPr>
      <w:r>
        <w:rPr>
          <w:rFonts w:ascii="Arial" w:cs="Arial" w:eastAsia="Arial" w:hAnsi="Arial"/>
          <w:sz w:val="15"/>
          <w:szCs w:val="15"/>
          <w:i w:val="1"/>
          <w:iCs w:val="1"/>
          <w:color w:val="auto"/>
        </w:rPr>
        <w:t xml:space="preserve">Depreciation. </w:t>
      </w:r>
      <w:r>
        <w:rPr>
          <w:rFonts w:ascii="Arial" w:cs="Arial" w:eastAsia="Arial" w:hAnsi="Arial"/>
          <w:sz w:val="15"/>
          <w:szCs w:val="15"/>
          <w:color w:val="auto"/>
        </w:rPr>
        <w:t>Depreciation expense increased $0.2 million, or 1.4%, to $14.3 million in the first thirty-nine weeks of 2024 from $14.1 million in the</w:t>
      </w:r>
      <w:r>
        <w:rPr>
          <w:rFonts w:ascii="Arial" w:cs="Arial" w:eastAsia="Arial" w:hAnsi="Arial"/>
          <w:sz w:val="15"/>
          <w:szCs w:val="15"/>
          <w:i w:val="1"/>
          <w:iCs w:val="1"/>
          <w:color w:val="auto"/>
        </w:rPr>
        <w:t xml:space="preserve"> </w:t>
      </w:r>
      <w:r>
        <w:rPr>
          <w:rFonts w:ascii="Arial" w:cs="Arial" w:eastAsia="Arial" w:hAnsi="Arial"/>
          <w:sz w:val="15"/>
          <w:szCs w:val="15"/>
          <w:color w:val="auto"/>
        </w:rPr>
        <w:t>same period last year.</w:t>
      </w:r>
    </w:p>
    <w:p>
      <w:pPr>
        <w:spacing w:after="0" w:line="150" w:lineRule="exact"/>
        <w:rPr>
          <w:sz w:val="20"/>
          <w:szCs w:val="20"/>
          <w:color w:val="auto"/>
        </w:rPr>
      </w:pPr>
    </w:p>
    <w:p>
      <w:pPr>
        <w:jc w:val="both"/>
        <w:ind w:right="100"/>
        <w:spacing w:after="0" w:line="285" w:lineRule="auto"/>
        <w:rPr>
          <w:sz w:val="20"/>
          <w:szCs w:val="20"/>
          <w:color w:val="auto"/>
        </w:rPr>
      </w:pPr>
      <w:r>
        <w:rPr>
          <w:rFonts w:ascii="Arial" w:cs="Arial" w:eastAsia="Arial" w:hAnsi="Arial"/>
          <w:sz w:val="15"/>
          <w:szCs w:val="15"/>
          <w:i w:val="1"/>
          <w:iCs w:val="1"/>
          <w:color w:val="auto"/>
        </w:rPr>
        <w:t xml:space="preserve">Impairment. </w:t>
      </w:r>
      <w:r>
        <w:rPr>
          <w:rFonts w:ascii="Arial" w:cs="Arial" w:eastAsia="Arial" w:hAnsi="Arial"/>
          <w:sz w:val="15"/>
          <w:szCs w:val="15"/>
          <w:color w:val="auto"/>
        </w:rPr>
        <w:t>Non-cash impairment expense related to underperforming stores totaled $1.8 million in the first thirty-nine weeks of 2024, comprised of</w:t>
      </w:r>
      <w:r>
        <w:rPr>
          <w:rFonts w:ascii="Arial" w:cs="Arial" w:eastAsia="Arial" w:hAnsi="Arial"/>
          <w:sz w:val="15"/>
          <w:szCs w:val="15"/>
          <w:i w:val="1"/>
          <w:iCs w:val="1"/>
          <w:color w:val="auto"/>
        </w:rPr>
        <w:t xml:space="preserve"> </w:t>
      </w:r>
      <w:r>
        <w:rPr>
          <w:rFonts w:ascii="Arial" w:cs="Arial" w:eastAsia="Arial" w:hAnsi="Arial"/>
          <w:sz w:val="15"/>
          <w:szCs w:val="15"/>
          <w:color w:val="auto"/>
        </w:rPr>
        <w:t>$0.9 million for leasehold improvements and fixtures and equipment, and $0.9 million for operating lease right of use assets. Non-cash impairment expense related to underperforming stores totaled $0.2 million in the first thirty-nine weeks of 2023, comprised primarily of leasehold improvements and fixtures and equipment.</w:t>
      </w:r>
    </w:p>
    <w:p>
      <w:pPr>
        <w:spacing w:after="0" w:line="161" w:lineRule="exact"/>
        <w:rPr>
          <w:sz w:val="20"/>
          <w:szCs w:val="20"/>
          <w:color w:val="auto"/>
        </w:rPr>
      </w:pPr>
    </w:p>
    <w:p>
      <w:pPr>
        <w:ind w:right="160"/>
        <w:spacing w:after="0" w:line="298" w:lineRule="auto"/>
        <w:rPr>
          <w:sz w:val="20"/>
          <w:szCs w:val="20"/>
          <w:color w:val="auto"/>
        </w:rPr>
      </w:pPr>
      <w:r>
        <w:rPr>
          <w:rFonts w:ascii="Arial" w:cs="Arial" w:eastAsia="Arial" w:hAnsi="Arial"/>
          <w:sz w:val="15"/>
          <w:szCs w:val="15"/>
          <w:i w:val="1"/>
          <w:iCs w:val="1"/>
          <w:color w:val="auto"/>
        </w:rPr>
        <w:t xml:space="preserve">Income Tax Benefit. </w:t>
      </w:r>
      <w:r>
        <w:rPr>
          <w:rFonts w:ascii="Arial" w:cs="Arial" w:eastAsia="Arial" w:hAnsi="Arial"/>
          <w:sz w:val="15"/>
          <w:szCs w:val="15"/>
          <w:color w:val="auto"/>
        </w:rPr>
        <w:t>Income tax benefit was $10.0 million in the first thirty-nine weeks of 2024 compared to $5.3 million in the first thirty-nine weeks</w:t>
      </w:r>
      <w:r>
        <w:rPr>
          <w:rFonts w:ascii="Arial" w:cs="Arial" w:eastAsia="Arial" w:hAnsi="Arial"/>
          <w:sz w:val="15"/>
          <w:szCs w:val="15"/>
          <w:i w:val="1"/>
          <w:iCs w:val="1"/>
          <w:color w:val="auto"/>
        </w:rPr>
        <w:t xml:space="preserve"> </w:t>
      </w:r>
      <w:r>
        <w:rPr>
          <w:rFonts w:ascii="Arial" w:cs="Arial" w:eastAsia="Arial" w:hAnsi="Arial"/>
          <w:sz w:val="15"/>
          <w:szCs w:val="15"/>
          <w:color w:val="auto"/>
        </w:rPr>
        <w:t>of 2023. The effective tax rate for the thirty-nine weeks of 2024 and 2023 was 25.6% and 25.4%, respectively.</w:t>
      </w:r>
    </w:p>
    <w:p>
      <w:pPr>
        <w:spacing w:after="0" w:line="162" w:lineRule="exact"/>
        <w:rPr>
          <w:sz w:val="20"/>
          <w:szCs w:val="20"/>
          <w:color w:val="auto"/>
        </w:rPr>
      </w:pPr>
    </w:p>
    <w:p>
      <w:pPr>
        <w:ind w:right="120"/>
        <w:spacing w:after="0" w:line="298" w:lineRule="auto"/>
        <w:rPr>
          <w:sz w:val="20"/>
          <w:szCs w:val="20"/>
          <w:color w:val="auto"/>
        </w:rPr>
      </w:pPr>
      <w:r>
        <w:rPr>
          <w:rFonts w:ascii="Arial" w:cs="Arial" w:eastAsia="Arial" w:hAnsi="Arial"/>
          <w:sz w:val="15"/>
          <w:szCs w:val="15"/>
          <w:i w:val="1"/>
          <w:iCs w:val="1"/>
          <w:color w:val="auto"/>
        </w:rPr>
        <w:t xml:space="preserve">Net (Loss) Income. </w:t>
      </w:r>
      <w:r>
        <w:rPr>
          <w:rFonts w:ascii="Arial" w:cs="Arial" w:eastAsia="Arial" w:hAnsi="Arial"/>
          <w:sz w:val="15"/>
          <w:szCs w:val="15"/>
          <w:color w:val="auto"/>
        </w:rPr>
        <w:t>Net loss was $29.0 million in the first thirty-nine weeks of 2024 compared to net loss of $15.5 million in the same period of 2023</w:t>
      </w:r>
      <w:r>
        <w:rPr>
          <w:rFonts w:ascii="Arial" w:cs="Arial" w:eastAsia="Arial" w:hAnsi="Arial"/>
          <w:sz w:val="15"/>
          <w:szCs w:val="15"/>
          <w:i w:val="1"/>
          <w:iCs w:val="1"/>
          <w:color w:val="auto"/>
        </w:rPr>
        <w:t xml:space="preserve"> </w:t>
      </w:r>
      <w:r>
        <w:rPr>
          <w:rFonts w:ascii="Arial" w:cs="Arial" w:eastAsia="Arial" w:hAnsi="Arial"/>
          <w:sz w:val="15"/>
          <w:szCs w:val="15"/>
          <w:color w:val="auto"/>
        </w:rPr>
        <w:t>due to the factors discussed above.</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Capital Allocation</w:t>
      </w:r>
    </w:p>
    <w:p>
      <w:pPr>
        <w:spacing w:after="0" w:line="129" w:lineRule="exact"/>
        <w:rPr>
          <w:sz w:val="20"/>
          <w:szCs w:val="20"/>
          <w:color w:val="auto"/>
        </w:rPr>
      </w:pPr>
    </w:p>
    <w:p>
      <w:pPr>
        <w:ind w:right="100"/>
        <w:spacing w:after="0" w:line="280" w:lineRule="auto"/>
        <w:rPr>
          <w:sz w:val="20"/>
          <w:szCs w:val="20"/>
          <w:color w:val="auto"/>
        </w:rPr>
      </w:pPr>
      <w:r>
        <w:rPr>
          <w:rFonts w:ascii="Arial" w:cs="Arial" w:eastAsia="Arial" w:hAnsi="Arial"/>
          <w:sz w:val="15"/>
          <w:szCs w:val="15"/>
          <w:color w:val="auto"/>
        </w:rPr>
        <w:t>Our capital allocation strategy is to maintain adequate liquidity to prioritize investments in opportunities to profitably grow our business and maintain current operations, then to return excess cash to shareholders through our repurchase programs. Our quarter-end cash and cash equivalents balance was $38.9 million compared to cash and cash equivalents of $59.7 million at the end of the third quarter last year. Until required for other purposes, we maintain cash and cash equivalents in deposit or money market accounts.</w:t>
      </w:r>
    </w:p>
    <w:p>
      <w:pPr>
        <w:spacing w:after="0" w:line="175" w:lineRule="exact"/>
        <w:rPr>
          <w:sz w:val="20"/>
          <w:szCs w:val="20"/>
          <w:color w:val="auto"/>
        </w:rPr>
      </w:pPr>
    </w:p>
    <w:p>
      <w:pPr>
        <w:ind w:right="100"/>
        <w:spacing w:after="0" w:line="280" w:lineRule="auto"/>
        <w:rPr>
          <w:sz w:val="20"/>
          <w:szCs w:val="20"/>
          <w:color w:val="auto"/>
        </w:rPr>
      </w:pPr>
      <w:r>
        <w:rPr>
          <w:rFonts w:ascii="Arial" w:cs="Arial" w:eastAsia="Arial" w:hAnsi="Arial"/>
          <w:sz w:val="15"/>
          <w:szCs w:val="15"/>
          <w:color w:val="auto"/>
        </w:rPr>
        <w:t>Our principal sources of liquidity consist of: (i) cash and cash equivalents on hand; (ii) short-term trade credit arising from customary payment terms and trade practices with our vendors; (iii) cash generated from operations on an ongoing basis; and (iv) a revolving credit facility with a $75 million credit commitment.</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Inventory</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auto"/>
        </w:rPr>
        <w:t>Our quarter-end inventory balance was $127.5 million, down 1.7% compared to $129.7 million at the end of the third quarter last year.</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328930</wp:posOffset>
            </wp:positionV>
            <wp:extent cx="6296025" cy="24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487" w:right="99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Capital Expenditures</w:t>
      </w:r>
    </w:p>
    <w:p>
      <w:pPr>
        <w:spacing w:after="0" w:line="129"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Capital expenditures in the first thirty-nine weeks of 2024 were $7.6 million, a decrease of $4.0 million over the first thirty-nine weeks of 2023, as we pared back our investments in new stores and remodels. We anticipate capital expenditures in fiscal 2024 to be in the range of $14 million to $18 million, primarily for the opening of one new store and remodeling existing stores, combined with ongoing investments in our systems.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 Repurchases</w:t>
      </w:r>
    </w:p>
    <w:p>
      <w:pPr>
        <w:spacing w:after="0" w:line="217" w:lineRule="exact"/>
        <w:rPr>
          <w:sz w:val="20"/>
          <w:szCs w:val="20"/>
          <w:color w:val="auto"/>
        </w:rPr>
      </w:pPr>
    </w:p>
    <w:p>
      <w:pPr>
        <w:ind w:right="40"/>
        <w:spacing w:after="0" w:line="298" w:lineRule="auto"/>
        <w:rPr>
          <w:sz w:val="20"/>
          <w:szCs w:val="20"/>
          <w:color w:val="auto"/>
        </w:rPr>
      </w:pPr>
      <w:r>
        <w:rPr>
          <w:rFonts w:ascii="Arial" w:cs="Arial" w:eastAsia="Arial" w:hAnsi="Arial"/>
          <w:sz w:val="15"/>
          <w:szCs w:val="15"/>
          <w:color w:val="auto"/>
        </w:rPr>
        <w:t>We did not repurchase any shares of our common stock in the first thirty-nine weeks of fiscal 2024 or fiscal 2023. See Part II of this Report and Note 8 to the Financial Statements for more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Revolving Credit Facility</w:t>
      </w:r>
    </w:p>
    <w:p>
      <w:pPr>
        <w:spacing w:after="0" w:line="217" w:lineRule="exact"/>
        <w:rPr>
          <w:sz w:val="20"/>
          <w:szCs w:val="20"/>
          <w:color w:val="auto"/>
        </w:rPr>
      </w:pPr>
    </w:p>
    <w:p>
      <w:pPr>
        <w:ind w:right="180"/>
        <w:spacing w:after="0" w:line="289" w:lineRule="auto"/>
        <w:rPr>
          <w:sz w:val="20"/>
          <w:szCs w:val="20"/>
          <w:color w:val="auto"/>
        </w:rPr>
      </w:pPr>
      <w:r>
        <w:rPr>
          <w:rFonts w:ascii="Arial" w:cs="Arial" w:eastAsia="Arial" w:hAnsi="Arial"/>
          <w:sz w:val="15"/>
          <w:szCs w:val="15"/>
          <w:color w:val="auto"/>
        </w:rPr>
        <w:t>We have a revolving credit facility that matures in April 2026 and provides a $75 million credit commitment and a $25 million uncommitted “accordion” feature. Additional details of the credit facility are in Note 4 to the Financial Statements. At the end of the third quarter of 2024, we had no borrowings under the credit facility and $1.4 million in letters of credit outstanding.</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Flows</w:t>
      </w:r>
    </w:p>
    <w:p>
      <w:pPr>
        <w:spacing w:after="0" w:line="217"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i w:val="1"/>
          <w:iCs w:val="1"/>
          <w:color w:val="auto"/>
        </w:rPr>
        <w:t>Cash Flows From Operating Activities</w:t>
      </w:r>
      <w:r>
        <w:rPr>
          <w:rFonts w:ascii="Arial" w:cs="Arial" w:eastAsia="Arial" w:hAnsi="Arial"/>
          <w:sz w:val="15"/>
          <w:szCs w:val="15"/>
          <w:color w:val="auto"/>
        </w:rPr>
        <w:t>. Net cash used in operating activities was $32.3 million in the first thirty-nine weeks of 2024 compared to</w:t>
      </w:r>
      <w:r>
        <w:rPr>
          <w:rFonts w:ascii="Arial" w:cs="Arial" w:eastAsia="Arial" w:hAnsi="Arial"/>
          <w:sz w:val="15"/>
          <w:szCs w:val="15"/>
          <w:i w:val="1"/>
          <w:iCs w:val="1"/>
          <w:color w:val="auto"/>
        </w:rPr>
        <w:t xml:space="preserve"> </w:t>
      </w:r>
      <w:r>
        <w:rPr>
          <w:rFonts w:ascii="Arial" w:cs="Arial" w:eastAsia="Arial" w:hAnsi="Arial"/>
          <w:sz w:val="15"/>
          <w:szCs w:val="15"/>
          <w:color w:val="auto"/>
        </w:rPr>
        <w:t>$32.9 million in the same period of 2023. Sources of cash for the first thirty-nine weeks of 2024 included (1) net loss adjusted for non-cash items totaling $16.1 million (compared to net loss adjusted for non-cash items of $36.0 million in the first thirty-nine weeks of 2023); (2) a decrease in inventory of $2.9 million in the first thirty-nine weeks of 2024 (compared to an increase of $23.9 million in the first thirty-nine weeks of 2023); (3) a decrease in accrued compensation of $2.9 million (compared to an increase of $1.8 million in the first thirty-nine weeks of 2023); and (4) an increase in layaway deposits of $1.2 million in the first thirty-nine weeks of 2024 (compared to an increase of $0.9 million in the same period last year).</w:t>
      </w:r>
    </w:p>
    <w:p>
      <w:pPr>
        <w:spacing w:after="0" w:line="180"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Significant uses of cash from operating activities in the first thirty-nine weeks of 2024 included (1) a $35.9 million decrease in accrued expenses and other long-term liabilities (compared to a $45.5 million decrease in the first thirty-nine weeks of 2023) due primarily to payments of operating lease liabilities; (2) a $17.9 million decrease in accounts payable (compared to a $2.3 million decrease in the first thirty-nine weeks of 2023); and (3) a $2.3 million increase in prepaid and other current assets (compared to a $1.7 million dollar decrease in the same period last year).</w:t>
      </w:r>
    </w:p>
    <w:p>
      <w:pPr>
        <w:spacing w:after="0" w:line="163" w:lineRule="exact"/>
        <w:rPr>
          <w:sz w:val="20"/>
          <w:szCs w:val="20"/>
          <w:color w:val="auto"/>
        </w:rPr>
      </w:pPr>
    </w:p>
    <w:p>
      <w:pPr>
        <w:spacing w:after="0" w:line="289" w:lineRule="auto"/>
        <w:rPr>
          <w:sz w:val="20"/>
          <w:szCs w:val="20"/>
          <w:color w:val="auto"/>
        </w:rPr>
      </w:pPr>
      <w:r>
        <w:rPr>
          <w:rFonts w:ascii="Arial" w:cs="Arial" w:eastAsia="Arial" w:hAnsi="Arial"/>
          <w:sz w:val="15"/>
          <w:szCs w:val="15"/>
          <w:i w:val="1"/>
          <w:iCs w:val="1"/>
          <w:color w:val="auto"/>
        </w:rPr>
        <w:t xml:space="preserve">Cash Flows From Investing Activities. </w:t>
      </w:r>
      <w:r>
        <w:rPr>
          <w:rFonts w:ascii="Arial" w:cs="Arial" w:eastAsia="Arial" w:hAnsi="Arial"/>
          <w:sz w:val="15"/>
          <w:szCs w:val="15"/>
          <w:color w:val="auto"/>
        </w:rPr>
        <w:t>Cash used in investing activities was $7.6 million in the first thirty-nine weeks of 2024 compared to cash used</w:t>
      </w:r>
      <w:r>
        <w:rPr>
          <w:rFonts w:ascii="Arial" w:cs="Arial" w:eastAsia="Arial" w:hAnsi="Arial"/>
          <w:sz w:val="15"/>
          <w:szCs w:val="15"/>
          <w:i w:val="1"/>
          <w:iCs w:val="1"/>
          <w:color w:val="auto"/>
        </w:rPr>
        <w:t xml:space="preserve"> </w:t>
      </w:r>
      <w:r>
        <w:rPr>
          <w:rFonts w:ascii="Arial" w:cs="Arial" w:eastAsia="Arial" w:hAnsi="Arial"/>
          <w:sz w:val="15"/>
          <w:szCs w:val="15"/>
          <w:color w:val="auto"/>
        </w:rPr>
        <w:t>of $10.1 million in the same period last year. Cash used in the first thirty-nine weeks of fiscal 2024 and fiscal 2023 consisted of purchases of property and equipment.</w:t>
      </w:r>
    </w:p>
    <w:p>
      <w:pPr>
        <w:spacing w:after="0" w:line="156"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i w:val="1"/>
          <w:iCs w:val="1"/>
          <w:color w:val="auto"/>
        </w:rPr>
        <w:t xml:space="preserve">Cash Flows From Financing Activities. </w:t>
      </w:r>
      <w:r>
        <w:rPr>
          <w:rFonts w:ascii="Arial" w:cs="Arial" w:eastAsia="Arial" w:hAnsi="Arial"/>
          <w:sz w:val="15"/>
          <w:szCs w:val="15"/>
          <w:color w:val="auto"/>
        </w:rPr>
        <w:t>Cash used in financing activities was $0.9 million in the first thirty-nine weeks of 2024 compared to $0.9</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in the same period last year. Cash used in the first thirty-nine weeks of fiscal 2024 and fiscal 2023 consisted of payments to settle withholding taxes on restricted stock that vested.</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Requirements and Commitments</w:t>
      </w:r>
    </w:p>
    <w:p>
      <w:pPr>
        <w:spacing w:after="0" w:line="230" w:lineRule="exact"/>
        <w:rPr>
          <w:sz w:val="20"/>
          <w:szCs w:val="20"/>
          <w:color w:val="auto"/>
        </w:rPr>
      </w:pPr>
    </w:p>
    <w:p>
      <w:pPr>
        <w:ind w:right="20"/>
        <w:spacing w:after="0" w:line="275" w:lineRule="auto"/>
        <w:rPr>
          <w:sz w:val="20"/>
          <w:szCs w:val="20"/>
          <w:color w:val="auto"/>
        </w:rPr>
      </w:pPr>
      <w:r>
        <w:rPr>
          <w:rFonts w:ascii="Arial" w:cs="Arial" w:eastAsia="Arial" w:hAnsi="Arial"/>
          <w:sz w:val="15"/>
          <w:szCs w:val="15"/>
          <w:color w:val="auto"/>
        </w:rPr>
        <w:t>Our principal cash requirements consist of (1) inventory purchases; (2) capital expenditures to invest in our infrastructure; and (3) operational needs, including salaries, occupancy costs, taxes and other operating costs. We may also use cash to fund any share repurchases, make any required debt payments and satisfy other contractual obligations. Historically, we have met these cash requirements using cash flow from operations and short-term trade credit. As of November 2, 2024, our contractual commitments for operating leases totaled $225.2 million (with $49.4 million due within 12 months). See Note 10 to the Financial Statements for more information regarding lease commitments.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w:t>
      </w:r>
    </w:p>
    <w:p>
      <w:pPr>
        <w:spacing w:after="0" w:line="230" w:lineRule="exact"/>
        <w:rPr>
          <w:sz w:val="20"/>
          <w:szCs w:val="20"/>
          <w:color w:val="auto"/>
        </w:rPr>
      </w:pPr>
    </w:p>
    <w:p>
      <w:pPr>
        <w:ind w:right="40"/>
        <w:spacing w:after="0" w:line="280" w:lineRule="auto"/>
        <w:rPr>
          <w:sz w:val="20"/>
          <w:szCs w:val="20"/>
          <w:color w:val="auto"/>
        </w:rPr>
      </w:pPr>
      <w:r>
        <w:rPr>
          <w:rFonts w:ascii="Arial" w:cs="Arial" w:eastAsia="Arial" w:hAnsi="Arial"/>
          <w:sz w:val="15"/>
          <w:szCs w:val="15"/>
          <w:color w:val="auto"/>
        </w:rPr>
        <w:t>The preparation of our condensed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328930</wp:posOffset>
            </wp:positionV>
            <wp:extent cx="6296025" cy="24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00"/>
          </w:cols>
          <w:pgMar w:left="980" w:top="487" w:right="101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ind w:right="440"/>
        <w:spacing w:after="0" w:line="298" w:lineRule="auto"/>
        <w:rPr>
          <w:sz w:val="20"/>
          <w:szCs w:val="20"/>
          <w:color w:val="auto"/>
        </w:rPr>
      </w:pPr>
      <w:r>
        <w:rPr>
          <w:rFonts w:ascii="Arial" w:cs="Arial" w:eastAsia="Arial" w:hAnsi="Arial"/>
          <w:sz w:val="15"/>
          <w:szCs w:val="15"/>
          <w:color w:val="auto"/>
        </w:rPr>
        <w:t>There have been no material changes to the Critical Accounting Policies outlined in our Annual Report on Form 10-K for the fiscal year ended February 3, 2024.</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Quantitative and Qualitative Disclosures About Market Risk.</w:t>
      </w:r>
    </w:p>
    <w:p>
      <w:pPr>
        <w:spacing w:after="0" w:line="217" w:lineRule="exact"/>
        <w:rPr>
          <w:sz w:val="20"/>
          <w:szCs w:val="20"/>
          <w:color w:val="auto"/>
        </w:rPr>
      </w:pPr>
    </w:p>
    <w:p>
      <w:pPr>
        <w:ind w:right="400"/>
        <w:spacing w:after="0" w:line="320" w:lineRule="auto"/>
        <w:rPr>
          <w:sz w:val="20"/>
          <w:szCs w:val="20"/>
          <w:color w:val="auto"/>
        </w:rPr>
      </w:pPr>
      <w:r>
        <w:rPr>
          <w:rFonts w:ascii="Arial" w:cs="Arial" w:eastAsia="Arial" w:hAnsi="Arial"/>
          <w:sz w:val="15"/>
          <w:szCs w:val="15"/>
          <w:color w:val="auto"/>
        </w:rPr>
        <w:t>There have been no material changes in our market risk during the thirty-nine weeks ended November 2, 2024 compared to the disclosures in Part II, Item 7A of our Annual Report on Form 10-K for the fiscal year ended February 3, 2024</w:t>
      </w:r>
      <w:r>
        <w:rPr>
          <w:rFonts w:ascii="Arial" w:cs="Arial" w:eastAsia="Arial" w:hAnsi="Arial"/>
          <w:sz w:val="16"/>
          <w:szCs w:val="16"/>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Controls and Procedures.</w:t>
      </w:r>
    </w:p>
    <w:p>
      <w:pPr>
        <w:spacing w:after="0" w:line="217"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We have carried out an evaluation under the supervision and with the participation of management, including the principal executive officer and the principal financial officer, of the effectiveness of the design and operation of our disclosure controls and procedures as of November 2, 2024 pursuant to Rules 13a-15 and 15d-15 of the Exchange Act. Based on that evaluation, the principal executive officer and the principal financial officer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spacing w:after="0" w:line="167" w:lineRule="exact"/>
        <w:rPr>
          <w:sz w:val="20"/>
          <w:szCs w:val="20"/>
          <w:color w:val="auto"/>
        </w:rPr>
      </w:pPr>
    </w:p>
    <w:p>
      <w:pPr>
        <w:jc w:val="both"/>
        <w:ind w:right="160"/>
        <w:spacing w:after="0" w:line="289" w:lineRule="auto"/>
        <w:rPr>
          <w:sz w:val="20"/>
          <w:szCs w:val="20"/>
          <w:color w:val="auto"/>
        </w:rPr>
      </w:pPr>
      <w:r>
        <w:rPr>
          <w:rFonts w:ascii="Arial" w:cs="Arial" w:eastAsia="Arial" w:hAnsi="Arial"/>
          <w:sz w:val="15"/>
          <w:szCs w:val="15"/>
          <w:color w:val="auto"/>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spacing w:after="0" w:line="156" w:lineRule="exact"/>
        <w:rPr>
          <w:sz w:val="20"/>
          <w:szCs w:val="20"/>
          <w:color w:val="auto"/>
        </w:rPr>
      </w:pPr>
    </w:p>
    <w:p>
      <w:pPr>
        <w:ind w:right="320"/>
        <w:spacing w:after="0" w:line="315" w:lineRule="auto"/>
        <w:rPr>
          <w:sz w:val="20"/>
          <w:szCs w:val="20"/>
          <w:color w:val="auto"/>
        </w:rPr>
      </w:pPr>
      <w:r>
        <w:rPr>
          <w:rFonts w:ascii="Arial" w:cs="Arial" w:eastAsia="Arial" w:hAnsi="Arial"/>
          <w:sz w:val="15"/>
          <w:szCs w:val="15"/>
          <w:color w:val="auto"/>
        </w:rPr>
        <w:t>There were no changes in our internal control over financial reporting that occurred during the fiscal quarter ended November 2,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328930</wp:posOffset>
            </wp:positionV>
            <wp:extent cx="6296025" cy="24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860"/>
          </w:cols>
          <w:pgMar w:left="980" w:top="487" w:right="105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II — OTHER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Legal Proceedings.</w:t>
      </w:r>
    </w:p>
    <w:p>
      <w:pPr>
        <w:spacing w:after="0" w:line="230"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We are from time to time involved in various legal proceedings incidental to the conduct of our business, including claims by customers, landlords,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financial condition, results of operations or liquidity.</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1A. Risk Factors.</w:t>
      </w:r>
    </w:p>
    <w:p>
      <w:pPr>
        <w:spacing w:after="0" w:line="230" w:lineRule="exact"/>
        <w:rPr>
          <w:sz w:val="20"/>
          <w:szCs w:val="20"/>
          <w:color w:val="auto"/>
        </w:rPr>
      </w:pPr>
    </w:p>
    <w:p>
      <w:pPr>
        <w:ind w:right="620"/>
        <w:spacing w:after="0" w:line="298" w:lineRule="auto"/>
        <w:rPr>
          <w:sz w:val="20"/>
          <w:szCs w:val="20"/>
          <w:color w:val="auto"/>
        </w:rPr>
      </w:pPr>
      <w:r>
        <w:rPr>
          <w:rFonts w:ascii="Arial" w:cs="Arial" w:eastAsia="Arial" w:hAnsi="Arial"/>
          <w:sz w:val="15"/>
          <w:szCs w:val="15"/>
          <w:color w:val="auto"/>
        </w:rPr>
        <w:t>There have been no material changes to the Risk Factors described under the section “ITEM 1A. RISK FACTORS” in our Annual Report on Form 10-K for the fiscal year ended February 3, 2024.</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Unregistered Sales of Equity Securities, and Use of Proceeds.</w:t>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Information on Share Repurchases</w:t>
      </w:r>
    </w:p>
    <w:p>
      <w:pPr>
        <w:spacing w:after="0" w:line="230" w:lineRule="exact"/>
        <w:rPr>
          <w:sz w:val="20"/>
          <w:szCs w:val="20"/>
          <w:color w:val="auto"/>
        </w:rPr>
      </w:pPr>
    </w:p>
    <w:p>
      <w:pPr>
        <w:ind w:right="640"/>
        <w:spacing w:after="0" w:line="298" w:lineRule="auto"/>
        <w:rPr>
          <w:sz w:val="20"/>
          <w:szCs w:val="20"/>
          <w:color w:val="auto"/>
        </w:rPr>
      </w:pPr>
      <w:r>
        <w:rPr>
          <w:rFonts w:ascii="Arial" w:cs="Arial" w:eastAsia="Arial" w:hAnsi="Arial"/>
          <w:sz w:val="15"/>
          <w:szCs w:val="15"/>
          <w:color w:val="auto"/>
        </w:rPr>
        <w:t>The Company did not repurchase any shares in the third quarter of 2024. At November 2, 2024, $50.0 million remained available under the Company’s stock repurchase authorization.</w:t>
      </w:r>
    </w:p>
    <w:p>
      <w:pPr>
        <w:spacing w:after="0" w:line="3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Defaults Upon Senior Securities.</w:t>
      </w:r>
    </w:p>
    <w:p>
      <w:pPr>
        <w:spacing w:after="0" w:line="21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Not applicable.</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Mine Safety Disclosures.</w:t>
      </w:r>
    </w:p>
    <w:p>
      <w:pPr>
        <w:spacing w:after="0" w:line="21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Not applicable.</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5. Other Information.</w:t>
      </w:r>
    </w:p>
    <w:p>
      <w:pPr>
        <w:spacing w:after="0" w:line="21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328930</wp:posOffset>
            </wp:positionV>
            <wp:extent cx="6296025" cy="24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00"/>
          </w:cols>
          <w:pgMar w:left="980" w:top="487" w:right="101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6. Exhibits.</w:t>
      </w:r>
    </w:p>
    <w:p>
      <w:pPr>
        <w:spacing w:after="0" w:line="292" w:lineRule="exact"/>
        <w:rPr>
          <w:sz w:val="20"/>
          <w:szCs w:val="20"/>
          <w:color w:val="auto"/>
        </w:rPr>
      </w:pPr>
    </w:p>
    <w:p>
      <w:pPr>
        <w:ind w:left="720" w:right="220" w:hanging="703"/>
        <w:spacing w:after="0" w:line="333" w:lineRule="auto"/>
        <w:tabs>
          <w:tab w:leader="none" w:pos="700" w:val="left"/>
        </w:tabs>
        <w:rPr>
          <w:rFonts w:ascii="Arial" w:cs="Arial" w:eastAsia="Arial" w:hAnsi="Arial"/>
          <w:sz w:val="15"/>
          <w:szCs w:val="15"/>
          <w:color w:val="0000EE"/>
        </w:rPr>
      </w:pPr>
      <w:r>
        <w:rPr>
          <w:rFonts w:ascii="Arial" w:cs="Arial" w:eastAsia="Arial" w:hAnsi="Arial"/>
          <w:sz w:val="15"/>
          <w:szCs w:val="15"/>
          <w:color w:val="auto"/>
        </w:rPr>
        <w:t>3.1</w:t>
      </w:r>
      <w:r>
        <w:rPr>
          <w:sz w:val="20"/>
          <w:szCs w:val="20"/>
          <w:color w:val="auto"/>
        </w:rPr>
        <w:tab/>
      </w:r>
      <w:hyperlink r:id="rId28">
        <w:r>
          <w:rPr>
            <w:rFonts w:ascii="Arial" w:cs="Arial" w:eastAsia="Arial" w:hAnsi="Arial"/>
            <w:sz w:val="15"/>
            <w:szCs w:val="15"/>
            <w:u w:val="single" w:color="auto"/>
            <w:color w:val="0000EE"/>
          </w:rPr>
          <w:t>Third Amended and Restated Certificate of Incorporation (incorporated by reference to Exhibit 3.1 to the Company’s Current Report on</w:t>
        </w:r>
      </w:hyperlink>
      <w:r>
        <w:rPr>
          <w:rFonts w:ascii="Arial" w:cs="Arial" w:eastAsia="Arial" w:hAnsi="Arial"/>
          <w:sz w:val="15"/>
          <w:szCs w:val="15"/>
          <w:u w:val="single" w:color="auto"/>
          <w:color w:val="0000EE"/>
        </w:rPr>
        <w:t xml:space="preserve"> </w:t>
      </w:r>
      <w:hyperlink r:id="rId28">
        <w:r>
          <w:rPr>
            <w:rFonts w:ascii="Arial" w:cs="Arial" w:eastAsia="Arial" w:hAnsi="Arial"/>
            <w:sz w:val="15"/>
            <w:szCs w:val="15"/>
            <w:u w:val="single" w:color="auto"/>
            <w:color w:val="0000EE"/>
          </w:rPr>
          <w:t>Form 8-K filed with the SEC on June 7, 2018)</w:t>
        </w:r>
        <w:r>
          <w:rPr>
            <w:rFonts w:ascii="Arial" w:cs="Arial" w:eastAsia="Arial" w:hAnsi="Arial"/>
            <w:sz w:val="15"/>
            <w:szCs w:val="15"/>
            <w:color w:val="000000"/>
          </w:rPr>
          <w:t>.</w:t>
        </w:r>
      </w:hyperlink>
    </w:p>
    <w:p>
      <w:pPr>
        <w:spacing w:after="0" w:line="74" w:lineRule="exact"/>
        <w:rPr>
          <w:sz w:val="20"/>
          <w:szCs w:val="20"/>
          <w:color w:val="auto"/>
        </w:rPr>
      </w:pPr>
    </w:p>
    <w:p>
      <w:pPr>
        <w:ind w:left="720" w:right="240" w:hanging="703"/>
        <w:spacing w:after="0" w:line="333" w:lineRule="auto"/>
        <w:tabs>
          <w:tab w:leader="none" w:pos="700" w:val="left"/>
        </w:tabs>
        <w:rPr>
          <w:rFonts w:ascii="Arial" w:cs="Arial" w:eastAsia="Arial" w:hAnsi="Arial"/>
          <w:sz w:val="15"/>
          <w:szCs w:val="15"/>
          <w:u w:val="single" w:color="auto"/>
          <w:color w:val="0000EE"/>
        </w:rPr>
      </w:pPr>
      <w:r>
        <w:rPr>
          <w:rFonts w:ascii="Arial" w:cs="Arial" w:eastAsia="Arial" w:hAnsi="Arial"/>
          <w:sz w:val="15"/>
          <w:szCs w:val="15"/>
          <w:color w:val="auto"/>
        </w:rPr>
        <w:t>3.2</w:t>
      </w:r>
      <w:r>
        <w:rPr>
          <w:sz w:val="20"/>
          <w:szCs w:val="20"/>
          <w:color w:val="auto"/>
        </w:rPr>
        <w:tab/>
      </w:r>
      <w:hyperlink r:id="rId29">
        <w:r>
          <w:rPr>
            <w:rFonts w:ascii="Arial" w:cs="Arial" w:eastAsia="Arial" w:hAnsi="Arial"/>
            <w:sz w:val="15"/>
            <w:szCs w:val="15"/>
            <w:u w:val="single" w:color="auto"/>
            <w:color w:val="0000EE"/>
          </w:rPr>
          <w:t>Certificate of Change of Registered Agent and/or Registered Office (incorporated by reference to Exhibit 3.1 to the Company’s Current</w:t>
        </w:r>
      </w:hyperlink>
      <w:r>
        <w:rPr>
          <w:rFonts w:ascii="Arial" w:cs="Arial" w:eastAsia="Arial" w:hAnsi="Arial"/>
          <w:sz w:val="15"/>
          <w:szCs w:val="15"/>
          <w:u w:val="single" w:color="auto"/>
          <w:color w:val="0000EE"/>
        </w:rPr>
        <w:t xml:space="preserve"> </w:t>
      </w:r>
      <w:hyperlink r:id="rId29">
        <w:r>
          <w:rPr>
            <w:rFonts w:ascii="Arial" w:cs="Arial" w:eastAsia="Arial" w:hAnsi="Arial"/>
            <w:sz w:val="15"/>
            <w:szCs w:val="15"/>
            <w:u w:val="single" w:color="auto"/>
            <w:color w:val="0000EE"/>
          </w:rPr>
          <w:t>Report on Form 8-K filed with the SEC on October 31, 2022).</w:t>
        </w:r>
      </w:hyperlink>
    </w:p>
    <w:p>
      <w:pPr>
        <w:spacing w:after="0" w:line="74" w:lineRule="exact"/>
        <w:rPr>
          <w:sz w:val="20"/>
          <w:szCs w:val="20"/>
          <w:color w:val="auto"/>
        </w:rPr>
      </w:pPr>
    </w:p>
    <w:p>
      <w:pPr>
        <w:ind w:left="720" w:right="120" w:hanging="703"/>
        <w:spacing w:after="0" w:line="333" w:lineRule="auto"/>
        <w:tabs>
          <w:tab w:leader="none" w:pos="700" w:val="left"/>
        </w:tabs>
        <w:rPr>
          <w:rFonts w:ascii="Arial" w:cs="Arial" w:eastAsia="Arial" w:hAnsi="Arial"/>
          <w:sz w:val="15"/>
          <w:szCs w:val="15"/>
          <w:u w:val="single" w:color="auto"/>
          <w:color w:val="0000EE"/>
        </w:rPr>
      </w:pPr>
      <w:r>
        <w:rPr>
          <w:rFonts w:ascii="Arial" w:cs="Arial" w:eastAsia="Arial" w:hAnsi="Arial"/>
          <w:sz w:val="15"/>
          <w:szCs w:val="15"/>
          <w:color w:val="auto"/>
        </w:rPr>
        <w:t>3.3</w:t>
      </w:r>
      <w:r>
        <w:rPr>
          <w:sz w:val="20"/>
          <w:szCs w:val="20"/>
          <w:color w:val="auto"/>
        </w:rPr>
        <w:tab/>
      </w:r>
      <w:hyperlink r:id="rId30">
        <w:r>
          <w:rPr>
            <w:rFonts w:ascii="Arial" w:cs="Arial" w:eastAsia="Arial" w:hAnsi="Arial"/>
            <w:sz w:val="15"/>
            <w:szCs w:val="15"/>
            <w:u w:val="single" w:color="auto"/>
            <w:color w:val="0000EE"/>
          </w:rPr>
          <w:t>Fourth Amended and Restated Bylaws (incorporated by reference to Exhibit 3.2 to the Company’s Current Report on Form 8-K filed with</w:t>
        </w:r>
      </w:hyperlink>
      <w:r>
        <w:rPr>
          <w:rFonts w:ascii="Arial" w:cs="Arial" w:eastAsia="Arial" w:hAnsi="Arial"/>
          <w:sz w:val="15"/>
          <w:szCs w:val="15"/>
          <w:u w:val="single" w:color="auto"/>
          <w:color w:val="0000EE"/>
        </w:rPr>
        <w:t xml:space="preserve"> </w:t>
      </w:r>
      <w:hyperlink r:id="rId30">
        <w:r>
          <w:rPr>
            <w:rFonts w:ascii="Arial" w:cs="Arial" w:eastAsia="Arial" w:hAnsi="Arial"/>
            <w:sz w:val="15"/>
            <w:szCs w:val="15"/>
            <w:u w:val="single" w:color="auto"/>
            <w:color w:val="0000EE"/>
          </w:rPr>
          <w:t>the SEC on October 31, 2022).</w:t>
        </w:r>
      </w:hyperlink>
    </w:p>
    <w:p>
      <w:pPr>
        <w:spacing w:after="0" w:line="74" w:lineRule="exact"/>
        <w:rPr>
          <w:sz w:val="20"/>
          <w:szCs w:val="20"/>
          <w:color w:val="auto"/>
        </w:rPr>
      </w:pPr>
    </w:p>
    <w:p>
      <w:pPr>
        <w:ind w:left="720" w:right="140" w:hanging="703"/>
        <w:spacing w:after="0" w:line="333" w:lineRule="auto"/>
        <w:tabs>
          <w:tab w:leader="none" w:pos="700" w:val="left"/>
        </w:tabs>
        <w:rPr>
          <w:rFonts w:ascii="Arial" w:cs="Arial" w:eastAsia="Arial" w:hAnsi="Arial"/>
          <w:sz w:val="15"/>
          <w:szCs w:val="15"/>
          <w:u w:val="single" w:color="auto"/>
          <w:color w:val="0000EE"/>
        </w:rPr>
      </w:pPr>
      <w:r>
        <w:rPr>
          <w:rFonts w:ascii="Arial" w:cs="Arial" w:eastAsia="Arial" w:hAnsi="Arial"/>
          <w:sz w:val="15"/>
          <w:szCs w:val="15"/>
          <w:color w:val="auto"/>
        </w:rPr>
        <w:t>3.4</w:t>
      </w:r>
      <w:r>
        <w:rPr>
          <w:sz w:val="20"/>
          <w:szCs w:val="20"/>
          <w:color w:val="auto"/>
        </w:rPr>
        <w:tab/>
      </w:r>
      <w:hyperlink r:id="rId31">
        <w:r>
          <w:rPr>
            <w:rFonts w:ascii="Arial" w:cs="Arial" w:eastAsia="Arial" w:hAnsi="Arial"/>
            <w:sz w:val="15"/>
            <w:szCs w:val="15"/>
            <w:u w:val="single" w:color="auto"/>
            <w:color w:val="0000EE"/>
          </w:rPr>
          <w:t>Certificate of Elimination of the Series A Junior Participating Preferred Stock of Citi Trends, Inc. (incorporated by reference to Exhibit 3.1</w:t>
        </w:r>
      </w:hyperlink>
      <w:r>
        <w:rPr>
          <w:rFonts w:ascii="Arial" w:cs="Arial" w:eastAsia="Arial" w:hAnsi="Arial"/>
          <w:sz w:val="15"/>
          <w:szCs w:val="15"/>
          <w:u w:val="single" w:color="auto"/>
          <w:color w:val="0000EE"/>
        </w:rPr>
        <w:t xml:space="preserve"> </w:t>
      </w:r>
      <w:hyperlink r:id="rId31">
        <w:r>
          <w:rPr>
            <w:rFonts w:ascii="Arial" w:cs="Arial" w:eastAsia="Arial" w:hAnsi="Arial"/>
            <w:sz w:val="15"/>
            <w:szCs w:val="15"/>
            <w:u w:val="single" w:color="auto"/>
            <w:color w:val="0000EE"/>
          </w:rPr>
          <w:t>to the Company’s Current Report on Form 8-K filed with the SEC on May 7, 2024).</w:t>
        </w:r>
      </w:hyperlink>
    </w:p>
    <w:p>
      <w:pPr>
        <w:spacing w:after="0" w:line="74" w:lineRule="exact"/>
        <w:rPr>
          <w:sz w:val="20"/>
          <w:szCs w:val="20"/>
          <w:color w:val="auto"/>
        </w:rPr>
      </w:pPr>
    </w:p>
    <w:p>
      <w:pPr>
        <w:spacing w:after="0"/>
        <w:tabs>
          <w:tab w:leader="none" w:pos="700" w:val="left"/>
        </w:tabs>
        <w:rPr>
          <w:sz w:val="20"/>
          <w:szCs w:val="20"/>
          <w:color w:val="auto"/>
        </w:rPr>
      </w:pPr>
      <w:r>
        <w:rPr>
          <w:rFonts w:ascii="Arial" w:cs="Arial" w:eastAsia="Arial" w:hAnsi="Arial"/>
          <w:sz w:val="15"/>
          <w:szCs w:val="15"/>
          <w:color w:val="auto"/>
        </w:rPr>
        <w:t>10.1</w:t>
      </w:r>
      <w:r>
        <w:rPr>
          <w:sz w:val="20"/>
          <w:szCs w:val="20"/>
          <w:color w:val="auto"/>
        </w:rPr>
        <w:tab/>
      </w:r>
      <w:r>
        <w:rPr>
          <w:rFonts w:ascii="Arial" w:cs="Arial" w:eastAsia="Arial" w:hAnsi="Arial"/>
          <w:sz w:val="15"/>
          <w:szCs w:val="15"/>
          <w:u w:val="single" w:color="auto"/>
          <w:color w:val="0000EE"/>
        </w:rPr>
        <w:t>Employment Non-Compete, Non-Solicit and Confidentiality Agreement, between Citi Trends, Inc. and Kyle Koenig dated as of March 24,</w:t>
      </w:r>
    </w:p>
    <w:p>
      <w:pPr>
        <w:spacing w:after="0" w:line="41" w:lineRule="exact"/>
        <w:rPr>
          <w:sz w:val="20"/>
          <w:szCs w:val="20"/>
          <w:color w:val="auto"/>
        </w:rPr>
      </w:pPr>
    </w:p>
    <w:p>
      <w:pPr>
        <w:ind w:left="720"/>
        <w:spacing w:after="0"/>
        <w:rPr>
          <w:sz w:val="20"/>
          <w:szCs w:val="20"/>
          <w:color w:val="auto"/>
        </w:rPr>
      </w:pPr>
      <w:r>
        <w:rPr>
          <w:rFonts w:ascii="Arial" w:cs="Arial" w:eastAsia="Arial" w:hAnsi="Arial"/>
          <w:sz w:val="15"/>
          <w:szCs w:val="15"/>
          <w:u w:val="single" w:color="auto"/>
          <w:color w:val="0000EE"/>
        </w:rPr>
        <w:t>2018.+*</w:t>
      </w:r>
    </w:p>
    <w:p>
      <w:pPr>
        <w:spacing w:after="0" w:line="167" w:lineRule="exact"/>
        <w:rPr>
          <w:sz w:val="20"/>
          <w:szCs w:val="20"/>
          <w:color w:val="auto"/>
        </w:rPr>
      </w:pPr>
    </w:p>
    <w:p>
      <w:pPr>
        <w:ind w:left="720" w:right="440" w:hanging="703"/>
        <w:spacing w:after="0" w:line="333" w:lineRule="auto"/>
        <w:tabs>
          <w:tab w:leader="none" w:pos="700" w:val="left"/>
        </w:tabs>
        <w:rPr>
          <w:sz w:val="20"/>
          <w:szCs w:val="20"/>
          <w:color w:val="auto"/>
        </w:rPr>
      </w:pPr>
      <w:r>
        <w:rPr>
          <w:rFonts w:ascii="Arial" w:cs="Arial" w:eastAsia="Arial" w:hAnsi="Arial"/>
          <w:sz w:val="15"/>
          <w:szCs w:val="15"/>
          <w:color w:val="auto"/>
        </w:rPr>
        <w:t>31.1</w:t>
      </w:r>
      <w:r>
        <w:rPr>
          <w:sz w:val="20"/>
          <w:szCs w:val="20"/>
          <w:color w:val="auto"/>
        </w:rPr>
        <w:tab/>
      </w:r>
      <w:r>
        <w:rPr>
          <w:rFonts w:ascii="Arial" w:cs="Arial" w:eastAsia="Arial" w:hAnsi="Arial"/>
          <w:sz w:val="15"/>
          <w:szCs w:val="15"/>
          <w:u w:val="single" w:color="auto"/>
          <w:color w:val="0000EE"/>
        </w:rPr>
        <w:t>Certification of Principal Executive Officer, Pursuant to Rule 13a-14(a) of the Securities Exchange Act of 1934, Adopted Pursuant to Section 302 of the Sarbanes-Oxley Act of 2002</w:t>
      </w:r>
      <w:r>
        <w:rPr>
          <w:rFonts w:ascii="Arial" w:cs="Arial" w:eastAsia="Arial" w:hAnsi="Arial"/>
          <w:sz w:val="15"/>
          <w:szCs w:val="15"/>
          <w:color w:val="000000"/>
        </w:rPr>
        <w:t>.+</w:t>
      </w:r>
    </w:p>
    <w:p>
      <w:pPr>
        <w:spacing w:after="0" w:line="74" w:lineRule="exact"/>
        <w:rPr>
          <w:sz w:val="20"/>
          <w:szCs w:val="20"/>
          <w:color w:val="auto"/>
        </w:rPr>
      </w:pPr>
    </w:p>
    <w:p>
      <w:pPr>
        <w:ind w:left="720" w:right="480" w:hanging="703"/>
        <w:spacing w:after="0" w:line="333" w:lineRule="auto"/>
        <w:tabs>
          <w:tab w:leader="none" w:pos="700" w:val="left"/>
        </w:tabs>
        <w:rPr>
          <w:sz w:val="20"/>
          <w:szCs w:val="20"/>
          <w:color w:val="auto"/>
        </w:rPr>
      </w:pPr>
      <w:r>
        <w:rPr>
          <w:rFonts w:ascii="Arial" w:cs="Arial" w:eastAsia="Arial" w:hAnsi="Arial"/>
          <w:sz w:val="15"/>
          <w:szCs w:val="15"/>
          <w:color w:val="auto"/>
        </w:rPr>
        <w:t>31.2</w:t>
      </w:r>
      <w:r>
        <w:rPr>
          <w:sz w:val="20"/>
          <w:szCs w:val="20"/>
          <w:color w:val="auto"/>
        </w:rPr>
        <w:tab/>
      </w:r>
      <w:r>
        <w:rPr>
          <w:rFonts w:ascii="Arial" w:cs="Arial" w:eastAsia="Arial" w:hAnsi="Arial"/>
          <w:sz w:val="15"/>
          <w:szCs w:val="15"/>
          <w:u w:val="single" w:color="auto"/>
          <w:color w:val="0000EE"/>
        </w:rPr>
        <w:t>Certification of Principal Financial Officer, Pursuant to Rule 13a-14(a) of the Securities Exchange Act of 1934, Adopted Pursuant to Section 302 of the Sarbanes-Oxley Act of 2002.</w:t>
      </w:r>
      <w:r>
        <w:rPr>
          <w:rFonts w:ascii="Arial" w:cs="Arial" w:eastAsia="Arial" w:hAnsi="Arial"/>
          <w:sz w:val="15"/>
          <w:szCs w:val="15"/>
          <w:color w:val="000000"/>
        </w:rPr>
        <w:t>+</w:t>
      </w:r>
    </w:p>
    <w:p>
      <w:pPr>
        <w:spacing w:after="0" w:line="74" w:lineRule="exact"/>
        <w:rPr>
          <w:sz w:val="20"/>
          <w:szCs w:val="20"/>
          <w:color w:val="auto"/>
        </w:rPr>
      </w:pPr>
    </w:p>
    <w:p>
      <w:pPr>
        <w:spacing w:after="0"/>
        <w:tabs>
          <w:tab w:leader="none" w:pos="700" w:val="left"/>
        </w:tabs>
        <w:rPr>
          <w:sz w:val="20"/>
          <w:szCs w:val="20"/>
          <w:color w:val="auto"/>
        </w:rPr>
      </w:pPr>
      <w:r>
        <w:rPr>
          <w:rFonts w:ascii="Arial" w:cs="Arial" w:eastAsia="Arial" w:hAnsi="Arial"/>
          <w:sz w:val="15"/>
          <w:szCs w:val="15"/>
          <w:color w:val="auto"/>
        </w:rPr>
        <w:t>32.1</w:t>
      </w:r>
      <w:r>
        <w:rPr>
          <w:sz w:val="20"/>
          <w:szCs w:val="20"/>
          <w:color w:val="auto"/>
        </w:rPr>
        <w:tab/>
      </w:r>
      <w:r>
        <w:rPr>
          <w:rFonts w:ascii="Arial" w:cs="Arial" w:eastAsia="Arial" w:hAnsi="Arial"/>
          <w:sz w:val="15"/>
          <w:szCs w:val="15"/>
          <w:u w:val="single" w:color="auto"/>
          <w:color w:val="0000EE"/>
        </w:rPr>
        <w:t>Certifications Pursuant to 18 U.S.C. Section 1350, as adopted pursuant to Section 906 of the Sarbanes-Oxley Act of 2002.+†</w:t>
      </w:r>
    </w:p>
    <w:p>
      <w:pPr>
        <w:spacing w:after="0" w:line="167" w:lineRule="exact"/>
        <w:rPr>
          <w:sz w:val="20"/>
          <w:szCs w:val="20"/>
          <w:color w:val="auto"/>
        </w:rPr>
      </w:pPr>
    </w:p>
    <w:p>
      <w:pPr>
        <w:ind w:left="720" w:right="360" w:hanging="713"/>
        <w:spacing w:after="0" w:line="333" w:lineRule="auto"/>
        <w:tabs>
          <w:tab w:leader="none" w:pos="7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Inline XBRL Document Set for the condensed consolidated financial statements and accompanying notes in Part I, Item 1, “Financial Statements” of this Quarterly Report on Form 10-Q.+</w:t>
      </w:r>
    </w:p>
    <w:p>
      <w:pPr>
        <w:spacing w:after="0" w:line="74" w:lineRule="exact"/>
        <w:rPr>
          <w:sz w:val="20"/>
          <w:szCs w:val="20"/>
          <w:color w:val="auto"/>
        </w:rPr>
      </w:pPr>
    </w:p>
    <w:p>
      <w:pPr>
        <w:ind w:left="720" w:hanging="713"/>
        <w:spacing w:after="0"/>
        <w:tabs>
          <w:tab w:leader="none" w:pos="720" w:val="left"/>
        </w:tabs>
        <w:numPr>
          <w:ilvl w:val="1"/>
          <w:numId w:val="16"/>
        </w:numPr>
        <w:rPr>
          <w:rFonts w:ascii="Arial" w:cs="Arial" w:eastAsia="Arial" w:hAnsi="Arial"/>
          <w:sz w:val="15"/>
          <w:szCs w:val="15"/>
          <w:color w:val="auto"/>
        </w:rPr>
      </w:pPr>
      <w:r>
        <w:rPr>
          <w:rFonts w:ascii="Arial" w:cs="Arial" w:eastAsia="Arial" w:hAnsi="Arial"/>
          <w:sz w:val="15"/>
          <w:szCs w:val="15"/>
          <w:color w:val="auto"/>
        </w:rPr>
        <w:t>Inline XBRL for the cover page of this Quarterly Report on Form 10-Q, included in the Exhibit 101 Inline XBRL Document Set.+</w:t>
      </w:r>
    </w:p>
    <w:p>
      <w:pPr>
        <w:spacing w:after="0" w:line="242" w:lineRule="exact"/>
        <w:rPr>
          <w:rFonts w:ascii="Arial" w:cs="Arial" w:eastAsia="Arial" w:hAnsi="Arial"/>
          <w:sz w:val="15"/>
          <w:szCs w:val="15"/>
          <w:color w:val="auto"/>
        </w:rPr>
      </w:pPr>
    </w:p>
    <w:p>
      <w:pPr>
        <w:ind w:left="340" w:hanging="338"/>
        <w:spacing w:after="0"/>
        <w:tabs>
          <w:tab w:leader="none" w:pos="3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Included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-180975</wp:posOffset>
            </wp:positionV>
            <wp:extent cx="15722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1572260" cy="8255"/>
                    </a:xfrm>
                    <a:prstGeom prst="rect">
                      <a:avLst/>
                    </a:prstGeom>
                    <a:noFill/>
                  </pic:spPr>
                </pic:pic>
              </a:graphicData>
            </a:graphic>
          </wp:anchor>
        </w:drawing>
      </w:r>
    </w:p>
    <w:p>
      <w:pPr>
        <w:spacing w:after="0" w:line="97" w:lineRule="exact"/>
        <w:rPr>
          <w:sz w:val="20"/>
          <w:szCs w:val="20"/>
          <w:color w:val="auto"/>
        </w:rPr>
      </w:pPr>
    </w:p>
    <w:p>
      <w:pPr>
        <w:ind w:left="360" w:hanging="358"/>
        <w:spacing w:after="0"/>
        <w:tabs>
          <w:tab w:leader="none" w:pos="3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Indicates management contract for compensatory plan or arrangement.</w:t>
      </w:r>
    </w:p>
    <w:p>
      <w:pPr>
        <w:spacing w:after="0" w:line="129" w:lineRule="exact"/>
        <w:rPr>
          <w:sz w:val="20"/>
          <w:szCs w:val="20"/>
          <w:color w:val="auto"/>
        </w:rPr>
      </w:pPr>
    </w:p>
    <w:p>
      <w:pPr>
        <w:ind w:firstLine="2"/>
        <w:spacing w:after="0" w:line="253" w:lineRule="auto"/>
        <w:tabs>
          <w:tab w:leader="none" w:pos="335" w:val="left"/>
        </w:tabs>
        <w:numPr>
          <w:ilvl w:val="0"/>
          <w:numId w:val="18"/>
        </w:numPr>
        <w:rPr>
          <w:rFonts w:ascii="Arial" w:cs="Arial" w:eastAsia="Arial" w:hAnsi="Arial"/>
          <w:sz w:val="15"/>
          <w:szCs w:val="15"/>
          <w:color w:val="auto"/>
        </w:rPr>
      </w:pPr>
      <w:r>
        <w:rPr>
          <w:rFonts w:ascii="Arial" w:cs="Arial" w:eastAsia="Arial" w:hAnsi="Arial"/>
          <w:sz w:val="15"/>
          <w:szCs w:val="15"/>
          <w:color w:val="auto"/>
        </w:rPr>
        <w:t>Pursuant to Securities and Exchange Commission Release No. 33-8238, this certification will be treated as “accompanying” this Quarterly Report on Form 10-Q and not “filed” as part of such report for purposes of Section 18 of the Securities Exchange Act of 1934, or otherwise subject to the liability of Section 18 of the Securities Exchange Act of 1934 and this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328930</wp:posOffset>
            </wp:positionV>
            <wp:extent cx="6296025" cy="2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00"/>
          </w:cols>
          <w:pgMar w:left="980" w:top="487" w:right="101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217" w:lineRule="exact"/>
        <w:rPr>
          <w:sz w:val="20"/>
          <w:szCs w:val="20"/>
          <w:color w:val="auto"/>
        </w:rPr>
      </w:pPr>
    </w:p>
    <w:p>
      <w:pPr>
        <w:ind w:right="140" w:firstLine="603"/>
        <w:spacing w:after="0" w:line="289"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 and the undersigned also has signed this report in her capacity as the Registrant’s Chief Financial Officer (Principal Financial Officer).</w:t>
      </w:r>
    </w:p>
    <w:p>
      <w:pPr>
        <w:spacing w:after="0" w:line="200" w:lineRule="exact"/>
        <w:rPr>
          <w:sz w:val="20"/>
          <w:szCs w:val="20"/>
          <w:color w:val="auto"/>
        </w:rPr>
      </w:pP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5"/>
          <w:szCs w:val="15"/>
          <w:color w:val="auto"/>
        </w:rPr>
        <w:t>CITI TRENDS, INC.</w:t>
      </w:r>
    </w:p>
    <w:p>
      <w:pPr>
        <w:spacing w:after="0" w:line="343" w:lineRule="exact"/>
        <w:rPr>
          <w:sz w:val="20"/>
          <w:szCs w:val="20"/>
          <w:color w:val="auto"/>
        </w:rPr>
      </w:pPr>
    </w:p>
    <w:p>
      <w:pPr>
        <w:spacing w:after="0"/>
        <w:rPr>
          <w:sz w:val="20"/>
          <w:szCs w:val="20"/>
          <w:color w:val="auto"/>
        </w:rPr>
      </w:pPr>
      <w:r>
        <w:rPr>
          <w:rFonts w:ascii="Arial" w:cs="Arial" w:eastAsia="Arial" w:hAnsi="Arial"/>
          <w:sz w:val="15"/>
          <w:szCs w:val="15"/>
          <w:color w:val="auto"/>
        </w:rPr>
        <w:t>Date: December 11, 2024</w:t>
      </w:r>
    </w:p>
    <w:p>
      <w:pPr>
        <w:spacing w:after="0" w:line="330" w:lineRule="exact"/>
        <w:rPr>
          <w:sz w:val="20"/>
          <w:szCs w:val="20"/>
          <w:color w:val="auto"/>
        </w:rPr>
      </w:pPr>
    </w:p>
    <w:tbl>
      <w:tblPr>
        <w:tblLayout w:type="fixed"/>
        <w:tblInd w:w="4980" w:type="dxa"/>
        <w:tblCellMar>
          <w:top w:w="0" w:type="dxa"/>
          <w:left w:w="0" w:type="dxa"/>
          <w:bottom w:w="0" w:type="dxa"/>
          <w:right w:w="0" w:type="dxa"/>
        </w:tblCellMar>
      </w:tblPr>
      <w:tr>
        <w:trPr>
          <w:trHeight w:val="198"/>
        </w:trPr>
        <w:tc>
          <w:tcPr>
            <w:tcW w:w="720" w:type="dxa"/>
            <w:vAlign w:val="bottom"/>
          </w:tcPr>
          <w:p>
            <w:pPr>
              <w:spacing w:after="0"/>
              <w:rPr>
                <w:sz w:val="20"/>
                <w:szCs w:val="20"/>
                <w:color w:val="auto"/>
              </w:rPr>
            </w:pPr>
            <w:r>
              <w:rPr>
                <w:rFonts w:ascii="Arial" w:cs="Arial" w:eastAsia="Arial" w:hAnsi="Arial"/>
                <w:sz w:val="15"/>
                <w:szCs w:val="15"/>
                <w:color w:val="auto"/>
              </w:rPr>
              <w:t>By:</w:t>
            </w:r>
          </w:p>
        </w:tc>
        <w:tc>
          <w:tcPr>
            <w:tcW w:w="4220" w:type="dxa"/>
            <w:vAlign w:val="bottom"/>
          </w:tcPr>
          <w:p>
            <w:pPr>
              <w:spacing w:after="0"/>
              <w:rPr>
                <w:sz w:val="20"/>
                <w:szCs w:val="20"/>
                <w:color w:val="auto"/>
              </w:rPr>
            </w:pPr>
            <w:r>
              <w:rPr>
                <w:rFonts w:ascii="Arial" w:cs="Arial" w:eastAsia="Arial" w:hAnsi="Arial"/>
                <w:sz w:val="15"/>
                <w:szCs w:val="15"/>
                <w:color w:val="auto"/>
              </w:rPr>
              <w:t>/s/ Heather Plutino</w:t>
            </w:r>
          </w:p>
        </w:tc>
        <w:tc>
          <w:tcPr>
            <w:tcW w:w="0" w:type="dxa"/>
            <w:vAlign w:val="bottom"/>
          </w:tcPr>
          <w:p>
            <w:pPr>
              <w:spacing w:after="0"/>
              <w:rPr>
                <w:sz w:val="1"/>
                <w:szCs w:val="1"/>
                <w:color w:val="auto"/>
              </w:rPr>
            </w:pPr>
          </w:p>
        </w:tc>
      </w:tr>
      <w:tr>
        <w:trPr>
          <w:trHeight w:val="53"/>
        </w:trPr>
        <w:tc>
          <w:tcPr>
            <w:tcW w:w="720" w:type="dxa"/>
            <w:vAlign w:val="bottom"/>
            <w:vMerge w:val="restart"/>
          </w:tcPr>
          <w:p>
            <w:pPr>
              <w:spacing w:after="0"/>
              <w:rPr>
                <w:sz w:val="20"/>
                <w:szCs w:val="20"/>
                <w:color w:val="auto"/>
              </w:rPr>
            </w:pPr>
            <w:r>
              <w:rPr>
                <w:rFonts w:ascii="Arial" w:cs="Arial" w:eastAsia="Arial" w:hAnsi="Arial"/>
                <w:sz w:val="15"/>
                <w:szCs w:val="15"/>
                <w:color w:val="auto"/>
              </w:rPr>
              <w:t>Name:</w:t>
            </w:r>
          </w:p>
        </w:tc>
        <w:tc>
          <w:tcPr>
            <w:tcW w:w="4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vMerge w:val="continue"/>
          </w:tcPr>
          <w:p>
            <w:pPr>
              <w:spacing w:after="0"/>
              <w:rPr>
                <w:sz w:val="16"/>
                <w:szCs w:val="16"/>
                <w:color w:val="auto"/>
              </w:rPr>
            </w:pPr>
          </w:p>
        </w:tc>
        <w:tc>
          <w:tcPr>
            <w:tcW w:w="4220" w:type="dxa"/>
            <w:vAlign w:val="bottom"/>
          </w:tcPr>
          <w:p>
            <w:pPr>
              <w:spacing w:after="0"/>
              <w:rPr>
                <w:sz w:val="20"/>
                <w:szCs w:val="20"/>
                <w:color w:val="auto"/>
              </w:rPr>
            </w:pPr>
            <w:r>
              <w:rPr>
                <w:rFonts w:ascii="Arial" w:cs="Arial" w:eastAsia="Arial" w:hAnsi="Arial"/>
                <w:sz w:val="15"/>
                <w:szCs w:val="15"/>
                <w:color w:val="auto"/>
              </w:rPr>
              <w:t>Heather Plutino</w:t>
            </w:r>
          </w:p>
        </w:tc>
        <w:tc>
          <w:tcPr>
            <w:tcW w:w="0" w:type="dxa"/>
            <w:vAlign w:val="bottom"/>
          </w:tcPr>
          <w:p>
            <w:pPr>
              <w:spacing w:after="0"/>
              <w:rPr>
                <w:sz w:val="1"/>
                <w:szCs w:val="1"/>
                <w:color w:val="auto"/>
              </w:rPr>
            </w:pPr>
          </w:p>
        </w:tc>
      </w:tr>
      <w:tr>
        <w:trPr>
          <w:trHeight w:val="251"/>
        </w:trPr>
        <w:tc>
          <w:tcPr>
            <w:tcW w:w="720" w:type="dxa"/>
            <w:vAlign w:val="bottom"/>
          </w:tcPr>
          <w:p>
            <w:pPr>
              <w:spacing w:after="0"/>
              <w:rPr>
                <w:sz w:val="20"/>
                <w:szCs w:val="20"/>
                <w:color w:val="auto"/>
              </w:rPr>
            </w:pPr>
            <w:r>
              <w:rPr>
                <w:rFonts w:ascii="Arial" w:cs="Arial" w:eastAsia="Arial" w:hAnsi="Arial"/>
                <w:sz w:val="15"/>
                <w:szCs w:val="15"/>
                <w:color w:val="auto"/>
              </w:rPr>
              <w:t>Title:</w:t>
            </w:r>
          </w:p>
        </w:tc>
        <w:tc>
          <w:tcPr>
            <w:tcW w:w="4220" w:type="dxa"/>
            <w:vAlign w:val="bottom"/>
          </w:tcPr>
          <w:p>
            <w:pPr>
              <w:spacing w:after="0"/>
              <w:rPr>
                <w:sz w:val="20"/>
                <w:szCs w:val="20"/>
                <w:color w:val="auto"/>
              </w:rPr>
            </w:pPr>
            <w:r>
              <w:rPr>
                <w:rFonts w:ascii="Arial" w:cs="Arial" w:eastAsia="Arial" w:hAnsi="Arial"/>
                <w:sz w:val="15"/>
                <w:szCs w:val="15"/>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328930</wp:posOffset>
            </wp:positionV>
            <wp:extent cx="6296025"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487" w:right="999" w:bottom="1440"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91205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6886575" cy="9120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91205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6886575" cy="9120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91205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6886575" cy="9120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91205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6886575" cy="9120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91205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6886575" cy="9120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91205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6886575" cy="9120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911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6886575" cy="9112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rFonts w:ascii="Arial" w:cs="Arial" w:eastAsia="Arial" w:hAnsi="Arial"/>
          <w:sz w:val="15"/>
          <w:szCs w:val="15"/>
          <w:b w:val="1"/>
          <w:bCs w:val="1"/>
          <w:color w:val="auto"/>
        </w:rPr>
        <w:t>Exhibit 31.1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5"/>
          <w:szCs w:val="15"/>
          <w:color w:val="auto"/>
        </w:rPr>
        <w:t>I, Kenneth D. Seipel, certify that:</w:t>
      </w:r>
    </w:p>
    <w:p>
      <w:pPr>
        <w:spacing w:after="0" w:line="192" w:lineRule="exact"/>
        <w:rPr>
          <w:sz w:val="20"/>
          <w:szCs w:val="20"/>
          <w:color w:val="auto"/>
        </w:rPr>
      </w:pPr>
    </w:p>
    <w:p>
      <w:pPr>
        <w:ind w:left="600" w:hanging="598"/>
        <w:spacing w:after="0"/>
        <w:tabs>
          <w:tab w:leader="none" w:pos="6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for the period ended November 2, 2024 of Citi Trends, Inc.;</w:t>
      </w:r>
    </w:p>
    <w:p>
      <w:pPr>
        <w:spacing w:after="0" w:line="179" w:lineRule="exact"/>
        <w:rPr>
          <w:rFonts w:ascii="Arial" w:cs="Arial" w:eastAsia="Arial" w:hAnsi="Arial"/>
          <w:sz w:val="15"/>
          <w:szCs w:val="15"/>
          <w:color w:val="auto"/>
        </w:rPr>
      </w:pPr>
    </w:p>
    <w:p>
      <w:pPr>
        <w:ind w:left="600" w:right="220" w:hanging="598"/>
        <w:spacing w:after="0" w:line="262" w:lineRule="auto"/>
        <w:tabs>
          <w:tab w:leader="none" w:pos="6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5"/>
          <w:szCs w:val="15"/>
          <w:color w:val="auto"/>
        </w:rPr>
      </w:pPr>
    </w:p>
    <w:p>
      <w:pPr>
        <w:ind w:left="600" w:right="320" w:hanging="598"/>
        <w:spacing w:after="0" w:line="280" w:lineRule="auto"/>
        <w:tabs>
          <w:tab w:leader="none" w:pos="6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5"/>
          <w:szCs w:val="15"/>
          <w:color w:val="auto"/>
        </w:rPr>
      </w:pPr>
    </w:p>
    <w:p>
      <w:pPr>
        <w:ind w:left="600" w:right="20" w:hanging="598"/>
        <w:spacing w:after="0" w:line="271" w:lineRule="auto"/>
        <w:tabs>
          <w:tab w:leader="none" w:pos="6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Arial" w:cs="Arial" w:eastAsia="Arial" w:hAnsi="Arial"/>
          <w:sz w:val="15"/>
          <w:szCs w:val="15"/>
          <w:color w:val="auto"/>
        </w:rPr>
      </w:pPr>
    </w:p>
    <w:p>
      <w:pPr>
        <w:ind w:left="1200" w:right="100" w:hanging="595"/>
        <w:spacing w:after="0" w:line="262" w:lineRule="auto"/>
        <w:tabs>
          <w:tab w:leader="none" w:pos="1200" w:val="left"/>
        </w:tabs>
        <w:numPr>
          <w:ilvl w:val="1"/>
          <w:numId w:val="19"/>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5"/>
          <w:szCs w:val="15"/>
          <w:color w:val="auto"/>
        </w:rPr>
      </w:pPr>
    </w:p>
    <w:p>
      <w:pPr>
        <w:ind w:left="1200" w:right="400" w:hanging="595"/>
        <w:spacing w:after="0" w:line="262" w:lineRule="auto"/>
        <w:tabs>
          <w:tab w:leader="none" w:pos="1200" w:val="left"/>
        </w:tabs>
        <w:numPr>
          <w:ilvl w:val="1"/>
          <w:numId w:val="19"/>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1" w:lineRule="exact"/>
        <w:rPr>
          <w:rFonts w:ascii="Arial" w:cs="Arial" w:eastAsia="Arial" w:hAnsi="Arial"/>
          <w:sz w:val="15"/>
          <w:szCs w:val="15"/>
          <w:color w:val="auto"/>
        </w:rPr>
      </w:pPr>
    </w:p>
    <w:p>
      <w:pPr>
        <w:ind w:left="1200" w:right="20" w:hanging="595"/>
        <w:spacing w:after="0" w:line="271" w:lineRule="auto"/>
        <w:tabs>
          <w:tab w:leader="none" w:pos="1200" w:val="left"/>
        </w:tabs>
        <w:numPr>
          <w:ilvl w:val="1"/>
          <w:numId w:val="1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5"/>
          <w:szCs w:val="15"/>
          <w:color w:val="auto"/>
        </w:rPr>
      </w:pPr>
    </w:p>
    <w:p>
      <w:pPr>
        <w:ind w:left="1200" w:right="180" w:hanging="595"/>
        <w:spacing w:after="0" w:line="271" w:lineRule="auto"/>
        <w:tabs>
          <w:tab w:leader="none" w:pos="1200" w:val="left"/>
        </w:tabs>
        <w:numPr>
          <w:ilvl w:val="1"/>
          <w:numId w:val="19"/>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5"/>
          <w:szCs w:val="15"/>
          <w:color w:val="auto"/>
        </w:rPr>
      </w:pPr>
    </w:p>
    <w:p>
      <w:pPr>
        <w:ind w:left="600" w:right="40" w:hanging="598"/>
        <w:spacing w:after="0" w:line="280" w:lineRule="auto"/>
        <w:tabs>
          <w:tab w:leader="none" w:pos="6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5"/>
          <w:szCs w:val="15"/>
          <w:color w:val="auto"/>
        </w:rPr>
      </w:pPr>
    </w:p>
    <w:p>
      <w:pPr>
        <w:ind w:left="1200" w:right="80" w:hanging="595"/>
        <w:spacing w:after="0" w:line="280" w:lineRule="auto"/>
        <w:tabs>
          <w:tab w:leader="none" w:pos="1200" w:val="left"/>
        </w:tabs>
        <w:numPr>
          <w:ilvl w:val="1"/>
          <w:numId w:val="1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5"/>
          <w:szCs w:val="15"/>
          <w:color w:val="auto"/>
        </w:rPr>
      </w:pPr>
    </w:p>
    <w:p>
      <w:pPr>
        <w:ind w:left="1200" w:right="280" w:hanging="595"/>
        <w:spacing w:after="0" w:line="298" w:lineRule="auto"/>
        <w:tabs>
          <w:tab w:leader="none" w:pos="1200" w:val="left"/>
        </w:tabs>
        <w:numPr>
          <w:ilvl w:val="1"/>
          <w:numId w:val="19"/>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Date: December 11, 2024</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231F20"/>
        </w:rPr>
        <w:t>/s/ Kenneth D. Seipel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33832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338328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231F20"/>
        </w:rPr>
        <w:t>Kenneth D. Seipel</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231F20"/>
        </w:rPr>
        <w:t>Chief Executive Officer</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231F20"/>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458470</wp:posOffset>
            </wp:positionV>
            <wp:extent cx="6296025" cy="24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127" w:right="999" w:bottom="1440" w:gutter="0" w:footer="0" w:header="0"/>
        </w:sectPr>
      </w:pPr>
    </w:p>
    <w:bookmarkStart w:id="27" w:name="page28"/>
    <w:bookmarkEnd w:id="27"/>
    <w:p>
      <w:pPr>
        <w:jc w:val="right"/>
        <w:spacing w:after="0"/>
        <w:rPr>
          <w:sz w:val="20"/>
          <w:szCs w:val="20"/>
          <w:color w:val="auto"/>
        </w:rPr>
      </w:pPr>
      <w:r>
        <w:rPr>
          <w:rFonts w:ascii="Arial" w:cs="Arial" w:eastAsia="Arial" w:hAnsi="Arial"/>
          <w:sz w:val="15"/>
          <w:szCs w:val="15"/>
          <w:b w:val="1"/>
          <w:bCs w:val="1"/>
          <w:color w:val="auto"/>
        </w:rPr>
        <w:t>Exhibit 31.2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5"/>
          <w:szCs w:val="15"/>
          <w:color w:val="auto"/>
        </w:rPr>
        <w:t>I, Heather Plutino, certify that:</w:t>
      </w:r>
    </w:p>
    <w:p>
      <w:pPr>
        <w:spacing w:after="0" w:line="192" w:lineRule="exact"/>
        <w:rPr>
          <w:sz w:val="20"/>
          <w:szCs w:val="20"/>
          <w:color w:val="auto"/>
        </w:rPr>
      </w:pPr>
    </w:p>
    <w:p>
      <w:pPr>
        <w:ind w:left="600" w:hanging="598"/>
        <w:spacing w:after="0"/>
        <w:tabs>
          <w:tab w:leader="none" w:pos="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for the period ended November 2, 2024 of Citi Trends, Inc.;</w:t>
      </w:r>
    </w:p>
    <w:p>
      <w:pPr>
        <w:spacing w:after="0" w:line="179" w:lineRule="exact"/>
        <w:rPr>
          <w:rFonts w:ascii="Arial" w:cs="Arial" w:eastAsia="Arial" w:hAnsi="Arial"/>
          <w:sz w:val="15"/>
          <w:szCs w:val="15"/>
          <w:color w:val="auto"/>
        </w:rPr>
      </w:pPr>
    </w:p>
    <w:p>
      <w:pPr>
        <w:ind w:left="600" w:right="220" w:hanging="598"/>
        <w:spacing w:after="0" w:line="262" w:lineRule="auto"/>
        <w:tabs>
          <w:tab w:leader="none" w:pos="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5"/>
          <w:szCs w:val="15"/>
          <w:color w:val="auto"/>
        </w:rPr>
      </w:pPr>
    </w:p>
    <w:p>
      <w:pPr>
        <w:ind w:left="600" w:right="320" w:hanging="598"/>
        <w:spacing w:after="0" w:line="280" w:lineRule="auto"/>
        <w:tabs>
          <w:tab w:leader="none" w:pos="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5"/>
          <w:szCs w:val="15"/>
          <w:color w:val="auto"/>
        </w:rPr>
      </w:pPr>
    </w:p>
    <w:p>
      <w:pPr>
        <w:ind w:left="600" w:right="20" w:hanging="598"/>
        <w:spacing w:after="0" w:line="271" w:lineRule="auto"/>
        <w:tabs>
          <w:tab w:leader="none" w:pos="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Arial" w:cs="Arial" w:eastAsia="Arial" w:hAnsi="Arial"/>
          <w:sz w:val="15"/>
          <w:szCs w:val="15"/>
          <w:color w:val="auto"/>
        </w:rPr>
      </w:pPr>
    </w:p>
    <w:p>
      <w:pPr>
        <w:ind w:left="1200" w:right="100" w:hanging="595"/>
        <w:spacing w:after="0" w:line="262" w:lineRule="auto"/>
        <w:tabs>
          <w:tab w:leader="none" w:pos="1200" w:val="left"/>
        </w:tabs>
        <w:numPr>
          <w:ilvl w:val="1"/>
          <w:numId w:val="20"/>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5"/>
          <w:szCs w:val="15"/>
          <w:color w:val="auto"/>
        </w:rPr>
      </w:pPr>
    </w:p>
    <w:p>
      <w:pPr>
        <w:ind w:left="1200" w:right="400" w:hanging="595"/>
        <w:spacing w:after="0" w:line="262" w:lineRule="auto"/>
        <w:tabs>
          <w:tab w:leader="none" w:pos="1200" w:val="left"/>
        </w:tabs>
        <w:numPr>
          <w:ilvl w:val="1"/>
          <w:numId w:val="20"/>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1" w:lineRule="exact"/>
        <w:rPr>
          <w:rFonts w:ascii="Arial" w:cs="Arial" w:eastAsia="Arial" w:hAnsi="Arial"/>
          <w:sz w:val="15"/>
          <w:szCs w:val="15"/>
          <w:color w:val="auto"/>
        </w:rPr>
      </w:pPr>
    </w:p>
    <w:p>
      <w:pPr>
        <w:ind w:left="1200" w:right="20" w:hanging="595"/>
        <w:spacing w:after="0" w:line="271" w:lineRule="auto"/>
        <w:tabs>
          <w:tab w:leader="none" w:pos="1200" w:val="left"/>
        </w:tabs>
        <w:numPr>
          <w:ilvl w:val="1"/>
          <w:numId w:val="2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5"/>
          <w:szCs w:val="15"/>
          <w:color w:val="auto"/>
        </w:rPr>
      </w:pPr>
    </w:p>
    <w:p>
      <w:pPr>
        <w:ind w:left="1200" w:right="180" w:hanging="595"/>
        <w:spacing w:after="0" w:line="271" w:lineRule="auto"/>
        <w:tabs>
          <w:tab w:leader="none" w:pos="1200" w:val="left"/>
        </w:tabs>
        <w:numPr>
          <w:ilvl w:val="1"/>
          <w:numId w:val="20"/>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5"/>
          <w:szCs w:val="15"/>
          <w:color w:val="auto"/>
        </w:rPr>
      </w:pPr>
    </w:p>
    <w:p>
      <w:pPr>
        <w:ind w:left="600" w:right="40" w:hanging="598"/>
        <w:spacing w:after="0" w:line="280" w:lineRule="auto"/>
        <w:tabs>
          <w:tab w:leader="none" w:pos="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5"/>
          <w:szCs w:val="15"/>
          <w:color w:val="auto"/>
        </w:rPr>
      </w:pPr>
    </w:p>
    <w:p>
      <w:pPr>
        <w:ind w:left="1200" w:right="80" w:hanging="595"/>
        <w:spacing w:after="0" w:line="280" w:lineRule="auto"/>
        <w:tabs>
          <w:tab w:leader="none" w:pos="1200" w:val="left"/>
        </w:tabs>
        <w:numPr>
          <w:ilvl w:val="1"/>
          <w:numId w:val="2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5"/>
          <w:szCs w:val="15"/>
          <w:color w:val="auto"/>
        </w:rPr>
      </w:pPr>
    </w:p>
    <w:p>
      <w:pPr>
        <w:ind w:left="1200" w:right="280" w:hanging="595"/>
        <w:spacing w:after="0" w:line="298" w:lineRule="auto"/>
        <w:tabs>
          <w:tab w:leader="none" w:pos="1200" w:val="left"/>
        </w:tabs>
        <w:numPr>
          <w:ilvl w:val="1"/>
          <w:numId w:val="20"/>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Date: December 11, 2024</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231F20"/>
        </w:rPr>
        <w:t xml:space="preserve">/s/ </w:t>
      </w:r>
      <w:r>
        <w:rPr>
          <w:rFonts w:ascii="Arial" w:cs="Arial" w:eastAsia="Arial" w:hAnsi="Arial"/>
          <w:sz w:val="15"/>
          <w:szCs w:val="15"/>
          <w:color w:val="000000"/>
        </w:rPr>
        <w:t>Heather Plutino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33832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338328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Heather Plutino</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231F20"/>
        </w:rPr>
        <w:t>Chief Financial Officer</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231F20"/>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458470</wp:posOffset>
            </wp:positionV>
            <wp:extent cx="6296025" cy="24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127" w:right="999" w:bottom="1440" w:gutter="0" w:footer="0" w:header="0"/>
        </w:sectPr>
      </w:pPr>
    </w:p>
    <w:bookmarkStart w:id="28" w:name="page29"/>
    <w:bookmarkEnd w:id="28"/>
    <w:p>
      <w:pPr>
        <w:jc w:val="right"/>
        <w:ind w:right="39"/>
        <w:spacing w:after="0"/>
        <w:rPr>
          <w:sz w:val="20"/>
          <w:szCs w:val="20"/>
          <w:color w:val="auto"/>
        </w:rPr>
      </w:pPr>
      <w:r>
        <w:rPr>
          <w:rFonts w:ascii="Arial" w:cs="Arial" w:eastAsia="Arial" w:hAnsi="Arial"/>
          <w:sz w:val="15"/>
          <w:szCs w:val="15"/>
          <w:b w:val="1"/>
          <w:bCs w:val="1"/>
          <w:color w:val="auto"/>
        </w:rPr>
        <w:t>Exhibit 32.1</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5"/>
          <w:szCs w:val="15"/>
          <w:color w:val="auto"/>
        </w:rPr>
        <w:t>Certifications pursuant to Section 906 of the Sarbanes-Oxley Act of 2002 (18 U.S.C. § 1350, as adopted).</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5"/>
          <w:szCs w:val="15"/>
          <w:color w:val="auto"/>
        </w:rPr>
        <w:t>I, Kenneth D. Seipel, Chief Executive Officer of Citi Trends, Inc.,</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5"/>
          <w:szCs w:val="15"/>
          <w:color w:val="auto"/>
        </w:rPr>
        <w:t>and</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5"/>
          <w:szCs w:val="15"/>
          <w:color w:val="auto"/>
        </w:rPr>
        <w:t>I, Heather Plutino, Chief Financial officer of Citi Trends, Inc., certify that:</w:t>
      </w:r>
    </w:p>
    <w:p>
      <w:pPr>
        <w:spacing w:after="0" w:line="192" w:lineRule="exact"/>
        <w:rPr>
          <w:sz w:val="20"/>
          <w:szCs w:val="20"/>
          <w:color w:val="auto"/>
        </w:rPr>
      </w:pPr>
    </w:p>
    <w:p>
      <w:pPr>
        <w:ind w:left="200" w:hanging="162"/>
        <w:spacing w:after="0"/>
        <w:tabs>
          <w:tab w:leader="none" w:pos="2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have reviewed this quarterly report on Form 10-Q of Citi Trends, Inc. for the period ended November 2, 2024;</w:t>
      </w:r>
    </w:p>
    <w:p>
      <w:pPr>
        <w:spacing w:after="0" w:line="179" w:lineRule="exact"/>
        <w:rPr>
          <w:rFonts w:ascii="Arial" w:cs="Arial" w:eastAsia="Arial" w:hAnsi="Arial"/>
          <w:sz w:val="15"/>
          <w:szCs w:val="15"/>
          <w:color w:val="auto"/>
        </w:rPr>
      </w:pPr>
    </w:p>
    <w:p>
      <w:pPr>
        <w:ind w:left="40" w:right="699" w:hanging="2"/>
        <w:spacing w:after="0" w:line="280" w:lineRule="auto"/>
        <w:tabs>
          <w:tab w:leader="none" w:pos="208"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our knowledge, this quarterly report fully complies with the requirements of Section 13(a) or Section 15(d) of the Securities Exchange Act of 1934, as amended; and</w:t>
      </w:r>
    </w:p>
    <w:p>
      <w:pPr>
        <w:spacing w:after="0" w:line="137" w:lineRule="exact"/>
        <w:rPr>
          <w:rFonts w:ascii="Arial" w:cs="Arial" w:eastAsia="Arial" w:hAnsi="Arial"/>
          <w:sz w:val="15"/>
          <w:szCs w:val="15"/>
          <w:color w:val="auto"/>
        </w:rPr>
      </w:pPr>
    </w:p>
    <w:p>
      <w:pPr>
        <w:ind w:left="40" w:right="579" w:hanging="2"/>
        <w:spacing w:after="0" w:line="271" w:lineRule="auto"/>
        <w:tabs>
          <w:tab w:leader="none" w:pos="208"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our knowledge, the financial statements, and other information included in this quarterly report, fairly present in all material respects the financial condition and results of operations of the registrant as of, and for, the periods presented in this quarterly report.</w:t>
      </w:r>
    </w:p>
    <w:p>
      <w:pPr>
        <w:spacing w:after="0" w:line="320" w:lineRule="exact"/>
        <w:rPr>
          <w:sz w:val="20"/>
          <w:szCs w:val="20"/>
          <w:color w:val="auto"/>
        </w:rPr>
      </w:pPr>
    </w:p>
    <w:p>
      <w:pPr>
        <w:ind w:left="40"/>
        <w:spacing w:after="0"/>
        <w:rPr>
          <w:sz w:val="20"/>
          <w:szCs w:val="20"/>
          <w:color w:val="auto"/>
        </w:rPr>
      </w:pPr>
      <w:r>
        <w:rPr>
          <w:rFonts w:ascii="Arial" w:cs="Arial" w:eastAsia="Arial" w:hAnsi="Arial"/>
          <w:sz w:val="15"/>
          <w:szCs w:val="15"/>
          <w:color w:val="231F20"/>
        </w:rPr>
        <w:t>Date: December 11, 2024</w:t>
      </w:r>
    </w:p>
    <w:p>
      <w:pPr>
        <w:spacing w:after="0" w:line="368" w:lineRule="exact"/>
        <w:rPr>
          <w:sz w:val="20"/>
          <w:szCs w:val="20"/>
          <w:color w:val="auto"/>
        </w:rPr>
      </w:pPr>
    </w:p>
    <w:p>
      <w:pPr>
        <w:ind w:left="4260"/>
        <w:spacing w:after="0"/>
        <w:rPr>
          <w:sz w:val="20"/>
          <w:szCs w:val="20"/>
          <w:color w:val="auto"/>
        </w:rPr>
      </w:pPr>
      <w:r>
        <w:rPr>
          <w:rFonts w:ascii="Arial" w:cs="Arial" w:eastAsia="Arial" w:hAnsi="Arial"/>
          <w:sz w:val="15"/>
          <w:szCs w:val="15"/>
          <w:color w:val="231F20"/>
        </w:rPr>
        <w:t xml:space="preserve">/s/ </w:t>
      </w:r>
      <w:r>
        <w:rPr>
          <w:rFonts w:ascii="Arial" w:cs="Arial" w:eastAsia="Arial" w:hAnsi="Arial"/>
          <w:sz w:val="15"/>
          <w:szCs w:val="15"/>
          <w:color w:val="000000"/>
        </w:rPr>
        <w:t>Kenneth D. Seipel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17780</wp:posOffset>
            </wp:positionV>
            <wp:extent cx="29845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2984500" cy="8255"/>
                    </a:xfrm>
                    <a:prstGeom prst="rect">
                      <a:avLst/>
                    </a:prstGeom>
                    <a:noFill/>
                  </pic:spPr>
                </pic:pic>
              </a:graphicData>
            </a:graphic>
          </wp:anchor>
        </w:drawing>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5"/>
          <w:szCs w:val="15"/>
          <w:color w:val="auto"/>
        </w:rPr>
        <w:t>Kenneth D. Seipel</w:t>
      </w:r>
    </w:p>
    <w:p>
      <w:pPr>
        <w:spacing w:after="0" w:line="26" w:lineRule="exact"/>
        <w:rPr>
          <w:sz w:val="20"/>
          <w:szCs w:val="20"/>
          <w:color w:val="auto"/>
        </w:rPr>
      </w:pPr>
    </w:p>
    <w:p>
      <w:pPr>
        <w:ind w:left="4260"/>
        <w:spacing w:after="0"/>
        <w:rPr>
          <w:sz w:val="20"/>
          <w:szCs w:val="20"/>
          <w:color w:val="auto"/>
        </w:rPr>
      </w:pPr>
      <w:r>
        <w:rPr>
          <w:rFonts w:ascii="Arial" w:cs="Arial" w:eastAsia="Arial" w:hAnsi="Arial"/>
          <w:sz w:val="15"/>
          <w:szCs w:val="15"/>
          <w:color w:val="231F20"/>
        </w:rPr>
        <w:t>Chief Executive Officer</w:t>
      </w:r>
    </w:p>
    <w:p>
      <w:pPr>
        <w:spacing w:after="0" w:line="16" w:lineRule="exact"/>
        <w:rPr>
          <w:sz w:val="20"/>
          <w:szCs w:val="20"/>
          <w:color w:val="auto"/>
        </w:rPr>
      </w:pPr>
    </w:p>
    <w:p>
      <w:pPr>
        <w:ind w:left="4260"/>
        <w:spacing w:after="0"/>
        <w:rPr>
          <w:sz w:val="20"/>
          <w:szCs w:val="20"/>
          <w:color w:val="auto"/>
        </w:rPr>
      </w:pPr>
      <w:r>
        <w:rPr>
          <w:rFonts w:ascii="Arial" w:cs="Arial" w:eastAsia="Arial" w:hAnsi="Arial"/>
          <w:sz w:val="15"/>
          <w:szCs w:val="15"/>
          <w:color w:val="231F20"/>
        </w:rPr>
        <w:t>(Principal Executive Officer)</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5"/>
          <w:szCs w:val="15"/>
          <w:color w:val="231F20"/>
        </w:rPr>
        <w:t>Date: December 11, 2024</w:t>
      </w:r>
    </w:p>
    <w:p>
      <w:pPr>
        <w:spacing w:after="0" w:line="368" w:lineRule="exact"/>
        <w:rPr>
          <w:sz w:val="20"/>
          <w:szCs w:val="20"/>
          <w:color w:val="auto"/>
        </w:rPr>
      </w:pPr>
    </w:p>
    <w:p>
      <w:pPr>
        <w:ind w:left="4260"/>
        <w:spacing w:after="0"/>
        <w:rPr>
          <w:sz w:val="20"/>
          <w:szCs w:val="20"/>
          <w:color w:val="auto"/>
        </w:rPr>
      </w:pPr>
      <w:r>
        <w:rPr>
          <w:rFonts w:ascii="Arial" w:cs="Arial" w:eastAsia="Arial" w:hAnsi="Arial"/>
          <w:sz w:val="15"/>
          <w:szCs w:val="15"/>
          <w:color w:val="231F20"/>
        </w:rPr>
        <w:t xml:space="preserve">/s/ </w:t>
      </w:r>
      <w:r>
        <w:rPr>
          <w:rFonts w:ascii="Arial" w:cs="Arial" w:eastAsia="Arial" w:hAnsi="Arial"/>
          <w:sz w:val="15"/>
          <w:szCs w:val="15"/>
          <w:color w:val="000000"/>
        </w:rPr>
        <w:t>Heather Plutino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17780</wp:posOffset>
            </wp:positionV>
            <wp:extent cx="2984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2984500" cy="8255"/>
                    </a:xfrm>
                    <a:prstGeom prst="rect">
                      <a:avLst/>
                    </a:prstGeom>
                    <a:noFill/>
                  </pic:spPr>
                </pic:pic>
              </a:graphicData>
            </a:graphic>
          </wp:anchor>
        </w:drawing>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5"/>
          <w:szCs w:val="15"/>
          <w:color w:val="auto"/>
        </w:rPr>
        <w:t>Heather Plutino</w:t>
      </w:r>
    </w:p>
    <w:p>
      <w:pPr>
        <w:spacing w:after="0" w:line="26" w:lineRule="exact"/>
        <w:rPr>
          <w:sz w:val="20"/>
          <w:szCs w:val="20"/>
          <w:color w:val="auto"/>
        </w:rPr>
      </w:pPr>
    </w:p>
    <w:p>
      <w:pPr>
        <w:ind w:left="4260"/>
        <w:spacing w:after="0"/>
        <w:rPr>
          <w:sz w:val="20"/>
          <w:szCs w:val="20"/>
          <w:color w:val="auto"/>
        </w:rPr>
      </w:pPr>
      <w:r>
        <w:rPr>
          <w:rFonts w:ascii="Arial" w:cs="Arial" w:eastAsia="Arial" w:hAnsi="Arial"/>
          <w:sz w:val="15"/>
          <w:szCs w:val="15"/>
          <w:color w:val="231F20"/>
        </w:rPr>
        <w:t>Chief Financial Officer</w:t>
      </w:r>
    </w:p>
    <w:p>
      <w:pPr>
        <w:spacing w:after="0" w:line="16" w:lineRule="exact"/>
        <w:rPr>
          <w:sz w:val="20"/>
          <w:szCs w:val="20"/>
          <w:color w:val="auto"/>
        </w:rPr>
      </w:pPr>
    </w:p>
    <w:p>
      <w:pPr>
        <w:ind w:left="4260"/>
        <w:spacing w:after="0"/>
        <w:rPr>
          <w:sz w:val="20"/>
          <w:szCs w:val="20"/>
          <w:color w:val="auto"/>
        </w:rPr>
      </w:pPr>
      <w:r>
        <w:rPr>
          <w:rFonts w:ascii="Arial" w:cs="Arial" w:eastAsia="Arial" w:hAnsi="Arial"/>
          <w:sz w:val="15"/>
          <w:szCs w:val="15"/>
          <w:color w:val="231F20"/>
        </w:rPr>
        <w:t>(Principal Financial Officer)</w:t>
      </w:r>
    </w:p>
    <w:p>
      <w:pPr>
        <w:spacing w:after="0" w:line="370" w:lineRule="exact"/>
        <w:rPr>
          <w:sz w:val="20"/>
          <w:szCs w:val="20"/>
          <w:color w:val="auto"/>
        </w:rPr>
      </w:pPr>
    </w:p>
    <w:p>
      <w:pPr>
        <w:ind w:left="40" w:right="259"/>
        <w:spacing w:after="0" w:line="280" w:lineRule="auto"/>
        <w:rPr>
          <w:sz w:val="20"/>
          <w:szCs w:val="20"/>
          <w:color w:val="auto"/>
        </w:rPr>
      </w:pPr>
      <w:r>
        <w:rPr>
          <w:rFonts w:ascii="Arial" w:cs="Arial" w:eastAsia="Arial" w:hAnsi="Arial"/>
          <w:sz w:val="15"/>
          <w:szCs w:val="15"/>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294640</wp:posOffset>
            </wp:positionV>
            <wp:extent cx="5673725" cy="24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5673725" cy="24130"/>
                    </a:xfrm>
                    <a:prstGeom prst="rect">
                      <a:avLst/>
                    </a:prstGeom>
                    <a:noFill/>
                  </pic:spPr>
                </pic:pic>
              </a:graphicData>
            </a:graphic>
          </wp:anchor>
        </w:drawing>
      </w:r>
    </w:p>
    <w:sectPr>
      <w:pgSz w:w="11900" w:h="16838" w:orient="portrait"/>
      <w:cols w:equalWidth="0" w:num="1">
        <w:col w:w="9019"/>
      </w:cols>
      <w:pgMar w:left="144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lowerRoman"/>
      <w:start w:val="1"/>
    </w:lvl>
  </w:abstractNum>
  <w:abstractNum w:abstractNumId="6">
    <w:nsid w:val="DED7263"/>
    <w:multiLevelType w:val="hybridMultilevel"/>
    <w:lvl w:ilvl="0">
      <w:lvlJc w:val="left"/>
      <w:lvlText w:val="%1."/>
      <w:numFmt w:val="decimal"/>
      <w:start w:val="5"/>
    </w:lvl>
  </w:abstractNum>
  <w:abstractNum w:abstractNumId="7">
    <w:nsid w:val="7FDCC233"/>
    <w:multiLevelType w:val="hybridMultilevel"/>
    <w:lvl w:ilvl="0">
      <w:lvlJc w:val="left"/>
      <w:lvlText w:val="%1."/>
      <w:numFmt w:val="decimal"/>
      <w:start w:val="6"/>
    </w:lvl>
  </w:abstractNum>
  <w:abstractNum w:abstractNumId="8">
    <w:nsid w:val="1BEFD79F"/>
    <w:multiLevelType w:val="hybridMultilevel"/>
    <w:lvl w:ilvl="0">
      <w:lvlJc w:val="left"/>
      <w:lvlText w:val="%1."/>
      <w:numFmt w:val="decimal"/>
      <w:start w:val="7"/>
    </w:lvl>
  </w:abstractNum>
  <w:abstractNum w:abstractNumId="9">
    <w:nsid w:val="41A7C4C9"/>
    <w:multiLevelType w:val="hybridMultilevel"/>
    <w:lvl w:ilvl="0">
      <w:lvlJc w:val="left"/>
      <w:lvlText w:val="%1."/>
      <w:numFmt w:val="decimal"/>
      <w:start w:val="8"/>
    </w:lvl>
  </w:abstractNum>
  <w:abstractNum w:abstractNumId="10">
    <w:nsid w:val="6B68079A"/>
    <w:multiLevelType w:val="hybridMultilevel"/>
    <w:lvl w:ilvl="0">
      <w:lvlJc w:val="left"/>
      <w:lvlText w:val="%1."/>
      <w:numFmt w:val="decimal"/>
      <w:start w:val="9"/>
    </w:lvl>
  </w:abstractNum>
  <w:abstractNum w:abstractNumId="11">
    <w:nsid w:val="4E6AFB66"/>
    <w:multiLevelType w:val="hybridMultilevel"/>
    <w:lvl w:ilvl="0">
      <w:lvlJc w:val="left"/>
      <w:lvlText w:val="%1."/>
      <w:numFmt w:val="decimal"/>
      <w:start w:val="10"/>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1"/>
    </w:lvl>
  </w:abstractNum>
  <w:abstractNum w:abstractNumId="14">
    <w:nsid w:val="431BD7B7"/>
    <w:multiLevelType w:val="hybridMultilevel"/>
    <w:lvl w:ilvl="0">
      <w:lvlJc w:val="left"/>
      <w:lvlText w:val="%1"/>
      <w:numFmt w:val="decimal"/>
      <w:start w:val="101"/>
    </w:lvl>
  </w:abstractNum>
  <w:abstractNum w:abstractNumId="15">
    <w:nsid w:val="3F2DBA31"/>
    <w:multiLevelType w:val="hybridMultilevel"/>
    <w:lvl w:ilvl="0">
      <w:lvlJc w:val="left"/>
      <w:lvlText w:val="+"/>
      <w:numFmt w:val="bullet"/>
      <w:start w:val="1"/>
    </w:lvl>
    <w:lvl w:ilvl="1">
      <w:lvlJc w:val="left"/>
      <w:lvlText w:val="%2"/>
      <w:numFmt w:val="decimal"/>
      <w:start w:val="104"/>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28" Type="http://schemas.openxmlformats.org/officeDocument/2006/relationships/hyperlink" Target="http://www.sec.gov/Archives/edgar/data/1318484/000110465918038871/a18-15022_1ex3d1.htm" TargetMode="External"/><Relationship Id="rId29" Type="http://schemas.openxmlformats.org/officeDocument/2006/relationships/hyperlink" Target="https://www.sec.gov/Archives/edgar/data/1318484/000110465922113020/tm2229093d1_ex3-1.htm" TargetMode="External"/><Relationship Id="rId30" Type="http://schemas.openxmlformats.org/officeDocument/2006/relationships/hyperlink" Target="https://www.sec.gov/Archives/edgar/data/1318484/000110465922113020/tm2229093d1_ex3-2.htm" TargetMode="External"/><Relationship Id="rId31" Type="http://schemas.openxmlformats.org/officeDocument/2006/relationships/hyperlink" Target="https://www.sec.gov/Archives/edgar/data/1318484/000110465924057737/tm2413614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2024-12-11T14:37:58Z</dcterms:created>
  <dcterms:modified xsi:type="dcterms:W3CDTF">2024-12-11T14:37:58Z</dcterms:modified>
</cp:coreProperties>
</file>