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403225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46" w:lineRule="exact"/>
        <w:rPr>
          <w:sz w:val="24"/>
          <w:szCs w:val="24"/>
          <w:color w:val="auto"/>
        </w:rPr>
      </w:pPr>
    </w:p>
    <w:p>
      <w:pPr>
        <w:ind w:left="660" w:hanging="401"/>
        <w:spacing w:after="0"/>
        <w:tabs>
          <w:tab w:leader="none" w:pos="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May 4, 2024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05" w:lineRule="exact"/>
        <w:rPr>
          <w:sz w:val="24"/>
          <w:szCs w:val="24"/>
          <w:color w:val="auto"/>
        </w:rPr>
      </w:pPr>
    </w:p>
    <w:p>
      <w:pPr>
        <w:ind w:left="660" w:hanging="401"/>
        <w:spacing w:after="0"/>
        <w:tabs>
          <w:tab w:leader="none" w:pos="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000-41886</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67" w:lineRule="exact"/>
        <w:rPr>
          <w:sz w:val="24"/>
          <w:szCs w:val="24"/>
          <w:color w:val="auto"/>
        </w:rPr>
      </w:pPr>
    </w:p>
    <w:tbl>
      <w:tblPr>
        <w:tblLayout w:type="fixed"/>
        <w:tblInd w:w="1060" w:type="dxa"/>
        <w:tblCellMar>
          <w:top w:w="0" w:type="dxa"/>
          <w:left w:w="0" w:type="dxa"/>
          <w:bottom w:w="0" w:type="dxa"/>
          <w:right w:w="0" w:type="dxa"/>
        </w:tblCellMar>
      </w:tblP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Delaware</w:t>
            </w:r>
          </w:p>
        </w:tc>
        <w:tc>
          <w:tcPr>
            <w:tcW w:w="2780" w:type="dxa"/>
            <w:vAlign w:val="bottom"/>
          </w:tcPr>
          <w:p>
            <w:pPr>
              <w:jc w:val="right"/>
              <w:ind w:right="119"/>
              <w:spacing w:after="0"/>
              <w:rPr>
                <w:sz w:val="20"/>
                <w:szCs w:val="20"/>
                <w:color w:val="auto"/>
              </w:rPr>
            </w:pPr>
            <w:r>
              <w:rPr>
                <w:rFonts w:ascii="Arial" w:cs="Arial" w:eastAsia="Arial" w:hAnsi="Arial"/>
                <w:sz w:val="16"/>
                <w:szCs w:val="16"/>
                <w:b w:val="1"/>
                <w:bCs w:val="1"/>
                <w:color w:val="auto"/>
              </w:rPr>
              <w:t>52-2150697</w:t>
            </w:r>
          </w:p>
        </w:tc>
      </w:t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(State or other jurisdiction of</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(I.R.S. Employer</w:t>
            </w:r>
          </w:p>
        </w:tc>
      </w:tr>
      <w:tr>
        <w:trPr>
          <w:trHeight w:val="21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incorporation or organization)</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Identification No.)</w:t>
            </w:r>
          </w:p>
        </w:tc>
      </w:tr>
      <w:tr>
        <w:trPr>
          <w:trHeight w:val="541"/>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104 Coleman Boulevard</w:t>
            </w:r>
          </w:p>
        </w:tc>
        <w:tc>
          <w:tcPr>
            <w:tcW w:w="2780" w:type="dxa"/>
            <w:vAlign w:val="bottom"/>
          </w:tcPr>
          <w:p>
            <w:pPr>
              <w:spacing w:after="0"/>
              <w:rPr>
                <w:sz w:val="24"/>
                <w:szCs w:val="24"/>
                <w:color w:val="auto"/>
              </w:rPr>
            </w:pPr>
          </w:p>
        </w:tc>
      </w:t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Savannah, Georgia</w:t>
            </w:r>
          </w:p>
        </w:tc>
        <w:tc>
          <w:tcPr>
            <w:tcW w:w="2780" w:type="dxa"/>
            <w:vAlign w:val="bottom"/>
          </w:tcPr>
          <w:p>
            <w:pPr>
              <w:jc w:val="right"/>
              <w:ind w:right="319"/>
              <w:spacing w:after="0"/>
              <w:rPr>
                <w:sz w:val="20"/>
                <w:szCs w:val="20"/>
                <w:color w:val="auto"/>
              </w:rPr>
            </w:pPr>
            <w:r>
              <w:rPr>
                <w:rFonts w:ascii="Arial" w:cs="Arial" w:eastAsia="Arial" w:hAnsi="Arial"/>
                <w:sz w:val="16"/>
                <w:szCs w:val="16"/>
                <w:b w:val="1"/>
                <w:bCs w:val="1"/>
                <w:color w:val="auto"/>
              </w:rPr>
              <w:t>31408</w:t>
            </w:r>
          </w:p>
        </w:tc>
      </w:tr>
      <w:tr>
        <w:trPr>
          <w:trHeight w:val="21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(Address of principal executive offices)</w:t>
            </w:r>
          </w:p>
        </w:tc>
        <w:tc>
          <w:tcPr>
            <w:tcW w:w="2780" w:type="dxa"/>
            <w:vAlign w:val="bottom"/>
          </w:tcPr>
          <w:p>
            <w:pPr>
              <w:jc w:val="center"/>
              <w:ind w:left="1459"/>
              <w:spacing w:after="0"/>
              <w:rPr>
                <w:sz w:val="20"/>
                <w:szCs w:val="20"/>
                <w:color w:val="auto"/>
              </w:rPr>
            </w:pPr>
            <w:r>
              <w:rPr>
                <w:rFonts w:ascii="Arial" w:cs="Arial" w:eastAsia="Arial" w:hAnsi="Arial"/>
                <w:sz w:val="16"/>
                <w:szCs w:val="16"/>
                <w:color w:val="auto"/>
              </w:rPr>
              <w:t>(Zip Code)</w:t>
            </w:r>
          </w:p>
        </w:tc>
      </w:tr>
    </w:tbl>
    <w:p>
      <w:pPr>
        <w:spacing w:after="0" w:line="163" w:lineRule="exact"/>
        <w:rPr>
          <w:sz w:val="24"/>
          <w:szCs w:val="24"/>
          <w:color w:val="auto"/>
        </w:rPr>
      </w:pPr>
    </w:p>
    <w:p>
      <w:pPr>
        <w:ind w:left="254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912) 236-1561</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8"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3580" w:type="dxa"/>
            <w:vAlign w:val="bottom"/>
            <w:tcBorders>
              <w:top w:val="single" w:sz="8" w:color="auto"/>
              <w:left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rPr>
              <w:t>Trading symbol</w:t>
            </w:r>
          </w:p>
        </w:tc>
        <w:tc>
          <w:tcPr>
            <w:tcW w:w="4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3"/>
        </w:trPr>
        <w:tc>
          <w:tcPr>
            <w:tcW w:w="3420" w:type="dxa"/>
            <w:vAlign w:val="bottom"/>
            <w:tcBorders>
              <w:top w:val="single" w:sz="8" w:color="auto"/>
              <w:left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$0.01 par value</w:t>
            </w:r>
          </w:p>
        </w:tc>
        <w:tc>
          <w:tcPr>
            <w:tcW w:w="160" w:type="dxa"/>
            <w:vAlign w:val="bottom"/>
            <w:tcBorders>
              <w:bottom w:val="single" w:sz="8" w:color="auto"/>
            </w:tcBorders>
          </w:tcPr>
          <w:p>
            <w:pPr>
              <w:spacing w:after="0"/>
              <w:rPr>
                <w:sz w:val="15"/>
                <w:szCs w:val="15"/>
                <w:color w:val="auto"/>
              </w:rPr>
            </w:pPr>
          </w:p>
        </w:tc>
        <w:tc>
          <w:tcPr>
            <w:tcW w:w="202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CTRN</w:t>
            </w:r>
          </w:p>
        </w:tc>
        <w:tc>
          <w:tcPr>
            <w:tcW w:w="140" w:type="dxa"/>
            <w:vAlign w:val="bottom"/>
            <w:tcBorders>
              <w:bottom w:val="single" w:sz="8" w:color="auto"/>
            </w:tcBorders>
          </w:tcPr>
          <w:p>
            <w:pPr>
              <w:spacing w:after="0"/>
              <w:rPr>
                <w:sz w:val="15"/>
                <w:szCs w:val="15"/>
                <w:color w:val="auto"/>
              </w:rPr>
            </w:pPr>
          </w:p>
        </w:tc>
        <w:tc>
          <w:tcPr>
            <w:tcW w:w="4180" w:type="dxa"/>
            <w:vAlign w:val="bottom"/>
            <w:tcBorders>
              <w:top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NASDAQ Stock Market</w:t>
            </w:r>
          </w:p>
        </w:tc>
      </w:tr>
    </w:tbl>
    <w:p>
      <w:pPr>
        <w:spacing w:after="0" w:line="175" w:lineRule="exact"/>
        <w:rPr>
          <w:sz w:val="24"/>
          <w:szCs w:val="24"/>
          <w:color w:val="auto"/>
        </w:rPr>
      </w:pPr>
    </w:p>
    <w:p>
      <w:pPr>
        <w:ind w:right="40"/>
        <w:spacing w:after="0" w:line="25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184" w:lineRule="exact"/>
        <w:tabs>
          <w:tab w:leader="none" w:pos="55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95" w:lineRule="exact"/>
        <w:rPr>
          <w:sz w:val="24"/>
          <w:szCs w:val="24"/>
          <w:color w:val="auto"/>
        </w:rPr>
      </w:pPr>
    </w:p>
    <w:p>
      <w:pPr>
        <w:ind w:right="4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jc w:val="both"/>
        <w:ind w:right="14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10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3100" w:space="720"/>
            <w:col w:w="2320" w:space="720"/>
            <w:col w:w="3060"/>
          </w:cols>
          <w:pgMar w:left="980" w:top="661" w:right="999" w:bottom="1440" w:gutter="0" w:footer="0" w:header="0"/>
          <w:type w:val="continuous"/>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140" w:space="720"/>
            <w:col w:w="3060"/>
          </w:cols>
          <w:pgMar w:left="980" w:top="661" w:right="999" w:bottom="1440" w:gutter="0" w:footer="0" w:header="0"/>
          <w:type w:val="continuous"/>
        </w:sectPr>
      </w:pPr>
    </w:p>
    <w:p>
      <w:pPr>
        <w:spacing w:after="0" w:line="43" w:lineRule="exact"/>
        <w:rPr>
          <w:sz w:val="24"/>
          <w:szCs w:val="24"/>
          <w:color w:val="auto"/>
        </w:rPr>
      </w:pPr>
    </w:p>
    <w:p>
      <w:pPr>
        <w:ind w:right="7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6"/>
          <w:szCs w:val="16"/>
          <w:color w:val="auto"/>
        </w:rPr>
        <w:t>As of May 25, 2024, the registrant had 8,595,297 outstanding shares of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535305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158115</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140970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rPr>
              <w:t>CITI TRENDS, INC.</w:t>
            </w:r>
          </w:p>
        </w:tc>
        <w:tc>
          <w:tcPr>
            <w:tcW w:w="298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40" w:type="dxa"/>
            <w:vAlign w:val="bottom"/>
            <w:gridSpan w:val="11"/>
          </w:tcPr>
          <w:p>
            <w:pPr>
              <w:jc w:val="center"/>
              <w:ind w:right="3260"/>
              <w:spacing w:after="0"/>
              <w:rPr>
                <w:sz w:val="20"/>
                <w:szCs w:val="20"/>
                <w:color w:val="auto"/>
              </w:rPr>
            </w:pPr>
            <w:r>
              <w:rPr>
                <w:rFonts w:ascii="Arial" w:cs="Arial" w:eastAsia="Arial" w:hAnsi="Arial"/>
                <w:sz w:val="16"/>
                <w:szCs w:val="16"/>
                <w:b w:val="1"/>
                <w:bCs w:val="1"/>
                <w:color w:val="auto"/>
              </w:rPr>
              <w:t>FORM 10-Q</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40" w:type="dxa"/>
            <w:vAlign w:val="bottom"/>
            <w:gridSpan w:val="14"/>
          </w:tcPr>
          <w:p>
            <w:pPr>
              <w:jc w:val="center"/>
              <w:ind w:right="2340"/>
              <w:spacing w:after="0" w:line="183" w:lineRule="exact"/>
              <w:rPr>
                <w:sz w:val="20"/>
                <w:szCs w:val="20"/>
                <w:color w:val="auto"/>
              </w:rPr>
            </w:pPr>
            <w:r>
              <w:rPr>
                <w:rFonts w:ascii="Arial" w:cs="Arial" w:eastAsia="Arial" w:hAnsi="Arial"/>
                <w:sz w:val="16"/>
                <w:szCs w:val="16"/>
                <w:b w:val="1"/>
                <w:bCs w:val="1"/>
                <w:color w:val="auto"/>
              </w:rPr>
              <w:t>TABLE OF CONTENTS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21"/>
        </w:trPr>
        <w:tc>
          <w:tcPr>
            <w:tcW w:w="520" w:type="dxa"/>
            <w:vAlign w:val="bottom"/>
            <w:gridSpan w:val="3"/>
            <w:vMerge w:val="restart"/>
          </w:tcPr>
          <w:p>
            <w:pPr>
              <w:spacing w:after="0"/>
              <w:rPr>
                <w:sz w:val="20"/>
                <w:szCs w:val="20"/>
                <w:color w:val="auto"/>
              </w:rPr>
            </w:pPr>
            <w:r>
              <w:rPr>
                <w:rFonts w:ascii="Arial" w:cs="Arial" w:eastAsia="Arial" w:hAnsi="Arial"/>
                <w:sz w:val="16"/>
                <w:szCs w:val="16"/>
                <w:color w:val="0000EE"/>
                <w:w w:val="96"/>
              </w:rPr>
              <w:t>PART I</w:t>
            </w:r>
          </w:p>
        </w:tc>
        <w:tc>
          <w:tcPr>
            <w:tcW w:w="320" w:type="dxa"/>
            <w:vAlign w:val="bottom"/>
            <w:gridSpan w:val="2"/>
            <w:vMerge w:val="restart"/>
          </w:tcPr>
          <w:p>
            <w:pPr>
              <w:spacing w:after="0" w:line="20" w:lineRule="exact"/>
              <w:rPr>
                <w:sz w:val="1"/>
                <w:szCs w:val="1"/>
                <w:color w:val="auto"/>
              </w:rPr>
            </w:pPr>
          </w:p>
        </w:tc>
        <w:tc>
          <w:tcPr>
            <w:tcW w:w="2020" w:type="dxa"/>
            <w:vAlign w:val="bottom"/>
            <w:gridSpan w:val="8"/>
            <w:vMerge w:val="restart"/>
          </w:tcPr>
          <w:p>
            <w:pPr>
              <w:spacing w:after="0"/>
              <w:rPr>
                <w:sz w:val="20"/>
                <w:szCs w:val="20"/>
                <w:color w:val="auto"/>
              </w:rPr>
            </w:pPr>
            <w:r>
              <w:rPr>
                <w:rFonts w:ascii="Arial" w:cs="Arial" w:eastAsia="Arial" w:hAnsi="Arial"/>
                <w:sz w:val="16"/>
                <w:szCs w:val="16"/>
                <w:color w:val="0000EE"/>
                <w:w w:val="99"/>
              </w:rPr>
              <w:t>FINANCIAL INFORMATION</w:t>
            </w:r>
          </w:p>
        </w:tc>
        <w:tc>
          <w:tcPr>
            <w:tcW w:w="5400" w:type="dxa"/>
            <w:vAlign w:val="bottom"/>
            <w:gridSpan w:val="16"/>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520" w:type="dxa"/>
            <w:vAlign w:val="bottom"/>
            <w:tcBorders>
              <w:bottom w:val="single" w:sz="8" w:color="0000EE"/>
            </w:tcBorders>
            <w:gridSpan w:val="3"/>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020" w:type="dxa"/>
            <w:vAlign w:val="bottom"/>
            <w:tcBorders>
              <w:bottom w:val="single" w:sz="8" w:color="0000EE"/>
            </w:tcBorders>
            <w:gridSpan w:val="8"/>
            <w:vMerge w:val="continue"/>
          </w:tcPr>
          <w:p>
            <w:pPr>
              <w:spacing w:after="0"/>
              <w:rPr>
                <w:sz w:val="14"/>
                <w:szCs w:val="14"/>
                <w:color w:val="auto"/>
              </w:rPr>
            </w:pPr>
          </w:p>
        </w:tc>
        <w:tc>
          <w:tcPr>
            <w:tcW w:w="5400" w:type="dxa"/>
            <w:vAlign w:val="bottom"/>
            <w:gridSpan w:val="16"/>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460" w:type="dxa"/>
            <w:vAlign w:val="bottom"/>
          </w:tcPr>
          <w:p>
            <w:pPr>
              <w:spacing w:after="0"/>
              <w:rPr>
                <w:sz w:val="20"/>
                <w:szCs w:val="20"/>
                <w:color w:val="auto"/>
              </w:rPr>
            </w:pPr>
            <w:r>
              <w:rPr>
                <w:rFonts w:ascii="Arial" w:cs="Arial" w:eastAsia="Arial" w:hAnsi="Arial"/>
                <w:sz w:val="16"/>
                <w:szCs w:val="16"/>
                <w:color w:val="0000EE"/>
                <w:w w:val="98"/>
              </w:rPr>
              <w:t>Item 1</w:t>
            </w:r>
          </w:p>
        </w:tc>
        <w:tc>
          <w:tcPr>
            <w:tcW w:w="380" w:type="dxa"/>
            <w:vAlign w:val="bottom"/>
            <w:gridSpan w:val="4"/>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Financial Statements (unaudited)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Condensed Consolidated Balance Sheets</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Condensed Consolidated Statements of Operations</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Condensed Consolidated Statements of Cash Flows</w:t>
            </w:r>
          </w:p>
        </w:tc>
        <w:tc>
          <w:tcPr>
            <w:tcW w:w="366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66"/>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Condensed Consolidated Statements of Stockholders’ Equity</w:t>
            </w:r>
          </w:p>
        </w:tc>
        <w:tc>
          <w:tcPr>
            <w:tcW w:w="302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66"/>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Notes to the Condensed Consolidated Financial Statements</w:t>
            </w:r>
          </w:p>
        </w:tc>
        <w:tc>
          <w:tcPr>
            <w:tcW w:w="312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66"/>
        </w:trPr>
        <w:tc>
          <w:tcPr>
            <w:tcW w:w="56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rPr>
              <w:t>Item 2</w:t>
            </w:r>
          </w:p>
        </w:tc>
        <w:tc>
          <w:tcPr>
            <w:tcW w:w="280" w:type="dxa"/>
            <w:vAlign w:val="bottom"/>
          </w:tcPr>
          <w:p>
            <w:pPr>
              <w:spacing w:after="0"/>
              <w:rPr>
                <w:sz w:val="24"/>
                <w:szCs w:val="24"/>
                <w:color w:val="auto"/>
              </w:rPr>
            </w:pPr>
          </w:p>
        </w:tc>
        <w:tc>
          <w:tcPr>
            <w:tcW w:w="638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10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66"/>
        </w:trPr>
        <w:tc>
          <w:tcPr>
            <w:tcW w:w="480" w:type="dxa"/>
            <w:vAlign w:val="bottom"/>
            <w:gridSpan w:val="2"/>
          </w:tcPr>
          <w:p>
            <w:pPr>
              <w:spacing w:after="0"/>
              <w:rPr>
                <w:sz w:val="20"/>
                <w:szCs w:val="20"/>
                <w:color w:val="auto"/>
              </w:rPr>
            </w:pPr>
            <w:r>
              <w:rPr>
                <w:rFonts w:ascii="Arial" w:cs="Arial" w:eastAsia="Arial" w:hAnsi="Arial"/>
                <w:sz w:val="16"/>
                <w:szCs w:val="16"/>
                <w:color w:val="0000EE"/>
              </w:rPr>
              <w:t>Item 3</w:t>
            </w:r>
          </w:p>
        </w:tc>
        <w:tc>
          <w:tcPr>
            <w:tcW w:w="360" w:type="dxa"/>
            <w:vAlign w:val="bottom"/>
            <w:gridSpan w:val="3"/>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66"/>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20" w:type="dxa"/>
            <w:vAlign w:val="bottom"/>
            <w:tcBorders>
              <w:top w:val="single" w:sz="8" w:color="0000EE"/>
            </w:tcBorders>
          </w:tcPr>
          <w:p>
            <w:pPr>
              <w:spacing w:after="0"/>
              <w:rPr>
                <w:sz w:val="24"/>
                <w:szCs w:val="24"/>
                <w:color w:val="auto"/>
              </w:rPr>
            </w:pPr>
          </w:p>
        </w:tc>
        <w:tc>
          <w:tcPr>
            <w:tcW w:w="360" w:type="dxa"/>
            <w:vAlign w:val="bottom"/>
            <w:gridSpan w:val="3"/>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0000EE"/>
              </w:rPr>
              <w:t>Controls and Procedures</w:t>
            </w:r>
          </w:p>
        </w:tc>
        <w:tc>
          <w:tcPr>
            <w:tcW w:w="2440" w:type="dxa"/>
            <w:vAlign w:val="bottom"/>
            <w:tcBorders>
              <w:top w:val="single" w:sz="8" w:color="0000EE"/>
            </w:tcBorders>
            <w:gridSpan w:val="10"/>
          </w:tcPr>
          <w:p>
            <w:pPr>
              <w:spacing w:after="0"/>
              <w:rPr>
                <w:sz w:val="24"/>
                <w:szCs w:val="24"/>
                <w:color w:val="auto"/>
              </w:rPr>
            </w:pPr>
          </w:p>
        </w:tc>
        <w:tc>
          <w:tcPr>
            <w:tcW w:w="318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66"/>
        </w:trPr>
        <w:tc>
          <w:tcPr>
            <w:tcW w:w="56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6"/>
              </w:rPr>
              <w:t>PART II</w:t>
            </w:r>
          </w:p>
        </w:tc>
        <w:tc>
          <w:tcPr>
            <w:tcW w:w="28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9"/>
              </w:rPr>
              <w:t>OTHER INFORMATION</w:t>
            </w:r>
          </w:p>
        </w:tc>
        <w:tc>
          <w:tcPr>
            <w:tcW w:w="5680" w:type="dxa"/>
            <w:vAlign w:val="bottom"/>
            <w:gridSpan w:val="18"/>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80" w:type="dxa"/>
            <w:vAlign w:val="bottom"/>
            <w:gridSpan w:val="2"/>
          </w:tcPr>
          <w:p>
            <w:pPr>
              <w:spacing w:after="0"/>
              <w:rPr>
                <w:sz w:val="20"/>
                <w:szCs w:val="20"/>
                <w:color w:val="auto"/>
              </w:rPr>
            </w:pPr>
            <w:r>
              <w:rPr>
                <w:rFonts w:ascii="Arial" w:cs="Arial" w:eastAsia="Arial" w:hAnsi="Arial"/>
                <w:sz w:val="16"/>
                <w:szCs w:val="16"/>
                <w:color w:val="0000EE"/>
              </w:rPr>
              <w:t>Item 1</w:t>
            </w:r>
          </w:p>
        </w:tc>
        <w:tc>
          <w:tcPr>
            <w:tcW w:w="360" w:type="dxa"/>
            <w:vAlign w:val="bottom"/>
            <w:gridSpan w:val="3"/>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Legal Proceedings</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40" w:type="dxa"/>
            <w:vAlign w:val="bottom"/>
            <w:gridSpan w:val="5"/>
          </w:tcPr>
          <w:p>
            <w:pPr>
              <w:spacing w:after="0"/>
              <w:rPr>
                <w:sz w:val="20"/>
                <w:szCs w:val="20"/>
                <w:color w:val="auto"/>
              </w:rPr>
            </w:pPr>
            <w:r>
              <w:rPr>
                <w:rFonts w:ascii="Arial" w:cs="Arial" w:eastAsia="Arial" w:hAnsi="Arial"/>
                <w:sz w:val="16"/>
                <w:szCs w:val="16"/>
                <w:color w:val="0000EE"/>
              </w:rPr>
              <w:t>Item 1A</w:t>
            </w:r>
          </w:p>
        </w:tc>
        <w:tc>
          <w:tcPr>
            <w:tcW w:w="7420" w:type="dxa"/>
            <w:vAlign w:val="bottom"/>
            <w:gridSpan w:val="24"/>
          </w:tcPr>
          <w:p>
            <w:pPr>
              <w:spacing w:after="0"/>
              <w:rPr>
                <w:sz w:val="20"/>
                <w:szCs w:val="20"/>
                <w:color w:val="auto"/>
              </w:rPr>
            </w:pPr>
            <w:r>
              <w:rPr>
                <w:rFonts w:ascii="Arial" w:cs="Arial" w:eastAsia="Arial" w:hAnsi="Arial"/>
                <w:sz w:val="16"/>
                <w:szCs w:val="16"/>
                <w:color w:val="0000EE"/>
              </w:rPr>
              <w:t>Risk Factors</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rPr>
              <w:t>Item 2</w:t>
            </w:r>
          </w:p>
        </w:tc>
        <w:tc>
          <w:tcPr>
            <w:tcW w:w="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438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rPr>
              <w:t>Unregistered Sales of Equity Securities and Use of Proceeds</w:t>
            </w:r>
          </w:p>
        </w:tc>
        <w:tc>
          <w:tcPr>
            <w:tcW w:w="304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66"/>
        </w:trPr>
        <w:tc>
          <w:tcPr>
            <w:tcW w:w="480" w:type="dxa"/>
            <w:vAlign w:val="bottom"/>
            <w:gridSpan w:val="2"/>
          </w:tcPr>
          <w:p>
            <w:pPr>
              <w:spacing w:after="0"/>
              <w:rPr>
                <w:sz w:val="20"/>
                <w:szCs w:val="20"/>
                <w:color w:val="auto"/>
              </w:rPr>
            </w:pPr>
            <w:r>
              <w:rPr>
                <w:rFonts w:ascii="Arial" w:cs="Arial" w:eastAsia="Arial" w:hAnsi="Arial"/>
                <w:sz w:val="16"/>
                <w:szCs w:val="16"/>
                <w:color w:val="0000EE"/>
              </w:rPr>
              <w:t>Item 3</w:t>
            </w:r>
          </w:p>
        </w:tc>
        <w:tc>
          <w:tcPr>
            <w:tcW w:w="360" w:type="dxa"/>
            <w:vAlign w:val="bottom"/>
            <w:gridSpan w:val="3"/>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Defaults Upon Senior Securities</w:t>
            </w: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66"/>
        </w:trPr>
        <w:tc>
          <w:tcPr>
            <w:tcW w:w="48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0000EE"/>
              </w:rPr>
              <w:t>Item 4</w:t>
            </w:r>
          </w:p>
        </w:tc>
        <w:tc>
          <w:tcPr>
            <w:tcW w:w="360" w:type="dxa"/>
            <w:vAlign w:val="bottom"/>
            <w:gridSpan w:val="3"/>
          </w:tcPr>
          <w:p>
            <w:pPr>
              <w:spacing w:after="0"/>
              <w:rPr>
                <w:sz w:val="24"/>
                <w:szCs w:val="24"/>
                <w:color w:val="auto"/>
              </w:rPr>
            </w:pPr>
          </w:p>
        </w:tc>
        <w:tc>
          <w:tcPr>
            <w:tcW w:w="2300" w:type="dxa"/>
            <w:vAlign w:val="bottom"/>
            <w:tcBorders>
              <w:top w:val="single" w:sz="8" w:color="0000EE"/>
            </w:tcBorders>
            <w:gridSpan w:val="9"/>
          </w:tcPr>
          <w:p>
            <w:pPr>
              <w:spacing w:after="0"/>
              <w:rPr>
                <w:sz w:val="20"/>
                <w:szCs w:val="20"/>
                <w:color w:val="auto"/>
              </w:rPr>
            </w:pPr>
            <w:r>
              <w:rPr>
                <w:rFonts w:ascii="Arial" w:cs="Arial" w:eastAsia="Arial" w:hAnsi="Arial"/>
                <w:sz w:val="16"/>
                <w:szCs w:val="16"/>
                <w:color w:val="0000EE"/>
              </w:rPr>
              <w:t>Mine Safety Disclosures</w:t>
            </w:r>
          </w:p>
        </w:tc>
        <w:tc>
          <w:tcPr>
            <w:tcW w:w="5120" w:type="dxa"/>
            <w:vAlign w:val="bottom"/>
            <w:gridSpan w:val="1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66"/>
        </w:trPr>
        <w:tc>
          <w:tcPr>
            <w:tcW w:w="48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0000EE"/>
              </w:rPr>
              <w:t>Item 5</w:t>
            </w:r>
          </w:p>
        </w:tc>
        <w:tc>
          <w:tcPr>
            <w:tcW w:w="360" w:type="dxa"/>
            <w:vAlign w:val="bottom"/>
            <w:gridSpan w:val="3"/>
          </w:tcPr>
          <w:p>
            <w:pPr>
              <w:spacing w:after="0"/>
              <w:rPr>
                <w:sz w:val="24"/>
                <w:szCs w:val="24"/>
                <w:color w:val="auto"/>
              </w:rPr>
            </w:pPr>
          </w:p>
        </w:tc>
        <w:tc>
          <w:tcPr>
            <w:tcW w:w="1740" w:type="dxa"/>
            <w:vAlign w:val="bottom"/>
            <w:tcBorders>
              <w:top w:val="single" w:sz="8" w:color="0000EE"/>
            </w:tcBorders>
            <w:gridSpan w:val="6"/>
          </w:tcPr>
          <w:p>
            <w:pPr>
              <w:spacing w:after="0"/>
              <w:rPr>
                <w:sz w:val="20"/>
                <w:szCs w:val="20"/>
                <w:color w:val="auto"/>
              </w:rPr>
            </w:pPr>
            <w:r>
              <w:rPr>
                <w:rFonts w:ascii="Arial" w:cs="Arial" w:eastAsia="Arial" w:hAnsi="Arial"/>
                <w:sz w:val="16"/>
                <w:szCs w:val="16"/>
                <w:color w:val="0000EE"/>
              </w:rPr>
              <w:t>Other Information</w:t>
            </w:r>
          </w:p>
        </w:tc>
        <w:tc>
          <w:tcPr>
            <w:tcW w:w="5680" w:type="dxa"/>
            <w:vAlign w:val="bottom"/>
            <w:gridSpan w:val="1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66"/>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6</w:t>
            </w:r>
          </w:p>
        </w:tc>
        <w:tc>
          <w:tcPr>
            <w:tcW w:w="20" w:type="dxa"/>
            <w:vAlign w:val="bottom"/>
            <w:tcBorders>
              <w:top w:val="single" w:sz="8" w:color="0000EE"/>
            </w:tcBorders>
          </w:tcPr>
          <w:p>
            <w:pPr>
              <w:spacing w:after="0"/>
              <w:rPr>
                <w:sz w:val="24"/>
                <w:szCs w:val="24"/>
                <w:color w:val="auto"/>
              </w:rPr>
            </w:pPr>
          </w:p>
        </w:tc>
        <w:tc>
          <w:tcPr>
            <w:tcW w:w="360" w:type="dxa"/>
            <w:vAlign w:val="bottom"/>
            <w:gridSpan w:val="3"/>
          </w:tcPr>
          <w:p>
            <w:pPr>
              <w:spacing w:after="0"/>
              <w:rPr>
                <w:sz w:val="24"/>
                <w:szCs w:val="24"/>
                <w:color w:val="auto"/>
              </w:rPr>
            </w:pPr>
          </w:p>
        </w:tc>
        <w:tc>
          <w:tcPr>
            <w:tcW w:w="5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9"/>
              </w:rPr>
              <w:t>Exhibits</w:t>
            </w:r>
          </w:p>
        </w:tc>
        <w:tc>
          <w:tcPr>
            <w:tcW w:w="680" w:type="dxa"/>
            <w:vAlign w:val="bottom"/>
            <w:tcBorders>
              <w:top w:val="single" w:sz="8" w:color="0000EE"/>
            </w:tcBorders>
            <w:gridSpan w:val="3"/>
          </w:tcPr>
          <w:p>
            <w:pPr>
              <w:spacing w:after="0"/>
              <w:rPr>
                <w:sz w:val="24"/>
                <w:szCs w:val="24"/>
                <w:color w:val="auto"/>
              </w:rPr>
            </w:pPr>
          </w:p>
        </w:tc>
        <w:tc>
          <w:tcPr>
            <w:tcW w:w="6160" w:type="dxa"/>
            <w:vAlign w:val="bottom"/>
            <w:gridSpan w:val="2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66"/>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6"/>
                <w:szCs w:val="16"/>
                <w:color w:val="0000EE"/>
              </w:rPr>
              <w:t>SIGNATURES</w:t>
            </w: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Citi Trends, Inc.</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(Unaudited)</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May 4,</w:t>
            </w:r>
          </w:p>
        </w:tc>
        <w:tc>
          <w:tcPr>
            <w:tcW w:w="11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February 3,</w:t>
            </w:r>
          </w:p>
        </w:tc>
      </w:tr>
      <w:tr>
        <w:trPr>
          <w:trHeight w:val="171"/>
        </w:trPr>
        <w:tc>
          <w:tcPr>
            <w:tcW w:w="6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CEEFF"/>
            </w:tcBorders>
          </w:tcPr>
          <w:p>
            <w:pPr>
              <w:spacing w:after="0"/>
              <w:rPr>
                <w:sz w:val="14"/>
                <w:szCs w:val="14"/>
                <w:color w:val="auto"/>
              </w:rPr>
            </w:pPr>
          </w:p>
        </w:tc>
      </w:tr>
      <w:tr>
        <w:trPr>
          <w:trHeight w:val="196"/>
        </w:trPr>
        <w:tc>
          <w:tcPr>
            <w:tcW w:w="6820" w:type="dxa"/>
            <w:vAlign w:val="bottom"/>
            <w:shd w:val="clear" w:color="auto" w:fill="CCEEFF"/>
          </w:tcPr>
          <w:p>
            <w:pPr>
              <w:ind w:left="3040"/>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58,169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79,706</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119,014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130,432</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and other current assets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10,838</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 receivable</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4,123</w:t>
            </w:r>
          </w:p>
        </w:tc>
        <w:tc>
          <w:tcPr>
            <w:tcW w:w="280" w:type="dxa"/>
            <w:vAlign w:val="bottom"/>
            <w:tcBorders>
              <w:bottom w:val="single" w:sz="8" w:color="CCEEFF"/>
            </w:tcBorders>
          </w:tcPr>
          <w:p>
            <w:pPr>
              <w:spacing w:after="0"/>
              <w:rPr>
                <w:sz w:val="17"/>
                <w:szCs w:val="17"/>
                <w:color w:val="auto"/>
              </w:rPr>
            </w:pPr>
          </w:p>
        </w:tc>
      </w:tr>
      <w:tr>
        <w:trPr>
          <w:trHeight w:val="183"/>
        </w:trPr>
        <w:tc>
          <w:tcPr>
            <w:tcW w:w="682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194,998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225,099</w:t>
            </w:r>
          </w:p>
        </w:tc>
        <w:tc>
          <w:tcPr>
            <w:tcW w:w="280" w:type="dxa"/>
            <w:vAlign w:val="bottom"/>
            <w:shd w:val="clear" w:color="auto" w:fill="CCEEFF"/>
          </w:tcPr>
          <w:p>
            <w:pPr>
              <w:spacing w:after="0"/>
              <w:rPr>
                <w:sz w:val="15"/>
                <w:szCs w:val="15"/>
                <w:color w:val="auto"/>
              </w:rPr>
            </w:pPr>
          </w:p>
        </w:tc>
      </w:tr>
      <w:tr>
        <w:trPr>
          <w:trHeight w:val="175"/>
        </w:trPr>
        <w:tc>
          <w:tcPr>
            <w:tcW w:w="6820" w:type="dxa"/>
            <w:vAlign w:val="bottom"/>
          </w:tcPr>
          <w:p>
            <w:pPr>
              <w:ind w:left="220"/>
              <w:spacing w:after="0" w:line="175" w:lineRule="exact"/>
              <w:rPr>
                <w:sz w:val="20"/>
                <w:szCs w:val="20"/>
                <w:color w:val="auto"/>
              </w:rPr>
            </w:pPr>
            <w:r>
              <w:rPr>
                <w:rFonts w:ascii="Arial" w:cs="Arial" w:eastAsia="Arial" w:hAnsi="Arial"/>
                <w:sz w:val="16"/>
                <w:szCs w:val="16"/>
                <w:color w:val="auto"/>
              </w:rPr>
              <w:t>Property and equipment, net of accumulated depreciation of $288,437 and $276,446 as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of May 4, 2024 and February 3, 2024, respectively</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53,352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56,231</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226,918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231,281</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5,105</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280" w:type="dxa"/>
            <w:vAlign w:val="bottom"/>
            <w:shd w:val="clear" w:color="auto" w:fill="CCEEFF"/>
          </w:tcPr>
          <w:p>
            <w:pPr>
              <w:spacing w:after="0"/>
              <w:rPr>
                <w:sz w:val="17"/>
                <w:szCs w:val="17"/>
                <w:color w:val="auto"/>
              </w:rPr>
            </w:pPr>
          </w:p>
        </w:tc>
      </w:tr>
      <w:tr>
        <w:trPr>
          <w:trHeight w:val="223"/>
        </w:trPr>
        <w:tc>
          <w:tcPr>
            <w:tcW w:w="682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484,102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518,721</w:t>
            </w:r>
          </w:p>
        </w:tc>
        <w:tc>
          <w:tcPr>
            <w:tcW w:w="280" w:type="dxa"/>
            <w:vAlign w:val="bottom"/>
            <w:tcBorders>
              <w:bottom w:val="single" w:sz="8" w:color="CCEEFF"/>
            </w:tcBorders>
          </w:tcPr>
          <w:p>
            <w:pPr>
              <w:spacing w:after="0"/>
              <w:rPr>
                <w:sz w:val="19"/>
                <w:szCs w:val="19"/>
                <w:color w:val="auto"/>
              </w:rPr>
            </w:pPr>
          </w:p>
        </w:tc>
      </w:tr>
      <w:tr>
        <w:trPr>
          <w:trHeight w:val="170"/>
        </w:trPr>
        <w:tc>
          <w:tcPr>
            <w:tcW w:w="6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03"/>
        </w:trPr>
        <w:tc>
          <w:tcPr>
            <w:tcW w:w="6820" w:type="dxa"/>
            <w:vAlign w:val="bottom"/>
          </w:tcPr>
          <w:p>
            <w:pPr>
              <w:ind w:left="196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72,269</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100,366</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45,842</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15,191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16,466</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6,846</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Layaway deposits</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280" w:type="dxa"/>
            <w:vAlign w:val="bottom"/>
            <w:tcBorders>
              <w:bottom w:val="single" w:sz="8" w:color="CCEEFF"/>
            </w:tcBorders>
          </w:tcPr>
          <w:p>
            <w:pPr>
              <w:spacing w:after="0"/>
              <w:rPr>
                <w:sz w:val="17"/>
                <w:szCs w:val="17"/>
                <w:color w:val="auto"/>
              </w:rPr>
            </w:pPr>
          </w:p>
        </w:tc>
      </w:tr>
      <w:tr>
        <w:trPr>
          <w:trHeight w:val="183"/>
        </w:trPr>
        <w:tc>
          <w:tcPr>
            <w:tcW w:w="682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142,976</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169,904</w:t>
            </w:r>
          </w:p>
        </w:tc>
        <w:tc>
          <w:tcPr>
            <w:tcW w:w="280" w:type="dxa"/>
            <w:vAlign w:val="bottom"/>
            <w:shd w:val="clear" w:color="auto" w:fill="CCEEFF"/>
          </w:tcPr>
          <w:p>
            <w:pPr>
              <w:spacing w:after="0"/>
              <w:rPr>
                <w:sz w:val="15"/>
                <w:szCs w:val="15"/>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184,463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188,810</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280" w:type="dxa"/>
            <w:vAlign w:val="bottom"/>
            <w:shd w:val="clear" w:color="auto" w:fill="CCEEFF"/>
          </w:tcPr>
          <w:p>
            <w:pPr>
              <w:spacing w:after="0"/>
              <w:rPr>
                <w:sz w:val="17"/>
                <w:szCs w:val="17"/>
                <w:color w:val="auto"/>
              </w:rPr>
            </w:pPr>
          </w:p>
        </w:tc>
      </w:tr>
      <w:tr>
        <w:trPr>
          <w:trHeight w:val="183"/>
        </w:trPr>
        <w:tc>
          <w:tcPr>
            <w:tcW w:w="682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329,270</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361,015</w:t>
            </w:r>
          </w:p>
        </w:tc>
        <w:tc>
          <w:tcPr>
            <w:tcW w:w="280" w:type="dxa"/>
            <w:vAlign w:val="bottom"/>
            <w:tcBorders>
              <w:bottom w:val="single" w:sz="8" w:color="CCEEFF"/>
            </w:tcBorders>
          </w:tcPr>
          <w:p>
            <w:pPr>
              <w:spacing w:after="0"/>
              <w:rPr>
                <w:sz w:val="15"/>
                <w:szCs w:val="15"/>
                <w:color w:val="auto"/>
              </w:rPr>
            </w:pPr>
          </w:p>
        </w:tc>
      </w:tr>
      <w:tr>
        <w:trPr>
          <w:trHeight w:val="183"/>
        </w:trPr>
        <w:tc>
          <w:tcPr>
            <w:tcW w:w="6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75"/>
        </w:trPr>
        <w:tc>
          <w:tcPr>
            <w:tcW w:w="682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Common stock, $0.01 par value. Authorized 32,000,000 shares; 16,340,729 shares</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18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issued as of May 4, 2024 and 16,354,714 shares issued as of February 3, 2024;</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8,536,716 shares outstanding as of May 4, 2024 and 8,550,701 shares outstanding as of</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February 3, 2024</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Paid in capital</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106,237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105,686</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315,645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319,071</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Treasury stock, at cost; 7,804,013 shares held as of May 4, 2024 and February 3, 2024</w:t>
            </w: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(267,211)</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(267,211)</w:t>
            </w:r>
          </w:p>
        </w:tc>
      </w:tr>
      <w:tr>
        <w:trPr>
          <w:trHeight w:val="183"/>
        </w:trPr>
        <w:tc>
          <w:tcPr>
            <w:tcW w:w="6820" w:type="dxa"/>
            <w:vAlign w:val="bottom"/>
            <w:tcBorders>
              <w:top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154,832</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157,706</w:t>
            </w:r>
          </w:p>
        </w:tc>
        <w:tc>
          <w:tcPr>
            <w:tcW w:w="280" w:type="dxa"/>
            <w:vAlign w:val="bottom"/>
            <w:tcBorders>
              <w:top w:val="single" w:sz="8" w:color="CCEEFF"/>
            </w:tcBorders>
            <w:shd w:val="clear" w:color="auto" w:fill="CCEEFF"/>
          </w:tcPr>
          <w:p>
            <w:pPr>
              <w:spacing w:after="0"/>
              <w:rPr>
                <w:sz w:val="15"/>
                <w:szCs w:val="15"/>
                <w:color w:val="auto"/>
              </w:rPr>
            </w:pPr>
          </w:p>
        </w:tc>
      </w:tr>
      <w:tr>
        <w:trPr>
          <w:trHeight w:val="183"/>
        </w:trPr>
        <w:tc>
          <w:tcPr>
            <w:tcW w:w="6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6)</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484,102</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518,721</w:t>
            </w:r>
          </w:p>
        </w:tc>
        <w:tc>
          <w:tcPr>
            <w:tcW w:w="280" w:type="dxa"/>
            <w:vAlign w:val="bottom"/>
          </w:tcPr>
          <w:p>
            <w:pPr>
              <w:spacing w:after="0"/>
              <w:rPr>
                <w:sz w:val="16"/>
                <w:szCs w:val="16"/>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Citi Trends, Inc.</w:t>
      </w:r>
    </w:p>
    <w:p>
      <w:pPr>
        <w:spacing w:after="0" w:line="39"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ind w:left="8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80"/>
              <w:spacing w:after="0" w:line="147" w:lineRule="exact"/>
              <w:rPr>
                <w:sz w:val="20"/>
                <w:szCs w:val="20"/>
                <w:color w:val="auto"/>
              </w:rPr>
            </w:pPr>
            <w:r>
              <w:rPr>
                <w:rFonts w:ascii="Arial" w:cs="Arial" w:eastAsia="Arial" w:hAnsi="Arial"/>
                <w:sz w:val="14"/>
                <w:szCs w:val="14"/>
                <w:b w:val="1"/>
                <w:bCs w:val="1"/>
                <w:color w:val="auto"/>
              </w:rPr>
              <w:t>May 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00"/>
              <w:spacing w:after="0" w:line="147" w:lineRule="exact"/>
              <w:rPr>
                <w:sz w:val="20"/>
                <w:szCs w:val="20"/>
                <w:color w:val="auto"/>
              </w:rPr>
            </w:pPr>
            <w:r>
              <w:rPr>
                <w:rFonts w:ascii="Arial" w:cs="Arial" w:eastAsia="Arial" w:hAnsi="Arial"/>
                <w:sz w:val="14"/>
                <w:szCs w:val="14"/>
                <w:b w:val="1"/>
                <w:bCs w:val="1"/>
                <w:color w:val="auto"/>
              </w:rPr>
              <w:t>April 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17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186,289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179,688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(114,254)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(74,211)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(70,807)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17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Pr>
          <w:p>
            <w:pPr>
              <w:ind w:left="320"/>
              <w:spacing w:after="0" w:line="183" w:lineRule="exact"/>
              <w:rPr>
                <w:sz w:val="20"/>
                <w:szCs w:val="20"/>
                <w:color w:val="auto"/>
              </w:rPr>
            </w:pPr>
            <w:r>
              <w:rPr>
                <w:rFonts w:ascii="Arial" w:cs="Arial" w:eastAsia="Arial" w:hAnsi="Arial"/>
                <w:sz w:val="16"/>
                <w:szCs w:val="16"/>
                <w:color w:val="auto"/>
              </w:rPr>
              <w:t>Loss from operations</w:t>
            </w: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(6,969)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(9,459)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w:t>
            </w:r>
          </w:p>
        </w:tc>
        <w:tc>
          <w:tcPr>
            <w:tcW w:w="17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Loss before income taxes</w:t>
            </w:r>
          </w:p>
        </w:tc>
        <w:tc>
          <w:tcPr>
            <w:tcW w:w="1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(6,199)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(8,511)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benefit</w:t>
            </w:r>
          </w:p>
        </w:tc>
        <w:tc>
          <w:tcPr>
            <w:tcW w:w="17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loss</w:t>
            </w:r>
          </w:p>
        </w:tc>
        <w:tc>
          <w:tcPr>
            <w:tcW w:w="17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(3,426)</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(6,635)</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Basic net loss per common share</w:t>
            </w:r>
          </w:p>
        </w:tc>
        <w:tc>
          <w:tcPr>
            <w:tcW w:w="19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6"/>
                <w:szCs w:val="16"/>
                <w:color w:val="auto"/>
              </w:rPr>
              <w:t>Diluted net loss per common share</w:t>
            </w:r>
          </w:p>
        </w:tc>
        <w:tc>
          <w:tcPr>
            <w:tcW w:w="17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gridSpan w:val="2"/>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(0.42)</w:t>
            </w:r>
          </w:p>
        </w:tc>
        <w:tc>
          <w:tcPr>
            <w:tcW w:w="16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24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Weighted average number of shares outstanding</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1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8,253</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8,182</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8,253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8,182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Citi Trends, Inc.</w:t>
      </w:r>
    </w:p>
    <w:p>
      <w:pPr>
        <w:spacing w:after="0" w:line="39"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8"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80"/>
              <w:spacing w:after="0" w:line="147" w:lineRule="exact"/>
              <w:rPr>
                <w:sz w:val="20"/>
                <w:szCs w:val="20"/>
                <w:color w:val="auto"/>
              </w:rPr>
            </w:pPr>
            <w:r>
              <w:rPr>
                <w:rFonts w:ascii="Arial" w:cs="Arial" w:eastAsia="Arial" w:hAnsi="Arial"/>
                <w:sz w:val="14"/>
                <w:szCs w:val="14"/>
                <w:b w:val="1"/>
                <w:bCs w:val="1"/>
                <w:color w:val="auto"/>
              </w:rPr>
              <w:t>May 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20"/>
              <w:spacing w:after="0" w:line="147" w:lineRule="exact"/>
              <w:rPr>
                <w:sz w:val="20"/>
                <w:szCs w:val="20"/>
                <w:color w:val="auto"/>
              </w:rPr>
            </w:pPr>
            <w:r>
              <w:rPr>
                <w:rFonts w:ascii="Arial" w:cs="Arial" w:eastAsia="Arial" w:hAnsi="Arial"/>
                <w:sz w:val="14"/>
                <w:szCs w:val="14"/>
                <w:b w:val="1"/>
                <w:bCs w:val="1"/>
                <w:color w:val="auto"/>
              </w:rPr>
              <w:t>April 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Net loss</w:t>
            </w:r>
          </w:p>
        </w:tc>
        <w:tc>
          <w:tcPr>
            <w:tcW w:w="62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(3,426)</w:t>
            </w: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4,793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operating lease costs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20"/>
              <w:spacing w:after="0"/>
              <w:rPr>
                <w:sz w:val="20"/>
                <w:szCs w:val="20"/>
                <w:color w:val="auto"/>
              </w:rPr>
            </w:pPr>
            <w:r>
              <w:rPr>
                <w:rFonts w:ascii="Arial" w:cs="Arial" w:eastAsia="Arial" w:hAnsi="Arial"/>
                <w:sz w:val="16"/>
                <w:szCs w:val="16"/>
                <w:color w:val="auto"/>
              </w:rPr>
              <w:t>Non-cash stock-based compensation expense</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420"/>
              <w:spacing w:after="0"/>
              <w:rPr>
                <w:sz w:val="20"/>
                <w:szCs w:val="20"/>
                <w:color w:val="auto"/>
              </w:rPr>
            </w:pPr>
            <w:r>
              <w:rPr>
                <w:rFonts w:ascii="Arial" w:cs="Arial" w:eastAsia="Arial" w:hAnsi="Arial"/>
                <w:sz w:val="16"/>
                <w:szCs w:val="16"/>
                <w:color w:val="auto"/>
              </w:rPr>
              <w:t>Inventory</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Prepaid and other current assets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420"/>
              <w:spacing w:after="0"/>
              <w:rPr>
                <w:sz w:val="20"/>
                <w:szCs w:val="20"/>
                <w:color w:val="auto"/>
              </w:rPr>
            </w:pPr>
            <w:r>
              <w:rPr>
                <w:rFonts w:ascii="Arial" w:cs="Arial" w:eastAsia="Arial" w:hAnsi="Arial"/>
                <w:sz w:val="16"/>
                <w:szCs w:val="16"/>
                <w:color w:val="auto"/>
              </w:rPr>
              <w:t>Accrued expenses and other long-term liabilities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(14,494)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compensation</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420"/>
              <w:spacing w:after="0"/>
              <w:rPr>
                <w:sz w:val="20"/>
                <w:szCs w:val="20"/>
                <w:color w:val="auto"/>
              </w:rPr>
            </w:pPr>
            <w:r>
              <w:rPr>
                <w:rFonts w:ascii="Arial" w:cs="Arial" w:eastAsia="Arial" w:hAnsi="Arial"/>
                <w:sz w:val="16"/>
                <w:szCs w:val="16"/>
                <w:color w:val="auto"/>
              </w:rPr>
              <w:t>Income tax receivable/payable</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Layaway deposits</w:t>
            </w:r>
          </w:p>
        </w:tc>
        <w:tc>
          <w:tcPr>
            <w:tcW w:w="4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used in operating activities</w:t>
            </w:r>
          </w:p>
        </w:tc>
        <w:tc>
          <w:tcPr>
            <w:tcW w:w="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(19,614)</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(13,055)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Investing activities:</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Purchases of property and equipment</w:t>
            </w:r>
          </w:p>
        </w:tc>
        <w:tc>
          <w:tcPr>
            <w:tcW w:w="4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shd w:val="clear" w:color="auto" w:fill="CCEEFF"/>
          </w:tcPr>
          <w:p>
            <w:pPr>
              <w:ind w:left="640"/>
              <w:spacing w:after="0" w:line="183" w:lineRule="exact"/>
              <w:rPr>
                <w:sz w:val="20"/>
                <w:szCs w:val="20"/>
                <w:color w:val="auto"/>
              </w:rPr>
            </w:pPr>
            <w:r>
              <w:rPr>
                <w:rFonts w:ascii="Arial" w:cs="Arial" w:eastAsia="Arial" w:hAnsi="Arial"/>
                <w:sz w:val="16"/>
                <w:szCs w:val="16"/>
                <w:color w:val="auto"/>
              </w:rPr>
              <w:t>Net cash used in investing activities</w:t>
            </w:r>
          </w:p>
        </w:tc>
        <w:tc>
          <w:tcPr>
            <w:tcW w:w="4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tcPr>
          <w:p>
            <w:pPr>
              <w:spacing w:after="0" w:line="183" w:lineRule="exact"/>
              <w:rPr>
                <w:sz w:val="20"/>
                <w:szCs w:val="20"/>
                <w:color w:val="auto"/>
              </w:rPr>
            </w:pPr>
            <w:r>
              <w:rPr>
                <w:rFonts w:ascii="Arial" w:cs="Arial" w:eastAsia="Arial" w:hAnsi="Arial"/>
                <w:sz w:val="16"/>
                <w:szCs w:val="16"/>
                <w:color w:val="auto"/>
              </w:rPr>
              <w:t>Financing activities:</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used to settle withholding taxes on the vesting of nonvested restricted stock</w:t>
            </w:r>
          </w:p>
        </w:tc>
        <w:tc>
          <w:tcPr>
            <w:tcW w:w="4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used in financing activities</w:t>
            </w:r>
          </w:p>
        </w:tc>
        <w:tc>
          <w:tcPr>
            <w:tcW w:w="4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shd w:val="clear" w:color="auto" w:fill="CCEEFF"/>
          </w:tcPr>
          <w:p>
            <w:pPr>
              <w:ind w:left="640"/>
              <w:spacing w:after="0" w:line="183" w:lineRule="exact"/>
              <w:rPr>
                <w:sz w:val="20"/>
                <w:szCs w:val="20"/>
                <w:color w:val="auto"/>
              </w:rPr>
            </w:pPr>
            <w:r>
              <w:rPr>
                <w:rFonts w:ascii="Arial" w:cs="Arial" w:eastAsia="Arial" w:hAnsi="Arial"/>
                <w:sz w:val="16"/>
                <w:szCs w:val="16"/>
                <w:color w:val="auto"/>
              </w:rPr>
              <w:t>Net decrease in cash and cash equivalents</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(21,537)</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(14,788)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Beginning of period</w:t>
            </w:r>
          </w:p>
        </w:tc>
        <w:tc>
          <w:tcPr>
            <w:tcW w:w="4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79,706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End of period</w:t>
            </w:r>
          </w:p>
        </w:tc>
        <w:tc>
          <w:tcPr>
            <w:tcW w:w="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58,169</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88,707</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Cash paid for interest</w:t>
            </w:r>
          </w:p>
        </w:tc>
        <w:tc>
          <w:tcPr>
            <w:tcW w:w="6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6"/>
                <w:szCs w:val="16"/>
                <w:color w:val="auto"/>
              </w:rPr>
              <w:t>Cash (refunds) payments of income taxes</w:t>
            </w: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(310)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1,213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Supplemental disclosures of non-cash investing activities: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tcPr>
          <w:p>
            <w:pPr>
              <w:ind w:left="640"/>
              <w:spacing w:after="0"/>
              <w:rPr>
                <w:sz w:val="20"/>
                <w:szCs w:val="20"/>
                <w:color w:val="auto"/>
              </w:rPr>
            </w:pPr>
            <w:r>
              <w:rPr>
                <w:rFonts w:ascii="Arial" w:cs="Arial" w:eastAsia="Arial" w:hAnsi="Arial"/>
                <w:sz w:val="16"/>
                <w:szCs w:val="16"/>
                <w:color w:val="auto"/>
              </w:rPr>
              <w:t>Accrual for purchases of property and equipment</w:t>
            </w:r>
          </w:p>
        </w:tc>
        <w:tc>
          <w:tcPr>
            <w:tcW w:w="62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338</w:t>
            </w:r>
          </w:p>
        </w:tc>
        <w:tc>
          <w:tcPr>
            <w:tcW w:w="18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Citi Trends, Inc.</w:t>
      </w:r>
    </w:p>
    <w:p>
      <w:pPr>
        <w:spacing w:after="0" w:line="39"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ind w:right="82"/>
              <w:spacing w:after="0"/>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14"/>
                <w:szCs w:val="14"/>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Retained</w:t>
            </w:r>
          </w:p>
        </w:tc>
        <w:tc>
          <w:tcPr>
            <w:tcW w:w="17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Treasury Stock</w:t>
            </w:r>
          </w:p>
        </w:tc>
        <w:tc>
          <w:tcPr>
            <w:tcW w:w="78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ind w:right="62"/>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820" w:type="dxa"/>
            <w:vAlign w:val="bottom"/>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183"/>
        </w:trPr>
        <w:tc>
          <w:tcPr>
            <w:tcW w:w="20" w:type="dxa"/>
            <w:vAlign w:val="bottom"/>
          </w:tcPr>
          <w:p>
            <w:pPr>
              <w:spacing w:after="0"/>
              <w:rPr>
                <w:sz w:val="15"/>
                <w:szCs w:val="15"/>
                <w:color w:val="auto"/>
              </w:rPr>
            </w:pPr>
          </w:p>
        </w:tc>
        <w:tc>
          <w:tcPr>
            <w:tcW w:w="340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Balances — February 3, 2024</w:t>
            </w: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16,354,714</w:t>
            </w: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$ 105,686</w:t>
            </w:r>
          </w:p>
        </w:tc>
        <w:tc>
          <w:tcPr>
            <w:tcW w:w="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$ 319,071</w:t>
            </w: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7,804,013</w:t>
            </w:r>
          </w:p>
        </w:tc>
        <w:tc>
          <w:tcPr>
            <w:tcW w:w="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 (267,211)$ 157,706</w:t>
            </w:r>
          </w:p>
        </w:tc>
      </w:tr>
      <w:tr>
        <w:trPr>
          <w:trHeight w:val="189"/>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Vesting of nonvested shares</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nonvested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(5,178)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2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r>
      <w:tr>
        <w:trPr>
          <w:trHeight w:val="189"/>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(11,618)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(333)</w:t>
            </w: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189"/>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(3,426)</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w:t>
            </w: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gridSpan w:val="2"/>
          </w:tcPr>
          <w:p>
            <w:pPr>
              <w:spacing w:after="0" w:line="183" w:lineRule="exact"/>
              <w:rPr>
                <w:sz w:val="20"/>
                <w:szCs w:val="20"/>
                <w:color w:val="auto"/>
              </w:rPr>
            </w:pPr>
            <w:r>
              <w:rPr>
                <w:rFonts w:ascii="Arial" w:cs="Arial" w:eastAsia="Arial" w:hAnsi="Arial"/>
                <w:sz w:val="16"/>
                <w:szCs w:val="16"/>
                <w:color w:val="auto"/>
              </w:rPr>
              <w:t>Balances — May 4, 2024</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16,340,729</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161</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$ 106,237</w:t>
            </w: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$ 315,645</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7,804,013</w:t>
            </w:r>
          </w:p>
        </w:tc>
        <w:tc>
          <w:tcPr>
            <w:tcW w:w="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(267,211)</w:t>
            </w:r>
            <w:r>
              <w:rPr>
                <w:rFonts w:ascii="Arial" w:cs="Arial" w:eastAsia="Arial" w:hAnsi="Arial"/>
                <w:sz w:val="16"/>
                <w:szCs w:val="16"/>
                <w:color w:val="auto"/>
              </w:rPr>
              <w:t>$ 154,832</w:t>
            </w:r>
          </w:p>
        </w:tc>
      </w:tr>
      <w:tr>
        <w:trPr>
          <w:trHeight w:val="169"/>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40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ind w:right="82"/>
              <w:spacing w:after="0"/>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24"/>
                <w:szCs w:val="2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Retained</w:t>
            </w: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ind w:right="62"/>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820" w:type="dxa"/>
            <w:vAlign w:val="bottom"/>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183"/>
        </w:trPr>
        <w:tc>
          <w:tcPr>
            <w:tcW w:w="340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Balances — January 28, 2023</w:t>
            </w:r>
          </w:p>
        </w:tc>
        <w:tc>
          <w:tcPr>
            <w:tcW w:w="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16,158,494</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w:t>
            </w:r>
          </w:p>
        </w:tc>
        <w:tc>
          <w:tcPr>
            <w:tcW w:w="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$ 102,445</w:t>
            </w:r>
          </w:p>
        </w:tc>
        <w:tc>
          <w:tcPr>
            <w:tcW w:w="8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$ 331,050</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7,804,013</w:t>
            </w:r>
          </w:p>
        </w:tc>
        <w:tc>
          <w:tcPr>
            <w:tcW w:w="1660" w:type="dxa"/>
            <w:vAlign w:val="bottom"/>
            <w:tcBorders>
              <w:top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6"/>
                <w:szCs w:val="16"/>
                <w:color w:val="auto"/>
              </w:rPr>
              <w:t>$ (267,211)$ 166,444</w:t>
            </w:r>
          </w:p>
        </w:tc>
      </w:tr>
      <w:tr>
        <w:trPr>
          <w:trHeight w:val="189"/>
        </w:trPr>
        <w:tc>
          <w:tcPr>
            <w:tcW w:w="3420" w:type="dxa"/>
            <w:vAlign w:val="bottom"/>
            <w:gridSpan w:val="3"/>
          </w:tcPr>
          <w:p>
            <w:pPr>
              <w:spacing w:after="0"/>
              <w:rPr>
                <w:sz w:val="20"/>
                <w:szCs w:val="20"/>
                <w:color w:val="auto"/>
              </w:rPr>
            </w:pPr>
            <w:r>
              <w:rPr>
                <w:rFonts w:ascii="Arial" w:cs="Arial" w:eastAsia="Arial" w:hAnsi="Arial"/>
                <w:sz w:val="16"/>
                <w:szCs w:val="16"/>
                <w:color w:val="auto"/>
              </w:rPr>
              <w:t>Vesting of nonvested shares</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3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Issuance of nonvested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420" w:type="dxa"/>
            <w:vAlign w:val="bottom"/>
            <w:gridSpan w:val="3"/>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(9,647)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2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189"/>
        </w:trPr>
        <w:tc>
          <w:tcPr>
            <w:tcW w:w="3420" w:type="dxa"/>
            <w:vAlign w:val="bottom"/>
            <w:gridSpan w:val="3"/>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(33,432)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(782)</w:t>
            </w:r>
          </w:p>
        </w:tc>
        <w:tc>
          <w:tcPr>
            <w:tcW w:w="20" w:type="dxa"/>
            <w:vAlign w:val="bottom"/>
          </w:tcPr>
          <w:p>
            <w:pPr>
              <w:spacing w:after="0"/>
              <w:rPr>
                <w:sz w:val="16"/>
                <w:szCs w:val="16"/>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189"/>
        </w:trPr>
        <w:tc>
          <w:tcPr>
            <w:tcW w:w="3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(6,635)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(6,635)</w:t>
            </w:r>
          </w:p>
        </w:tc>
      </w:tr>
      <w:tr>
        <w:trPr>
          <w:trHeight w:val="183"/>
        </w:trPr>
        <w:tc>
          <w:tcPr>
            <w:tcW w:w="3400" w:type="dxa"/>
            <w:vAlign w:val="bottom"/>
            <w:gridSpan w:val="2"/>
          </w:tcPr>
          <w:p>
            <w:pPr>
              <w:spacing w:after="0" w:line="183" w:lineRule="exact"/>
              <w:rPr>
                <w:sz w:val="20"/>
                <w:szCs w:val="20"/>
                <w:color w:val="auto"/>
              </w:rPr>
            </w:pPr>
            <w:r>
              <w:rPr>
                <w:rFonts w:ascii="Arial" w:cs="Arial" w:eastAsia="Arial" w:hAnsi="Arial"/>
                <w:sz w:val="16"/>
                <w:szCs w:val="16"/>
                <w:color w:val="auto"/>
              </w:rPr>
              <w:t>Balances — April 29, 2023</w:t>
            </w:r>
          </w:p>
        </w:tc>
        <w:tc>
          <w:tcPr>
            <w:tcW w:w="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16,116,915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160</w:t>
            </w:r>
          </w:p>
        </w:tc>
        <w:tc>
          <w:tcPr>
            <w:tcW w:w="4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$ 102,598</w:t>
            </w:r>
          </w:p>
        </w:tc>
        <w:tc>
          <w:tcPr>
            <w:tcW w:w="8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$ 324,415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7,804,013</w:t>
            </w:r>
          </w:p>
        </w:tc>
        <w:tc>
          <w:tcPr>
            <w:tcW w:w="1660" w:type="dxa"/>
            <w:vAlign w:val="bottom"/>
            <w:tcBorders>
              <w:top w:val="single" w:sz="8" w:color="auto"/>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(267,211)</w:t>
            </w:r>
            <w:r>
              <w:rPr>
                <w:rFonts w:ascii="Arial" w:cs="Arial" w:eastAsia="Arial" w:hAnsi="Arial"/>
                <w:sz w:val="16"/>
                <w:szCs w:val="16"/>
                <w:color w:val="auto"/>
              </w:rPr>
              <w:t>$ 159,962</w:t>
            </w: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Citi Trends, Inc.</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Notes to the Condensed Consolidated Financial Statements (unaudited)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May 4, 2024</w:t>
      </w:r>
    </w:p>
    <w:p>
      <w:pPr>
        <w:spacing w:after="0" w:line="219" w:lineRule="exact"/>
        <w:rPr>
          <w:sz w:val="20"/>
          <w:szCs w:val="20"/>
          <w:color w:val="auto"/>
        </w:rPr>
      </w:pPr>
    </w:p>
    <w:p>
      <w:pPr>
        <w:ind w:left="180" w:hanging="175"/>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3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Citi Trends, Inc. and its subsidiary (the “Company”) is a leading specialty value retailer of apparel, accessories and home trends for way less spend primarily for African American and multicultural families. As of May 4, 2024, the Company operated 599 stores in urban, suburban and rural markets in 33 states.</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February 3, 2024 is derived from the audited financial statements in the Company’s Annual Report on Form 10-K for the fiscal year ended February 3, 2024 (the “2023 Form 10-K”). These condensed consolidated financial statements should be read in conjunction with the audited consolidated financial statements and notes thereto included in the 2023 Form 10-K. Operating results for the first quarter of 2024 are not necessarily indicative of the results that may be expected for the fiscal year as a result of the seasonality of the business and the current economic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3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following contains references to fiscal years 2024 and 2023, which represent fiscal years ending or ended on February 1, 2025 and February 3, 2024, respectively. Fiscal 2024 has a 52-week accounting period, and fiscal 2023 had a 53-week accounting period.</w:t>
      </w:r>
    </w:p>
    <w:p>
      <w:pPr>
        <w:spacing w:after="0" w:line="185" w:lineRule="exact"/>
        <w:rPr>
          <w:sz w:val="20"/>
          <w:szCs w:val="20"/>
          <w:color w:val="auto"/>
        </w:rPr>
      </w:pPr>
    </w:p>
    <w:p>
      <w:pPr>
        <w:ind w:left="180" w:hanging="175"/>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Cash and Cash Equivalents/Concentration of Credit Risk</w:t>
      </w:r>
    </w:p>
    <w:p>
      <w:pPr>
        <w:spacing w:after="0" w:line="289"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247" w:lineRule="exact"/>
        <w:rPr>
          <w:sz w:val="20"/>
          <w:szCs w:val="20"/>
          <w:color w:val="auto"/>
        </w:rPr>
      </w:pPr>
    </w:p>
    <w:p>
      <w:pPr>
        <w:ind w:left="180" w:hanging="175"/>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p>
    <w:p>
      <w:pPr>
        <w:spacing w:after="0" w:line="23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as assumed proceeds the amount of compensation cost attributed to future services and not yet recognized. For the first quarter of 2024 and 2023, there were 272,000 and 102,000 shares of nonvested restricted stock, respectively, excluded from the calculation of diluted earnings per share because of antidilution.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provides the weighted average number of common shares outstanding used to calculate basic earnings per share to the number of common shares and common stock equivalents outstanding used in calculating diluted earnings per share: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4, 2024</w:t>
            </w:r>
          </w:p>
        </w:tc>
        <w:tc>
          <w:tcPr>
            <w:tcW w:w="1100" w:type="dxa"/>
            <w:vAlign w:val="bottom"/>
          </w:tcPr>
          <w:p>
            <w:pPr>
              <w:jc w:val="right"/>
              <w:ind w:right="1"/>
              <w:spacing w:after="0"/>
              <w:rPr>
                <w:sz w:val="20"/>
                <w:szCs w:val="20"/>
                <w:color w:val="auto"/>
              </w:rPr>
            </w:pPr>
            <w:r>
              <w:rPr>
                <w:rFonts w:ascii="Arial" w:cs="Arial" w:eastAsia="Arial" w:hAnsi="Arial"/>
                <w:sz w:val="14"/>
                <w:szCs w:val="14"/>
                <w:b w:val="1"/>
                <w:bCs w:val="1"/>
                <w:color w:val="auto"/>
              </w:rPr>
              <w:t>April 29,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 (basic)</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8,252,556</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8,182,231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8,252,556</w:t>
            </w:r>
          </w:p>
        </w:tc>
        <w:tc>
          <w:tcPr>
            <w:tcW w:w="2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8,182,231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w:t>
            </w: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Revolving Credit Facility</w:t>
      </w:r>
    </w:p>
    <w:p>
      <w:pPr>
        <w:spacing w:after="0" w:line="23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October 2011, the Company entered into a five-year, $50 million credit facility with Bank of America. The facility was amended in August 2015 and May 2020 to extend the maturity dates. The facility was further amended in April 2021 to modify terms and extend the maturity date to April 15, 2026. In May 2023, the facility was amended to replace the London Interbank Offered Rate (“LIBOR”) with the Secured Overnight Financing Rate (“SOFR”). 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 Borrowings under the credit facility bear interest (a) for SOFR Loans, at a rate equal to the SOFR Rate plus a SOFR adjustment equal to 0.10% plus either 1.25%,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1.50% or 1.75%, or (b) for Base Rate Loans, at a rate equal to the highest of (i) the prime rate, (ii) the Federal Funds Rate plus</w:t>
      </w:r>
    </w:p>
    <w:p>
      <w:pPr>
        <w:spacing w:after="0" w:line="5"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0.5% or (iii) the Eurodollar Rate plus 1.0%, plus, in each case either 0.25%, 0.50% or 0.75%, based in any such case on the average daily availability for borrowings under the facility.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As of May 4, 2024, the Company had no borrowings under the credit facility and $1.4 million of letters of credit outstanding.</w:t>
      </w:r>
    </w:p>
    <w:p>
      <w:pPr>
        <w:spacing w:after="0" w:line="235" w:lineRule="exact"/>
        <w:rPr>
          <w:sz w:val="20"/>
          <w:szCs w:val="20"/>
          <w:color w:val="auto"/>
        </w:rPr>
      </w:pPr>
    </w:p>
    <w:p>
      <w:pPr>
        <w:ind w:left="180" w:hanging="175"/>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Income Taxes</w:t>
      </w:r>
    </w:p>
    <w:p>
      <w:pPr>
        <w:spacing w:after="0" w:line="23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there is a change in tax rates, the Company would recognize the impact of such change in income in the period that includes the enactment date.</w:t>
      </w:r>
    </w:p>
    <w:p>
      <w:pPr>
        <w:spacing w:after="0" w:line="19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For the first quarter of 2024, the Company utilized the annual effective tax rate method to calculate income taxes. For the first quarter of 2023, the Company used the discrete effective tax rate method to determine its tax expense based upon interim period results. The Company determined that since small changes in estimated ordinary income would result in significant changes in the estimated annual effective tax rate, the annual effective tax rate method would not have provided a reliable estimate for the first quarter of 2023.</w:t>
      </w:r>
    </w:p>
    <w:p>
      <w:pPr>
        <w:spacing w:after="0" w:line="166" w:lineRule="exact"/>
        <w:rPr>
          <w:sz w:val="20"/>
          <w:szCs w:val="20"/>
          <w:color w:val="auto"/>
        </w:rPr>
      </w:pPr>
    </w:p>
    <w:p>
      <w:pPr>
        <w:ind w:left="180" w:hanging="175"/>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Commitments and Contingencies</w:t>
      </w:r>
    </w:p>
    <w:p>
      <w:pPr>
        <w:spacing w:after="0" w:line="23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hanging="175"/>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Stock Repurchases</w:t>
      </w:r>
    </w:p>
    <w:p>
      <w:pPr>
        <w:spacing w:after="0" w:line="23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Company periodically repurchases shares of its common stock under board-authorized repurchase programs. Such repurchases may be made in the open market, through block trades or through other negotiated transactions. There were no stock repurchases in the first quarter of fiscal 2024 or the first quarter of fiscal 2023.</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At May 4, 2024, $50.0 million remained available under the Company’s stock repurchase authorization.</w:t>
      </w:r>
    </w:p>
    <w:p>
      <w:pPr>
        <w:spacing w:after="0" w:line="235" w:lineRule="exact"/>
        <w:rPr>
          <w:sz w:val="20"/>
          <w:szCs w:val="20"/>
          <w:color w:val="auto"/>
        </w:rPr>
      </w:pPr>
    </w:p>
    <w:p>
      <w:pPr>
        <w:ind w:left="180" w:hanging="175"/>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Revenue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3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w:t>
      </w:r>
    </w:p>
    <w:p>
      <w:pPr>
        <w:spacing w:after="0" w:line="3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allows customers to return merchandise for up to 30 days after the date of sale. Expected refunds to customers are recorded based on estimated margin using historical return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w:t>
      </w:r>
    </w:p>
    <w:p>
      <w:pPr>
        <w:spacing w:after="0" w:line="2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9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the following table, the Company’s revenue from contracts with customers is disaggregated by “CITI” or major merchandise category. The percentage of net sales for each CITI with the merchandise assortment was approximately:</w:t>
      </w:r>
    </w:p>
    <w:p>
      <w:pPr>
        <w:spacing w:after="0" w:line="25"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Borders>
              <w:bottom w:val="single" w:sz="8" w:color="auto"/>
            </w:tcBorders>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May 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79"/>
              <w:spacing w:after="0" w:line="147" w:lineRule="exact"/>
              <w:rPr>
                <w:sz w:val="20"/>
                <w:szCs w:val="20"/>
                <w:color w:val="auto"/>
              </w:rPr>
            </w:pPr>
            <w:r>
              <w:rPr>
                <w:rFonts w:ascii="Arial" w:cs="Arial" w:eastAsia="Arial" w:hAnsi="Arial"/>
                <w:sz w:val="14"/>
                <w:szCs w:val="14"/>
                <w:b w:val="1"/>
                <w:bCs w:val="1"/>
                <w:color w:val="auto"/>
              </w:rPr>
              <w:t>April 29,</w:t>
            </w:r>
          </w:p>
        </w:tc>
      </w:tr>
      <w:tr>
        <w:trPr>
          <w:trHeight w:val="171"/>
        </w:trPr>
        <w:tc>
          <w:tcPr>
            <w:tcW w:w="5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r>
      <w:tr>
        <w:trPr>
          <w:trHeight w:val="183"/>
        </w:trPr>
        <w:tc>
          <w:tcPr>
            <w:tcW w:w="5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Ladies</w:t>
            </w:r>
          </w:p>
        </w:tc>
        <w:tc>
          <w:tcPr>
            <w:tcW w:w="680" w:type="dxa"/>
            <w:vAlign w:val="bottom"/>
            <w:shd w:val="clear" w:color="auto" w:fill="CCEEFF"/>
          </w:tcPr>
          <w:p>
            <w:pPr>
              <w:jc w:val="right"/>
              <w:ind w:right="2"/>
              <w:spacing w:after="0" w:line="183" w:lineRule="exact"/>
              <w:rPr>
                <w:sz w:val="20"/>
                <w:szCs w:val="20"/>
                <w:color w:val="auto"/>
              </w:rPr>
            </w:pPr>
            <w:r>
              <w:rPr>
                <w:rFonts w:ascii="Arial" w:cs="Arial" w:eastAsia="Arial" w:hAnsi="Arial"/>
                <w:sz w:val="16"/>
                <w:szCs w:val="16"/>
                <w:color w:val="auto"/>
              </w:rPr>
              <w:t>29</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29</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w:t>
            </w: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7"/>
                <w:szCs w:val="17"/>
                <w:color w:val="auto"/>
              </w:rPr>
              <w:t>Kids</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Accessories &amp; Beauty</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7"/>
                <w:szCs w:val="17"/>
                <w:color w:val="auto"/>
              </w:rPr>
              <w:t>Mens</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Home &amp; Lifestyle</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5"/>
        </w:trPr>
        <w:tc>
          <w:tcPr>
            <w:tcW w:w="5120" w:type="dxa"/>
            <w:vAlign w:val="bottom"/>
          </w:tcPr>
          <w:p>
            <w:pPr>
              <w:spacing w:after="0"/>
              <w:rPr>
                <w:sz w:val="20"/>
                <w:szCs w:val="20"/>
                <w:color w:val="auto"/>
              </w:rPr>
            </w:pPr>
            <w:r>
              <w:rPr>
                <w:rFonts w:ascii="Arial" w:cs="Arial" w:eastAsia="Arial" w:hAnsi="Arial"/>
                <w:sz w:val="17"/>
                <w:szCs w:val="17"/>
                <w:color w:val="auto"/>
              </w:rPr>
              <w:t>Footwear</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24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153" w:lineRule="exact"/>
        <w:rPr>
          <w:sz w:val="20"/>
          <w:szCs w:val="20"/>
          <w:color w:val="auto"/>
        </w:rPr>
      </w:pPr>
    </w:p>
    <w:p>
      <w:pPr>
        <w:ind w:left="180" w:hanging="175"/>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Leases</w:t>
      </w:r>
    </w:p>
    <w:p>
      <w:pPr>
        <w:spacing w:after="0" w:line="23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Company leases its retail store locations, distribution centers, and certain office space and equipment. Leases for store locations are typically for a term of five years with options to extend for one or more five-year periods.</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23"/>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May 4, 2024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9"/>
              </w:rPr>
              <w:t>April 29, 2023</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15,391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r>
      <w:tr>
        <w:trPr>
          <w:trHeight w:val="243"/>
        </w:trPr>
        <w:tc>
          <w:tcPr>
            <w:tcW w:w="820" w:type="dxa"/>
            <w:vAlign w:val="bottom"/>
          </w:tcPr>
          <w:p>
            <w:pPr>
              <w:spacing w:after="0"/>
              <w:rPr>
                <w:sz w:val="21"/>
                <w:szCs w:val="21"/>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Variable lease cost</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2,622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9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2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r>
      <w:tr>
        <w:trPr>
          <w:trHeight w:val="209"/>
        </w:trPr>
        <w:tc>
          <w:tcPr>
            <w:tcW w:w="8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Total lease cost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18,725</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19,044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7"/>
        </w:trPr>
        <w:tc>
          <w:tcPr>
            <w:tcW w:w="6560" w:type="dxa"/>
            <w:vAlign w:val="bottom"/>
            <w:gridSpan w:val="8"/>
          </w:tcPr>
          <w:p>
            <w:pPr>
              <w:jc w:val="right"/>
              <w:ind w:right="639"/>
              <w:spacing w:after="0"/>
              <w:rPr>
                <w:sz w:val="20"/>
                <w:szCs w:val="20"/>
                <w:color w:val="auto"/>
              </w:rPr>
            </w:pPr>
            <w:r>
              <w:rPr>
                <w:rFonts w:ascii="Arial" w:cs="Arial" w:eastAsia="Arial" w:hAnsi="Arial"/>
                <w:sz w:val="16"/>
                <w:szCs w:val="16"/>
                <w:color w:val="auto"/>
              </w:rPr>
              <w:t>Future minimum lease payments as of May 4, 2024 are as follows (in thousands):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2"/>
        </w:trPr>
        <w:tc>
          <w:tcPr>
            <w:tcW w:w="4460" w:type="dxa"/>
            <w:vAlign w:val="bottom"/>
            <w:gridSpan w:val="3"/>
          </w:tcPr>
          <w:p>
            <w:pPr>
              <w:ind w:left="800"/>
              <w:spacing w:after="0"/>
              <w:rPr>
                <w:sz w:val="20"/>
                <w:szCs w:val="20"/>
                <w:color w:val="auto"/>
              </w:rPr>
            </w:pPr>
            <w:r>
              <w:rPr>
                <w:rFonts w:ascii="Arial" w:cs="Arial" w:eastAsia="Arial" w:hAnsi="Arial"/>
                <w:sz w:val="14"/>
                <w:szCs w:val="14"/>
                <w:b w:val="1"/>
                <w:bCs w:val="1"/>
                <w:color w:val="auto"/>
              </w:rPr>
              <w:t>Fiscal Year</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ind w:left="200"/>
              <w:spacing w:after="0"/>
              <w:rPr>
                <w:sz w:val="20"/>
                <w:szCs w:val="20"/>
                <w:color w:val="auto"/>
              </w:rPr>
            </w:pPr>
            <w:r>
              <w:rPr>
                <w:rFonts w:ascii="Arial" w:cs="Arial" w:eastAsia="Arial" w:hAnsi="Arial"/>
                <w:sz w:val="14"/>
                <w:szCs w:val="14"/>
                <w:b w:val="1"/>
                <w:bCs w:val="1"/>
                <w:color w:val="auto"/>
              </w:rPr>
              <w:t>Lease Costs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83"/>
        </w:trPr>
        <w:tc>
          <w:tcPr>
            <w:tcW w:w="820" w:type="dxa"/>
            <w:vAlign w:val="bottom"/>
          </w:tcPr>
          <w:p>
            <w:pPr>
              <w:spacing w:after="0"/>
              <w:rPr>
                <w:sz w:val="15"/>
                <w:szCs w:val="15"/>
                <w:color w:val="auto"/>
              </w:rPr>
            </w:pPr>
          </w:p>
        </w:tc>
        <w:tc>
          <w:tcPr>
            <w:tcW w:w="364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Remainder of 2024</w:t>
            </w: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41,116</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189"/>
        </w:trPr>
        <w:tc>
          <w:tcPr>
            <w:tcW w:w="820" w:type="dxa"/>
            <w:vAlign w:val="bottom"/>
          </w:tcPr>
          <w:p>
            <w:pPr>
              <w:spacing w:after="0"/>
              <w:rPr>
                <w:sz w:val="16"/>
                <w:szCs w:val="16"/>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2025</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54,565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820" w:type="dxa"/>
            <w:vAlign w:val="bottom"/>
          </w:tcPr>
          <w:p>
            <w:pPr>
              <w:spacing w:after="0"/>
              <w:rPr>
                <w:sz w:val="16"/>
                <w:szCs w:val="16"/>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2026</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43,274</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9"/>
        </w:trPr>
        <w:tc>
          <w:tcPr>
            <w:tcW w:w="820" w:type="dxa"/>
            <w:vAlign w:val="bottom"/>
          </w:tcPr>
          <w:p>
            <w:pPr>
              <w:spacing w:after="0"/>
              <w:rPr>
                <w:sz w:val="16"/>
                <w:szCs w:val="16"/>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2027</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32,453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820" w:type="dxa"/>
            <w:vAlign w:val="bottom"/>
          </w:tcPr>
          <w:p>
            <w:pPr>
              <w:spacing w:after="0"/>
              <w:rPr>
                <w:sz w:val="16"/>
                <w:szCs w:val="16"/>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2028</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24,371</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9"/>
        </w:trPr>
        <w:tc>
          <w:tcPr>
            <w:tcW w:w="820" w:type="dxa"/>
            <w:vAlign w:val="bottom"/>
          </w:tcPr>
          <w:p>
            <w:pPr>
              <w:spacing w:after="0"/>
              <w:rPr>
                <w:sz w:val="16"/>
                <w:szCs w:val="16"/>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103,959</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r>
      <w:tr>
        <w:trPr>
          <w:trHeight w:val="183"/>
        </w:trPr>
        <w:tc>
          <w:tcPr>
            <w:tcW w:w="820" w:type="dxa"/>
            <w:vAlign w:val="bottom"/>
          </w:tcPr>
          <w:p>
            <w:pPr>
              <w:spacing w:after="0"/>
              <w:rPr>
                <w:sz w:val="15"/>
                <w:szCs w:val="15"/>
                <w:color w:val="auto"/>
              </w:rPr>
            </w:pPr>
          </w:p>
        </w:tc>
        <w:tc>
          <w:tcPr>
            <w:tcW w:w="36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Total future minimum lease payments</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299,738</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89"/>
        </w:trPr>
        <w:tc>
          <w:tcPr>
            <w:tcW w:w="820" w:type="dxa"/>
            <w:vAlign w:val="bottom"/>
          </w:tcPr>
          <w:p>
            <w:pPr>
              <w:spacing w:after="0"/>
              <w:rPr>
                <w:sz w:val="16"/>
                <w:szCs w:val="16"/>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Less: imputed interest</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 xml:space="preserve">(69,847) </w:t>
            </w:r>
            <w:r>
              <w:rPr>
                <w:rFonts w:ascii="Arial" w:cs="Arial" w:eastAsia="Arial" w:hAnsi="Arial"/>
                <w:sz w:val="12"/>
                <w:szCs w:val="12"/>
                <w:color w:val="auto"/>
              </w:rPr>
              <w:t>(1)</w:t>
            </w:r>
          </w:p>
        </w:tc>
        <w:tc>
          <w:tcPr>
            <w:tcW w:w="220" w:type="dxa"/>
            <w:vAlign w:val="bottom"/>
          </w:tcPr>
          <w:p>
            <w:pPr>
              <w:spacing w:after="0"/>
              <w:rPr>
                <w:sz w:val="16"/>
                <w:szCs w:val="16"/>
                <w:color w:val="auto"/>
              </w:rPr>
            </w:pPr>
          </w:p>
        </w:tc>
      </w:tr>
      <w:tr>
        <w:trPr>
          <w:trHeight w:val="183"/>
        </w:trPr>
        <w:tc>
          <w:tcPr>
            <w:tcW w:w="820" w:type="dxa"/>
            <w:vAlign w:val="bottom"/>
          </w:tcPr>
          <w:p>
            <w:pPr>
              <w:spacing w:after="0"/>
              <w:rPr>
                <w:sz w:val="15"/>
                <w:szCs w:val="15"/>
                <w:color w:val="auto"/>
              </w:rPr>
            </w:pPr>
          </w:p>
        </w:tc>
        <w:tc>
          <w:tcPr>
            <w:tcW w:w="364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Total present value of lease liabilities</w:t>
            </w: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229,891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0" w:lineRule="exact"/>
        <w:rPr>
          <w:sz w:val="20"/>
          <w:szCs w:val="20"/>
          <w:color w:val="auto"/>
        </w:rPr>
      </w:pPr>
    </w:p>
    <w:p>
      <w:pPr>
        <w:ind w:left="1120" w:hanging="319"/>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spacing w:after="0" w:line="28" w:lineRule="exact"/>
        <w:rPr>
          <w:rFonts w:ascii="Arial" w:cs="Arial" w:eastAsia="Arial" w:hAnsi="Arial"/>
          <w:sz w:val="14"/>
          <w:szCs w:val="14"/>
          <w:color w:val="auto"/>
        </w:rPr>
      </w:pPr>
    </w:p>
    <w:p>
      <w:pPr>
        <w:ind w:left="1120" w:hanging="319"/>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 liabilities.</w:t>
      </w:r>
    </w:p>
    <w:p>
      <w:pPr>
        <w:spacing w:after="0" w:line="18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85"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Supplemental cash flows and other information related to operating leases are as follows (in thousands, except for weighted average amounts):</w:t>
      </w: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Thirteen Weeks Ended</w:t>
            </w:r>
          </w:p>
        </w:tc>
      </w:tr>
      <w:tr>
        <w:trPr>
          <w:trHeight w:val="155"/>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May 4, 2024</w:t>
            </w:r>
          </w:p>
        </w:tc>
        <w:tc>
          <w:tcPr>
            <w:tcW w:w="200" w:type="dxa"/>
            <w:vAlign w:val="bottom"/>
          </w:tcPr>
          <w:p>
            <w:pPr>
              <w:spacing w:after="0"/>
              <w:rPr>
                <w:sz w:val="13"/>
                <w:szCs w:val="13"/>
                <w:color w:val="auto"/>
              </w:rPr>
            </w:pPr>
          </w:p>
        </w:tc>
        <w:tc>
          <w:tcPr>
            <w:tcW w:w="1340" w:type="dxa"/>
            <w:vAlign w:val="bottom"/>
          </w:tcPr>
          <w:p>
            <w:pPr>
              <w:jc w:val="right"/>
              <w:ind w:right="221"/>
              <w:spacing w:after="0" w:line="155" w:lineRule="exact"/>
              <w:rPr>
                <w:sz w:val="20"/>
                <w:szCs w:val="20"/>
                <w:color w:val="auto"/>
              </w:rPr>
            </w:pPr>
            <w:r>
              <w:rPr>
                <w:rFonts w:ascii="Arial" w:cs="Arial" w:eastAsia="Arial" w:hAnsi="Arial"/>
                <w:sz w:val="14"/>
                <w:szCs w:val="14"/>
                <w:b w:val="1"/>
                <w:bCs w:val="1"/>
                <w:color w:val="auto"/>
              </w:rPr>
              <w:t>April 29, 2023</w:t>
            </w:r>
          </w:p>
        </w:tc>
      </w:tr>
      <w:tr>
        <w:trPr>
          <w:trHeight w:val="183"/>
        </w:trPr>
        <w:tc>
          <w:tcPr>
            <w:tcW w:w="58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Cash paid for operating leases</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15,302</w:t>
            </w: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20,820</w:t>
            </w:r>
          </w:p>
        </w:tc>
      </w:tr>
      <w:tr>
        <w:trPr>
          <w:trHeight w:val="189"/>
        </w:trPr>
        <w:tc>
          <w:tcPr>
            <w:tcW w:w="584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7,651</w:t>
            </w:r>
          </w:p>
        </w:tc>
        <w:tc>
          <w:tcPr>
            <w:tcW w:w="26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8,195</w:t>
            </w:r>
          </w:p>
        </w:tc>
      </w:tr>
      <w:tr>
        <w:trPr>
          <w:trHeight w:val="189"/>
        </w:trPr>
        <w:tc>
          <w:tcPr>
            <w:tcW w:w="5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9"/>
        </w:trPr>
        <w:tc>
          <w:tcPr>
            <w:tcW w:w="584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7.47</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7.75</w:t>
            </w:r>
          </w:p>
        </w:tc>
      </w:tr>
      <w:tr>
        <w:trPr>
          <w:trHeight w:val="189"/>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 </w:t>
      </w:r>
      <w:r>
        <w:rPr>
          <w:rFonts w:ascii="Arial" w:cs="Arial" w:eastAsia="Arial" w:hAnsi="Arial"/>
          <w:sz w:val="16"/>
          <w:szCs w:val="16"/>
          <w:u w:val="single" w:color="auto"/>
          <w:color w:val="auto"/>
        </w:rPr>
        <w:t>Subsequent Events</w:t>
      </w:r>
    </w:p>
    <w:p>
      <w:pPr>
        <w:spacing w:after="0" w:line="23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As previously disclosed in the Company’s Form 8-K filed on May 7, 2024, the Company and Equiniti Trust Company, LLC (the “Rights Agent”) entered into the Second Amendment to the Stockholder Protection Rights Agreement, dated as of May 7, 2024 (the “Amendment”), which amended the Stockholder Protection Rights Agreement, dated as of December 6, 2023, by and between the Company and the Rights Agent, as amended by that certain Amendment to the Stockholder Protection Rights Agreement, dated as of February 28, 2024 (as amended, the “Rights Agreement”).</w:t>
      </w:r>
    </w:p>
    <w:p>
      <w:pPr>
        <w:spacing w:after="0" w:line="15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Amendment terminated the Rights Agreement by accelerating the expiration time of the Company’s preferred share purchase rights (each, a “Right” and, collectively, the “Rights”) to 5:00 P.M., New York City time, on May 7, 2024. At the time of the termination of the Rights Agreement, all of the Rights, which were previously distributed to holders of the Company’s issued and outstanding common stock, par value $0.01, pursuant to the Rights Agreement, expired. In deciding to accelerate the expiration time to May 7, 2024, the Company's Board of Directors determined that an active Rights Agreement is no longer needed to protect stockholder value.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As previously disclosed in the Company’s Form 8-K filed on May 31, 2024, the Company’s Board of Directors appointed Kenneth D. Seipel as interim Chief Executive Officer (“CEO”), effective June 2, 2024. In connection with the appointment, David Makuen has stepped down as CEO and a member of the Company’s Board of Directors. The Board’s independent members will commence a search for a new permanent Chief Executive Officer and plan to retain a nationally recognized executive search firm to support the process. The Board will consider external candidates, as well as Mr. Seipel, in the search.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20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natural disasters such as hurricanes; uncertainty and economic impact of pandemics, epidemics or other public health emergencies;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changes in consumer confidence and consumer spending patterns; competition within the industry; competition in our markets; the duration and extent of any economic stimulus programs; changes in product mix; interruptions in suppliers’ businesses; the impact of the cyber disruption we identified on January 14, 2023, including legal, reputational, financial and contractual risks resulting from the disruption, and other risks related to cybersecurity, data privacy and intellectual property; the results of pending or threatened litigation; temporary changes in demand due to weather patterns; seasonality of the Company’s business; delays associated with building, opening, remodeling and operating new stores; delays associated with building, opening or expanding new or existing distribution centers; and other factors described in the section titled “Item 1A. Risk Factors” and elsewhere in the Company’s Annual Report on Form 10-K for the fiscal year ended February 3, 2024 and in Part II, “Item 1A. Risk Factors” and elsewhere in the Company’s Quarterly Reports on Form 10-Q and any amendments thereto and in the other documents the Company files with the SEC, including reports on Form 8-K.</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3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are a leading specialty value retailer of apparel, accessories and home trends for way less spend primarily for African American and multicultural families. Our high-quality and trend-right merchandise offerings at everyday low prices are designed to appeal to the fashion and trend preferences of value-conscious customers. As of May 4, 2024, we operated 599 stores in urban, suburban and rural markets in 33 states.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Uncertainties and Challenges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Economic Conditions</w:t>
      </w:r>
    </w:p>
    <w:p>
      <w:pPr>
        <w:spacing w:after="0" w:line="15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expect that our operations in the short-term will continue to be influenced by general economic conditions, including on-going inflationary pressures, which are particularly impactful to the communities we serve. Given the macro-economic environment, we expect low-income families to remain under pressure and to tightly manage their discretionary spend through the majority of fiscal 2024. In addition, we continue to monitor the impacts on our business of unemployment levels, wage inflation, interest rates, inflation rates, housing costs, energy costs, consumer confidence, consumer perception of economic conditions, costs to source our merchandise and supply chain disruptions.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and Weather Patterns</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become a one-stop-shop, traffic to our stores is still influenced by weather patterns to some extent.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 Disruption (January 2023)</w:t>
      </w:r>
    </w:p>
    <w:p>
      <w:pPr>
        <w:spacing w:after="0" w:line="15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As previously disclosed, in January 2023, we experienced a disruption of our back office and distribution center IT systems, (the “January 2023 cyber disruption”). In the first quarter of fiscal 2023, cyber disruption related costs net of an expected insurance receivable totaled $1.6 million, comprised of incremental inventory processing costs, third-party consulting services and legal counsel.</w:t>
      </w:r>
    </w:p>
    <w:p>
      <w:pPr>
        <w:spacing w:after="0" w:line="97"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auto"/>
        </w:rPr>
        <w:t>Several putative class action lawsuits have been filed against the Company and several inquiries have been made to the Company with respect to the January 2023 cyber disruption. As of May 4, 2024, we had an accrual of $0.7 million for estimated losses in connection with these matters recorded in Accrued expenses on our Balance Sheet. For additional information regarding these lawsuits, see Note 7 of the Annual Report on Form 10-K for the fiscal year ended February 3, 2024.</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following discussion contains references to fiscal years 2024 and 2023, which represent fiscal years ending or ended on February 1, 2025 and February 3, 2024, respectively. Fiscal 2024 has a 52-week accounting period and fiscal 2023 had a 53-week accounting period. This discussion and analysis should be read with the unaudited condensed consolidated financial statements and the notes thereto contained in Part I, Item 1 of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5"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Expenses and, to a greater extent, operating income, vary by quarter. Results of a period shorter than a full year may not be indicative of results expected for the entire year as a result of the seasonality of our business and the current economic uncertainty.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Statistics</w:t>
      </w:r>
    </w:p>
    <w:p>
      <w:pPr>
        <w:spacing w:after="0" w:line="23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For 2024, we are updating our definition of a comparable store. We now define a comparable store as a store that has been open for at least 14 full consecutive months without closure for more than seven days within the same fiscal month. Remodeled or relocated stores are considered a comparable store if the selling square footage is not changed significantly, the store is not closed for more than 5 days in any fiscal month and the store remains in the same trade area. This change aligns more with industry standards in regard to measuring “comp store” sales performance. This change is effective for fiscal year 2024 and go forward. For fiscal year 2024, the definition change results in 6 stores becoming</w:t>
      </w:r>
    </w:p>
    <w:p>
      <w:pPr>
        <w:sectPr>
          <w:pgSz w:w="11900" w:h="16838" w:orient="portrait"/>
          <w:cols w:equalWidth="0" w:num="1">
            <w:col w:w="9080"/>
          </w:cols>
          <w:pgMar w:left="1380" w:top="513" w:right="1439" w:bottom="1440" w:gutter="0" w:footer="0" w:header="0"/>
        </w:sect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comparable stores in 2024, which would not have become a comparable store until 2025 under the prior definition. The revised definition would result in no change to the full year 2023 comparable store sales results of 5.3%.</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and distribution center expenses against budgeted amounts.</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Thirteen Weeks Ended May 4, 2024 and April 29, 2023</w:t>
      </w:r>
    </w:p>
    <w:p>
      <w:pPr>
        <w:spacing w:after="0" w:line="23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$6.6 million, or 3.7%, to $186.3 million in the first quarter of 2024 from $179.7 million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2023. The increase in sales was due to a 3.1% increase in comparable store sales.</w:t>
      </w:r>
    </w:p>
    <w:p>
      <w:pPr>
        <w:spacing w:after="0" w:line="169"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increased $0.6 million, or 0.5%, to $114.3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quarter of 2024 from $113.7 million in the first quarter of 2023. Cost of sales as a percentage of sales decreased to 61.3% in the first quarter of 2024 from 63.3% in the first quarter of 2023. The change was due to a decrease in freight costs, along with a decrease in markdowns, offset by an increase in shrink expense.</w:t>
      </w:r>
    </w:p>
    <w:p>
      <w:pPr>
        <w:spacing w:after="0" w:line="19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$3.4 million, or 4.8%, to</w:t>
      </w:r>
      <w:r>
        <w:rPr>
          <w:rFonts w:ascii="Arial" w:cs="Arial" w:eastAsia="Arial" w:hAnsi="Arial"/>
          <w:sz w:val="16"/>
          <w:szCs w:val="16"/>
          <w:i w:val="1"/>
          <w:iCs w:val="1"/>
          <w:color w:val="auto"/>
        </w:rPr>
        <w:t xml:space="preserve"> </w:t>
      </w:r>
      <w:r>
        <w:rPr>
          <w:rFonts w:ascii="Arial" w:cs="Arial" w:eastAsia="Arial" w:hAnsi="Arial"/>
          <w:sz w:val="16"/>
          <w:szCs w:val="16"/>
          <w:color w:val="auto"/>
        </w:rPr>
        <w:t>$74.2 million in the first quarter of 2024 from $70.8 million in the first quarter of 2023. The increase was primarily due to a $1.9 million increase in corporate payroll related expense, a $0.7 million increase in store marketing and advertising expense and a $0.9 million increase in store selling expenses. As a percentage of sales, selling, general and administrative expenses increased to 39.8% in the first quarter of 2024 from 39.4% in the first quarter of 2023.</w:t>
      </w:r>
    </w:p>
    <w:p>
      <w:pPr>
        <w:spacing w:after="0" w:line="19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increased $0.1 million, or 2.4%, to $4.8 million in the first quarter of 2024 from $4.7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first quarter of 2023.</w:t>
      </w:r>
    </w:p>
    <w:p>
      <w:pPr>
        <w:spacing w:after="0" w:line="169"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i w:val="1"/>
          <w:iCs w:val="1"/>
          <w:color w:val="auto"/>
        </w:rPr>
        <w:t xml:space="preserve">Income Tax Benefit/Expense. </w:t>
      </w:r>
      <w:r>
        <w:rPr>
          <w:rFonts w:ascii="Arial" w:cs="Arial" w:eastAsia="Arial" w:hAnsi="Arial"/>
          <w:sz w:val="16"/>
          <w:szCs w:val="16"/>
          <w:color w:val="auto"/>
        </w:rPr>
        <w:t>Income tax benefit was $2.8 million in the first quarter of 2024 compared to a benefit of $1.9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quarter of 2023. For the first quarter of 2024, we used the annual effective tax rate to determine income tax expense, and for the first quarter of 2023 we used the discrete effective tax rate method to determine income tax expense based upon interim period results.</w:t>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Net Income/Loss. </w:t>
      </w:r>
      <w:r>
        <w:rPr>
          <w:rFonts w:ascii="Arial" w:cs="Arial" w:eastAsia="Arial" w:hAnsi="Arial"/>
          <w:sz w:val="16"/>
          <w:szCs w:val="16"/>
          <w:color w:val="auto"/>
        </w:rPr>
        <w:t>Net loss was $3.4 million in the first quarter of 2024 compared to net loss of $6.6 million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2023 due to the factors discussed above.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Allocation</w:t>
      </w:r>
    </w:p>
    <w:p>
      <w:pPr>
        <w:spacing w:after="0" w:line="138" w:lineRule="exact"/>
        <w:rPr>
          <w:sz w:val="20"/>
          <w:szCs w:val="20"/>
          <w:color w:val="auto"/>
        </w:rPr>
      </w:pPr>
    </w:p>
    <w:p>
      <w:pPr>
        <w:jc w:val="both"/>
        <w:ind w:right="180"/>
        <w:spacing w:after="0" w:line="259" w:lineRule="auto"/>
        <w:rPr>
          <w:sz w:val="20"/>
          <w:szCs w:val="20"/>
          <w:color w:val="auto"/>
        </w:rPr>
      </w:pPr>
      <w:r>
        <w:rPr>
          <w:rFonts w:ascii="Arial" w:cs="Arial" w:eastAsia="Arial" w:hAnsi="Arial"/>
          <w:sz w:val="16"/>
          <w:szCs w:val="16"/>
          <w:color w:val="auto"/>
        </w:rPr>
        <w:t>Our capital allocation strategy is to maintain adequate liquidity to prioritize investments in opportunities to profitably grow our business and maintain current operations, then to return excess cash to shareholders through our repurchase programs. Our quarter-end cash and cash equivalents balance was $58.2 million compared to $88.7 million at the end of the first quarter of 2023. Until required for other purposes, we maintain cash and cash equivalents in deposit or money market accounts.</w:t>
      </w:r>
    </w:p>
    <w:p>
      <w:pPr>
        <w:spacing w:after="0" w:line="11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principal sources of liquidity consist of: (i) cash and cash equivalents on hand; (ii) short-term trade credit arising from customary payment terms and trade practices with our vendors; (iii) cash generated from operations on an ongoing basis; and</w:t>
      </w:r>
    </w:p>
    <w:p>
      <w:pPr>
        <w:spacing w:after="0" w:line="1" w:lineRule="exact"/>
        <w:rPr>
          <w:sz w:val="20"/>
          <w:szCs w:val="20"/>
          <w:color w:val="auto"/>
        </w:rPr>
      </w:pPr>
    </w:p>
    <w:p>
      <w:pPr>
        <w:ind w:left="280" w:hanging="275"/>
        <w:spacing w:after="0"/>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revolving credit facility with a $75 million credit commitment.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4480"/>
        <w:spacing w:after="0"/>
        <w:rPr>
          <w:rFonts w:ascii="Arial" w:cs="Arial" w:eastAsia="Arial" w:hAnsi="Arial"/>
          <w:sz w:val="16"/>
          <w:szCs w:val="16"/>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15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quarter-end inventory balance was $119.0 million, compared with $114.3 million at the end of the first quarter of 2023. The increase was primarily due to a strategic increase in our average in-store inventory.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13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Capital expenditures in the first quarter of 2024 were $1.6 million, an increase of $0.6 million from the first quarter of 2023 as we invest in more existing store remodels. We anticipate capital expenditures in fiscal 2024 of approximately $20 million, primarily for opening up to five new stores and remodeling approximately 40 stores, combined with ongoing investments in our systems.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5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did not repurchase any shares of our common stock in the first quarter of fiscal 2024 or fiscal 2023. See Part II, Item 2 of this Report and Note 7 to the Financial Statements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152"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We have a revolving credit facility that matures in April 2026 and provides a $75 million credit commitment and a $25 million uncommitted “accordion” feature. Additional details of the credit facility are in Note 4 to the Financial Statements. At the end of the first quarter of 2024, we had no borrowings under the credit facility and $0.6 million in letters of credit outstanding.</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used in operating activities was $19.6 million in the first quarter of 2024</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cash used of $13.1 million in the first quarter of 2023. Sources of cash in the first quarter of 2024 resulted from a net loss adjusted for non-cash expenses totaling $11.5 million (compared to a net loss adjusted for non-cash items of $10.5 million in the first quarter of 2023), and a decrease of $11.4 million in inventory (compared to an increase of $8.5 million in 2023).</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Significant uses of cash during the first quarter of 2024 included (1) a $28.1 million decrease in accounts payable (compared to an increase of $9.1 million in the first quarter of 2023) due primarily to timing of vendor payments; and (2) a decrease of $14.5 million in accrued expenses and other long-term liabilities (compared to a decrease of $20.0 million in the first quarter of 2023) due primarily to payments of operating lease liabilities.</w:t>
      </w:r>
    </w:p>
    <w:p>
      <w:pPr>
        <w:spacing w:after="0" w:line="191" w:lineRule="exact"/>
        <w:rPr>
          <w:sz w:val="20"/>
          <w:szCs w:val="20"/>
          <w:color w:val="auto"/>
        </w:rPr>
      </w:pPr>
    </w:p>
    <w:p>
      <w:pPr>
        <w:spacing w:after="0" w:line="266"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used by investing activities was $1.6 million in the first quarter of 2024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$1.0 million in the first quarter of 2023. Cash used in the first quarter of 2024 and 2023 consisted of purchases of property and equipment.</w:t>
      </w:r>
    </w:p>
    <w:p>
      <w:pPr>
        <w:spacing w:after="0" w:line="18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Cash used in financing activities was $0.3 million in the first quarter of 2024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$0.8 million in the first quarter of 2023. Cash used in the first quarter of 2024 and 2023 was to settle withholding taxes on the vesting of restricted stock.</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 and Commitments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cash requirements consist of (1) inventory purchases; (2) capital expenditures to invest in our infrastructure; and</w:t>
      </w:r>
    </w:p>
    <w:p>
      <w:pPr>
        <w:spacing w:after="0" w:line="21" w:lineRule="exact"/>
        <w:rPr>
          <w:sz w:val="20"/>
          <w:szCs w:val="20"/>
          <w:color w:val="auto"/>
        </w:rPr>
      </w:pPr>
    </w:p>
    <w:p>
      <w:pPr>
        <w:ind w:right="40" w:firstLine="5"/>
        <w:spacing w:after="0" w:line="251" w:lineRule="auto"/>
        <w:tabs>
          <w:tab w:leader="none" w:pos="2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May 4, 2024, our contractual commitments for operating leases totaled $229.9 million (with $41.1 million due within 12 months). See Note 9 to the Financial Statements for more information regarding lease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35"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9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There have been no material changes to the Critical Accounting Policies outlined in our Annual Report on Form 10-K for the fiscal year ended February 3, 2024.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35"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There have been no material changes in our market risk during the thirteen weeks ended May 4, 2024 compared to the disclosures in Part II, Item 7A of our Annual Report on Form 10-K for the fiscal year ended February 3, 2024.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May 4, 2024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96"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were no changes in our internal control over financial reporting that occurred during the fiscal quarter ended May 4, 2024 that have materially affected, or are reasonably likely to materially affect,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2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3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There have been no material changes to the Risk Factors described under the section “Item 1A. RISK FACTORS” in our Annual Report on Form 10-K for the fiscal year ended February 3, 2024.</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on Share Repurchases</w:t>
      </w:r>
    </w:p>
    <w:p>
      <w:pPr>
        <w:spacing w:after="0" w:line="233" w:lineRule="exact"/>
        <w:rPr>
          <w:sz w:val="20"/>
          <w:szCs w:val="20"/>
          <w:color w:val="auto"/>
        </w:rPr>
      </w:pPr>
    </w:p>
    <w:p>
      <w:pPr>
        <w:ind w:right="359"/>
        <w:spacing w:after="0" w:line="286" w:lineRule="auto"/>
        <w:rPr>
          <w:sz w:val="20"/>
          <w:szCs w:val="20"/>
          <w:color w:val="auto"/>
        </w:rPr>
      </w:pPr>
      <w:r>
        <w:rPr>
          <w:rFonts w:ascii="Arial" w:cs="Arial" w:eastAsia="Arial" w:hAnsi="Arial"/>
          <w:sz w:val="16"/>
          <w:szCs w:val="16"/>
          <w:color w:val="auto"/>
        </w:rPr>
        <w:t>The Company did not repurchase any shares in the first quarter of 2024. At May 4, 2024, $50.0 million remained available under the Company’s stock repurchase authorization.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20"/>
                <w:szCs w:val="20"/>
                <w:color w:val="auto"/>
              </w:rPr>
            </w:pPr>
            <w:r>
              <w:rPr>
                <w:rFonts w:ascii="Arial" w:cs="Arial" w:eastAsia="Arial" w:hAnsi="Arial"/>
                <w:sz w:val="16"/>
                <w:szCs w:val="16"/>
                <w:color w:val="auto"/>
              </w:rPr>
              <w:t>3.1</w:t>
            </w:r>
          </w:p>
        </w:tc>
        <w:tc>
          <w:tcPr>
            <w:tcW w:w="8140" w:type="dxa"/>
            <w:vAlign w:val="bottom"/>
            <w:gridSpan w:val="21"/>
          </w:tcPr>
          <w:p>
            <w:pPr>
              <w:spacing w:after="0"/>
              <w:rPr>
                <w:rFonts w:ascii="Arial" w:cs="Arial" w:eastAsia="Arial" w:hAnsi="Arial"/>
                <w:sz w:val="16"/>
                <w:szCs w:val="16"/>
                <w:color w:val="0000EE"/>
              </w:rPr>
            </w:pPr>
            <w:hyperlink r:id="rId28">
              <w:r>
                <w:rPr>
                  <w:rFonts w:ascii="Arial" w:cs="Arial" w:eastAsia="Arial" w:hAnsi="Arial"/>
                  <w:sz w:val="16"/>
                  <w:szCs w:val="16"/>
                  <w:color w:val="0000EE"/>
                </w:rPr>
                <w:t>Third Amended and Restated Certificate of Incorporation (incorporated by reference to Exhibit 3.1 to the</w:t>
              </w:r>
            </w:hyperlink>
          </w:p>
        </w:tc>
      </w:tr>
      <w:tr>
        <w:trPr>
          <w:trHeight w:val="210"/>
        </w:trPr>
        <w:tc>
          <w:tcPr>
            <w:tcW w:w="960" w:type="dxa"/>
            <w:vAlign w:val="bottom"/>
          </w:tcPr>
          <w:p>
            <w:pPr>
              <w:spacing w:after="0"/>
              <w:rPr>
                <w:sz w:val="18"/>
                <w:szCs w:val="18"/>
                <w:color w:val="auto"/>
              </w:rPr>
            </w:pPr>
          </w:p>
        </w:tc>
        <w:tc>
          <w:tcPr>
            <w:tcW w:w="7440" w:type="dxa"/>
            <w:vAlign w:val="bottom"/>
            <w:tcBorders>
              <w:top w:val="single" w:sz="8" w:color="0000EE"/>
            </w:tcBorders>
            <w:gridSpan w:val="8"/>
          </w:tcPr>
          <w:p>
            <w:pPr>
              <w:spacing w:after="0"/>
              <w:rPr>
                <w:rFonts w:ascii="Arial" w:cs="Arial" w:eastAsia="Arial" w:hAnsi="Arial"/>
                <w:sz w:val="16"/>
                <w:szCs w:val="16"/>
                <w:color w:val="0000EE"/>
              </w:rPr>
            </w:pPr>
            <w:hyperlink r:id="rId28">
              <w:r>
                <w:rPr>
                  <w:rFonts w:ascii="Arial" w:cs="Arial" w:eastAsia="Arial" w:hAnsi="Arial"/>
                  <w:sz w:val="16"/>
                  <w:szCs w:val="16"/>
                  <w:color w:val="0000EE"/>
                </w:rPr>
                <w:t>Company’s Current Report on Form 8-K filed with the SEC on June 7, 2018)</w:t>
              </w:r>
              <w:r>
                <w:rPr>
                  <w:rFonts w:ascii="Arial" w:cs="Arial" w:eastAsia="Arial" w:hAnsi="Arial"/>
                  <w:sz w:val="16"/>
                  <w:szCs w:val="16"/>
                  <w:color w:val="000000"/>
                </w:rPr>
                <w:t>.</w:t>
              </w:r>
            </w:hyperlink>
          </w:p>
        </w:tc>
        <w:tc>
          <w:tcPr>
            <w:tcW w:w="700" w:type="dxa"/>
            <w:vAlign w:val="bottom"/>
            <w:gridSpan w:val="13"/>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60" w:type="dxa"/>
            <w:vAlign w:val="bottom"/>
          </w:tcPr>
          <w:p>
            <w:pPr>
              <w:spacing w:after="0"/>
              <w:rPr>
                <w:sz w:val="20"/>
                <w:szCs w:val="20"/>
                <w:color w:val="auto"/>
              </w:rPr>
            </w:pPr>
            <w:r>
              <w:rPr>
                <w:rFonts w:ascii="Arial" w:cs="Arial" w:eastAsia="Arial" w:hAnsi="Arial"/>
                <w:sz w:val="16"/>
                <w:szCs w:val="16"/>
                <w:color w:val="auto"/>
              </w:rPr>
              <w:t>3.2</w:t>
            </w:r>
          </w:p>
        </w:tc>
        <w:tc>
          <w:tcPr>
            <w:tcW w:w="8140" w:type="dxa"/>
            <w:vAlign w:val="bottom"/>
            <w:gridSpan w:val="21"/>
          </w:tcPr>
          <w:p>
            <w:pPr>
              <w:spacing w:after="0"/>
              <w:rPr>
                <w:rFonts w:ascii="Arial" w:cs="Arial" w:eastAsia="Arial" w:hAnsi="Arial"/>
                <w:sz w:val="16"/>
                <w:szCs w:val="16"/>
                <w:color w:val="0000EE"/>
              </w:rPr>
            </w:pPr>
            <w:hyperlink r:id="rId29">
              <w:r>
                <w:rPr>
                  <w:rFonts w:ascii="Arial" w:cs="Arial" w:eastAsia="Arial" w:hAnsi="Arial"/>
                  <w:sz w:val="16"/>
                  <w:szCs w:val="16"/>
                  <w:color w:val="0000EE"/>
                </w:rPr>
                <w:t>Fourth Amended and Restated Bylaws (incorporated by reference to Exhibit 3.2 to the Company’s Current Report</w:t>
              </w:r>
            </w:hyperlink>
          </w:p>
        </w:tc>
      </w:tr>
      <w:tr>
        <w:trPr>
          <w:trHeight w:val="210"/>
        </w:trPr>
        <w:tc>
          <w:tcPr>
            <w:tcW w:w="960" w:type="dxa"/>
            <w:vAlign w:val="bottom"/>
          </w:tcPr>
          <w:p>
            <w:pPr>
              <w:spacing w:after="0"/>
              <w:rPr>
                <w:sz w:val="18"/>
                <w:szCs w:val="18"/>
                <w:color w:val="auto"/>
              </w:rPr>
            </w:pPr>
          </w:p>
        </w:tc>
        <w:tc>
          <w:tcPr>
            <w:tcW w:w="8120" w:type="dxa"/>
            <w:vAlign w:val="bottom"/>
            <w:tcBorders>
              <w:top w:val="single" w:sz="8" w:color="0000EE"/>
            </w:tcBorders>
            <w:gridSpan w:val="20"/>
          </w:tcPr>
          <w:p>
            <w:pPr>
              <w:spacing w:after="0"/>
              <w:rPr>
                <w:rFonts w:ascii="Arial" w:cs="Arial" w:eastAsia="Arial" w:hAnsi="Arial"/>
                <w:sz w:val="16"/>
                <w:szCs w:val="16"/>
                <w:color w:val="0000EE"/>
              </w:rPr>
            </w:pPr>
            <w:hyperlink r:id="rId29">
              <w:r>
                <w:rPr>
                  <w:rFonts w:ascii="Arial" w:cs="Arial" w:eastAsia="Arial" w:hAnsi="Arial"/>
                  <w:sz w:val="16"/>
                  <w:szCs w:val="16"/>
                  <w:color w:val="0000EE"/>
                </w:rPr>
                <w:t>on Form 8-K filed with the SEC on October 31, 2022)</w:t>
              </w:r>
              <w:r>
                <w:rPr>
                  <w:rFonts w:ascii="Arial" w:cs="Arial" w:eastAsia="Arial" w:hAnsi="Arial"/>
                  <w:sz w:val="16"/>
                  <w:szCs w:val="16"/>
                  <w:color w:val="000000"/>
                </w:rPr>
                <w:t>.</w:t>
              </w:r>
            </w:hyperlink>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58"/>
        </w:trPr>
        <w:tc>
          <w:tcPr>
            <w:tcW w:w="960" w:type="dxa"/>
            <w:vAlign w:val="bottom"/>
          </w:tcPr>
          <w:p>
            <w:pPr>
              <w:spacing w:after="0"/>
              <w:rPr>
                <w:sz w:val="20"/>
                <w:szCs w:val="20"/>
                <w:color w:val="auto"/>
              </w:rPr>
            </w:pPr>
            <w:r>
              <w:rPr>
                <w:rFonts w:ascii="Arial" w:cs="Arial" w:eastAsia="Arial" w:hAnsi="Arial"/>
                <w:sz w:val="16"/>
                <w:szCs w:val="16"/>
                <w:color w:val="auto"/>
              </w:rPr>
              <w:t>3.3</w:t>
            </w:r>
          </w:p>
        </w:tc>
        <w:tc>
          <w:tcPr>
            <w:tcW w:w="7820" w:type="dxa"/>
            <w:vAlign w:val="bottom"/>
            <w:tcBorders>
              <w:bottom w:val="single" w:sz="8" w:color="0000EE"/>
            </w:tcBorders>
            <w:gridSpan w:val="11"/>
          </w:tcPr>
          <w:p>
            <w:pPr>
              <w:spacing w:after="0"/>
              <w:rPr>
                <w:rFonts w:ascii="Arial" w:cs="Arial" w:eastAsia="Arial" w:hAnsi="Arial"/>
                <w:sz w:val="16"/>
                <w:szCs w:val="16"/>
                <w:color w:val="0000EE"/>
              </w:rPr>
            </w:pPr>
            <w:hyperlink r:id="rId30">
              <w:r>
                <w:rPr>
                  <w:rFonts w:ascii="Arial" w:cs="Arial" w:eastAsia="Arial" w:hAnsi="Arial"/>
                  <w:sz w:val="16"/>
                  <w:szCs w:val="16"/>
                  <w:color w:val="0000EE"/>
                </w:rPr>
                <w:t>Certificate of Designation of Series A Junior Participating Preferred Stock of Citi Trends, Inc. (incorporated by</w:t>
              </w:r>
            </w:hyperlink>
          </w:p>
        </w:tc>
        <w:tc>
          <w:tcPr>
            <w:tcW w:w="320" w:type="dxa"/>
            <w:vAlign w:val="bottom"/>
            <w:gridSpan w:val="10"/>
          </w:tcPr>
          <w:p>
            <w:pPr>
              <w:spacing w:after="0"/>
              <w:rPr>
                <w:sz w:val="24"/>
                <w:szCs w:val="24"/>
                <w:color w:val="auto"/>
              </w:rPr>
            </w:pPr>
          </w:p>
        </w:tc>
      </w:tr>
      <w:tr>
        <w:trPr>
          <w:trHeight w:val="210"/>
        </w:trPr>
        <w:tc>
          <w:tcPr>
            <w:tcW w:w="960" w:type="dxa"/>
            <w:vAlign w:val="bottom"/>
          </w:tcPr>
          <w:p>
            <w:pPr>
              <w:spacing w:after="0"/>
              <w:rPr>
                <w:sz w:val="18"/>
                <w:szCs w:val="18"/>
                <w:color w:val="auto"/>
              </w:rPr>
            </w:pPr>
          </w:p>
        </w:tc>
        <w:tc>
          <w:tcPr>
            <w:tcW w:w="8140" w:type="dxa"/>
            <w:vAlign w:val="bottom"/>
            <w:gridSpan w:val="21"/>
          </w:tcPr>
          <w:p>
            <w:pPr>
              <w:spacing w:after="0"/>
              <w:rPr>
                <w:rFonts w:ascii="Arial" w:cs="Arial" w:eastAsia="Arial" w:hAnsi="Arial"/>
                <w:sz w:val="16"/>
                <w:szCs w:val="16"/>
                <w:color w:val="0000EE"/>
              </w:rPr>
            </w:pPr>
            <w:hyperlink r:id="rId30">
              <w:r>
                <w:rPr>
                  <w:rFonts w:ascii="Arial" w:cs="Arial" w:eastAsia="Arial" w:hAnsi="Arial"/>
                  <w:sz w:val="16"/>
                  <w:szCs w:val="16"/>
                  <w:color w:val="0000EE"/>
                </w:rPr>
                <w:t>reference to Exhibit 3.1 to the Company’s Current Report on Form 8-K filed with the SEC on December 8, 2023).</w:t>
              </w:r>
            </w:hyperlink>
          </w:p>
        </w:tc>
      </w:tr>
      <w:tr>
        <w:trPr>
          <w:trHeight w:val="358"/>
        </w:trPr>
        <w:tc>
          <w:tcPr>
            <w:tcW w:w="960" w:type="dxa"/>
            <w:vAlign w:val="bottom"/>
          </w:tcPr>
          <w:p>
            <w:pPr>
              <w:spacing w:after="0"/>
              <w:rPr>
                <w:sz w:val="20"/>
                <w:szCs w:val="20"/>
                <w:color w:val="auto"/>
              </w:rPr>
            </w:pPr>
            <w:r>
              <w:rPr>
                <w:rFonts w:ascii="Arial" w:cs="Arial" w:eastAsia="Arial" w:hAnsi="Arial"/>
                <w:sz w:val="16"/>
                <w:szCs w:val="16"/>
                <w:color w:val="auto"/>
              </w:rPr>
              <w:t>3.4</w:t>
            </w:r>
          </w:p>
        </w:tc>
        <w:tc>
          <w:tcPr>
            <w:tcW w:w="8040" w:type="dxa"/>
            <w:vAlign w:val="bottom"/>
            <w:tcBorders>
              <w:top w:val="single" w:sz="8" w:color="0000EE"/>
              <w:bottom w:val="single" w:sz="8" w:color="0000EE"/>
            </w:tcBorders>
            <w:gridSpan w:val="18"/>
          </w:tcPr>
          <w:p>
            <w:pPr>
              <w:spacing w:after="0"/>
              <w:rPr>
                <w:rFonts w:ascii="Arial" w:cs="Arial" w:eastAsia="Arial" w:hAnsi="Arial"/>
                <w:sz w:val="16"/>
                <w:szCs w:val="16"/>
                <w:color w:val="0000EE"/>
              </w:rPr>
            </w:pPr>
            <w:hyperlink r:id="rId31">
              <w:r>
                <w:rPr>
                  <w:rFonts w:ascii="Arial" w:cs="Arial" w:eastAsia="Arial" w:hAnsi="Arial"/>
                  <w:sz w:val="16"/>
                  <w:szCs w:val="16"/>
                  <w:color w:val="0000EE"/>
                </w:rPr>
                <w:t>Certificate of Elimination of the Series A Junior Participating Preferred Stock of Citi Trends, Inc. (incorporated by</w:t>
              </w:r>
            </w:hyperlink>
          </w:p>
        </w:tc>
        <w:tc>
          <w:tcPr>
            <w:tcW w:w="20" w:type="dxa"/>
            <w:vAlign w:val="bottom"/>
            <w:tcBorders>
              <w:top w:val="single" w:sz="8" w:color="0000EE"/>
            </w:tcBorders>
          </w:tcPr>
          <w:p>
            <w:pPr>
              <w:spacing w:after="0"/>
              <w:rPr>
                <w:sz w:val="24"/>
                <w:szCs w:val="24"/>
                <w:color w:val="auto"/>
              </w:rPr>
            </w:pPr>
          </w:p>
        </w:tc>
        <w:tc>
          <w:tcPr>
            <w:tcW w:w="80" w:type="dxa"/>
            <w:vAlign w:val="bottom"/>
            <w:gridSpan w:val="2"/>
          </w:tcPr>
          <w:p>
            <w:pPr>
              <w:spacing w:after="0"/>
              <w:rPr>
                <w:sz w:val="24"/>
                <w:szCs w:val="24"/>
                <w:color w:val="auto"/>
              </w:rPr>
            </w:pPr>
          </w:p>
        </w:tc>
      </w:tr>
      <w:tr>
        <w:trPr>
          <w:trHeight w:val="209"/>
        </w:trPr>
        <w:tc>
          <w:tcPr>
            <w:tcW w:w="960" w:type="dxa"/>
            <w:vAlign w:val="bottom"/>
          </w:tcPr>
          <w:p>
            <w:pPr>
              <w:spacing w:after="0"/>
              <w:rPr>
                <w:sz w:val="18"/>
                <w:szCs w:val="18"/>
                <w:color w:val="auto"/>
              </w:rPr>
            </w:pPr>
          </w:p>
        </w:tc>
        <w:tc>
          <w:tcPr>
            <w:tcW w:w="8140" w:type="dxa"/>
            <w:vAlign w:val="bottom"/>
            <w:gridSpan w:val="21"/>
          </w:tcPr>
          <w:p>
            <w:pPr>
              <w:spacing w:after="0"/>
              <w:rPr>
                <w:rFonts w:ascii="Arial" w:cs="Arial" w:eastAsia="Arial" w:hAnsi="Arial"/>
                <w:sz w:val="16"/>
                <w:szCs w:val="16"/>
                <w:color w:val="0000EE"/>
              </w:rPr>
            </w:pPr>
            <w:hyperlink r:id="rId31">
              <w:r>
                <w:rPr>
                  <w:rFonts w:ascii="Arial" w:cs="Arial" w:eastAsia="Arial" w:hAnsi="Arial"/>
                  <w:sz w:val="16"/>
                  <w:szCs w:val="16"/>
                  <w:color w:val="0000EE"/>
                </w:rPr>
                <w:t>reference to Exhibit 3.1 to the Company’s Current Report on Form 8-K filed with the SEC on May 7, 2024)</w:t>
              </w:r>
              <w:r>
                <w:rPr>
                  <w:rFonts w:ascii="Arial" w:cs="Arial" w:eastAsia="Arial" w:hAnsi="Arial"/>
                  <w:sz w:val="16"/>
                  <w:szCs w:val="16"/>
                  <w:color w:val="000000"/>
                </w:rPr>
                <w:t>.</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58"/>
        </w:trPr>
        <w:tc>
          <w:tcPr>
            <w:tcW w:w="960" w:type="dxa"/>
            <w:vAlign w:val="bottom"/>
          </w:tcPr>
          <w:p>
            <w:pPr>
              <w:spacing w:after="0"/>
              <w:rPr>
                <w:sz w:val="20"/>
                <w:szCs w:val="20"/>
                <w:color w:val="auto"/>
              </w:rPr>
            </w:pPr>
            <w:r>
              <w:rPr>
                <w:rFonts w:ascii="Arial" w:cs="Arial" w:eastAsia="Arial" w:hAnsi="Arial"/>
                <w:sz w:val="16"/>
                <w:szCs w:val="16"/>
                <w:color w:val="auto"/>
              </w:rPr>
              <w:t>4.1</w:t>
            </w:r>
          </w:p>
        </w:tc>
        <w:tc>
          <w:tcPr>
            <w:tcW w:w="8140" w:type="dxa"/>
            <w:vAlign w:val="bottom"/>
            <w:gridSpan w:val="21"/>
          </w:tcPr>
          <w:p>
            <w:pPr>
              <w:spacing w:after="0"/>
              <w:rPr>
                <w:rFonts w:ascii="Arial" w:cs="Arial" w:eastAsia="Arial" w:hAnsi="Arial"/>
                <w:sz w:val="16"/>
                <w:szCs w:val="16"/>
                <w:color w:val="0000EE"/>
              </w:rPr>
            </w:pPr>
            <w:hyperlink r:id="rId32">
              <w:r>
                <w:rPr>
                  <w:rFonts w:ascii="Arial" w:cs="Arial" w:eastAsia="Arial" w:hAnsi="Arial"/>
                  <w:sz w:val="16"/>
                  <w:szCs w:val="16"/>
                  <w:color w:val="0000EE"/>
                </w:rPr>
                <w:t>Amendment to the Stockholder Protection Rights Agreement, dated as of February 28, 2024, between Citi</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7880" w:type="dxa"/>
            <w:vAlign w:val="bottom"/>
            <w:tcBorders>
              <w:bottom w:val="single" w:sz="8" w:color="0000EE"/>
            </w:tcBorders>
            <w:gridSpan w:val="14"/>
          </w:tcPr>
          <w:p>
            <w:pPr>
              <w:spacing w:after="0"/>
              <w:rPr>
                <w:rFonts w:ascii="Arial" w:cs="Arial" w:eastAsia="Arial" w:hAnsi="Arial"/>
                <w:sz w:val="16"/>
                <w:szCs w:val="16"/>
                <w:color w:val="0000EE"/>
              </w:rPr>
            </w:pPr>
            <w:hyperlink r:id="rId32">
              <w:r>
                <w:rPr>
                  <w:rFonts w:ascii="Arial" w:cs="Arial" w:eastAsia="Arial" w:hAnsi="Arial"/>
                  <w:sz w:val="16"/>
                  <w:szCs w:val="16"/>
                  <w:color w:val="0000EE"/>
                </w:rPr>
                <w:t>Trends, Inc. and Equiniti Trust Company, LLC, as Rights Agent (incorporated by reference to Exhibit 4.2 to the</w:t>
              </w:r>
            </w:hyperlink>
          </w:p>
        </w:tc>
        <w:tc>
          <w:tcPr>
            <w:tcW w:w="260" w:type="dxa"/>
            <w:vAlign w:val="bottom"/>
            <w:gridSpan w:val="7"/>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5900" w:type="dxa"/>
            <w:vAlign w:val="bottom"/>
            <w:tcBorders>
              <w:bottom w:val="single" w:sz="8" w:color="0000EE"/>
            </w:tcBorders>
            <w:gridSpan w:val="7"/>
          </w:tcPr>
          <w:p>
            <w:pPr>
              <w:spacing w:after="0"/>
              <w:rPr>
                <w:rFonts w:ascii="Arial" w:cs="Arial" w:eastAsia="Arial" w:hAnsi="Arial"/>
                <w:sz w:val="16"/>
                <w:szCs w:val="16"/>
                <w:color w:val="0000EE"/>
              </w:rPr>
            </w:pPr>
            <w:hyperlink r:id="rId32">
              <w:r>
                <w:rPr>
                  <w:rFonts w:ascii="Arial" w:cs="Arial" w:eastAsia="Arial" w:hAnsi="Arial"/>
                  <w:sz w:val="16"/>
                  <w:szCs w:val="16"/>
                  <w:color w:val="0000EE"/>
                </w:rPr>
                <w:t>Company’s Current Report on Form 8-K filed with the SEC on February 29, 2024).</w:t>
              </w:r>
            </w:hyperlink>
          </w:p>
        </w:tc>
        <w:tc>
          <w:tcPr>
            <w:tcW w:w="2240" w:type="dxa"/>
            <w:vAlign w:val="bottom"/>
            <w:gridSpan w:val="14"/>
          </w:tcPr>
          <w:p>
            <w:pPr>
              <w:spacing w:after="0"/>
              <w:rPr>
                <w:sz w:val="17"/>
                <w:szCs w:val="17"/>
                <w:color w:val="auto"/>
              </w:rPr>
            </w:pPr>
          </w:p>
        </w:tc>
      </w:tr>
      <w:tr>
        <w:trPr>
          <w:trHeight w:val="371"/>
        </w:trPr>
        <w:tc>
          <w:tcPr>
            <w:tcW w:w="960" w:type="dxa"/>
            <w:vAlign w:val="bottom"/>
          </w:tcPr>
          <w:p>
            <w:pPr>
              <w:spacing w:after="0"/>
              <w:rPr>
                <w:sz w:val="20"/>
                <w:szCs w:val="20"/>
                <w:color w:val="auto"/>
              </w:rPr>
            </w:pPr>
            <w:r>
              <w:rPr>
                <w:rFonts w:ascii="Arial" w:cs="Arial" w:eastAsia="Arial" w:hAnsi="Arial"/>
                <w:sz w:val="16"/>
                <w:szCs w:val="16"/>
                <w:color w:val="auto"/>
              </w:rPr>
              <w:t>4.2</w:t>
            </w:r>
          </w:p>
        </w:tc>
        <w:tc>
          <w:tcPr>
            <w:tcW w:w="7760" w:type="dxa"/>
            <w:vAlign w:val="bottom"/>
            <w:tcBorders>
              <w:bottom w:val="single" w:sz="8" w:color="0000EE"/>
            </w:tcBorders>
            <w:gridSpan w:val="10"/>
          </w:tcPr>
          <w:p>
            <w:pPr>
              <w:spacing w:after="0"/>
              <w:rPr>
                <w:rFonts w:ascii="Arial" w:cs="Arial" w:eastAsia="Arial" w:hAnsi="Arial"/>
                <w:sz w:val="16"/>
                <w:szCs w:val="16"/>
                <w:color w:val="0000EE"/>
              </w:rPr>
            </w:pPr>
            <w:hyperlink r:id="rId33">
              <w:r>
                <w:rPr>
                  <w:rFonts w:ascii="Arial" w:cs="Arial" w:eastAsia="Arial" w:hAnsi="Arial"/>
                  <w:sz w:val="16"/>
                  <w:szCs w:val="16"/>
                  <w:color w:val="0000EE"/>
                </w:rPr>
                <w:t>Second Amendment to the Stockholder Protection Rights Agreement, dated as of May 7, 2024, between Citi</w:t>
              </w:r>
            </w:hyperlink>
          </w:p>
        </w:tc>
        <w:tc>
          <w:tcPr>
            <w:tcW w:w="380" w:type="dxa"/>
            <w:vAlign w:val="bottom"/>
            <w:gridSpan w:val="11"/>
          </w:tcPr>
          <w:p>
            <w:pPr>
              <w:spacing w:after="0"/>
              <w:rPr>
                <w:sz w:val="24"/>
                <w:szCs w:val="24"/>
                <w:color w:val="auto"/>
              </w:rPr>
            </w:pPr>
          </w:p>
        </w:tc>
      </w:tr>
      <w:tr>
        <w:trPr>
          <w:trHeight w:val="210"/>
        </w:trPr>
        <w:tc>
          <w:tcPr>
            <w:tcW w:w="960" w:type="dxa"/>
            <w:vAlign w:val="bottom"/>
          </w:tcPr>
          <w:p>
            <w:pPr>
              <w:spacing w:after="0"/>
              <w:rPr>
                <w:sz w:val="18"/>
                <w:szCs w:val="18"/>
                <w:color w:val="auto"/>
              </w:rPr>
            </w:pPr>
          </w:p>
        </w:tc>
        <w:tc>
          <w:tcPr>
            <w:tcW w:w="7880" w:type="dxa"/>
            <w:vAlign w:val="bottom"/>
            <w:tcBorders>
              <w:bottom w:val="single" w:sz="8" w:color="0000EE"/>
            </w:tcBorders>
            <w:gridSpan w:val="14"/>
          </w:tcPr>
          <w:p>
            <w:pPr>
              <w:spacing w:after="0"/>
              <w:rPr>
                <w:rFonts w:ascii="Arial" w:cs="Arial" w:eastAsia="Arial" w:hAnsi="Arial"/>
                <w:sz w:val="16"/>
                <w:szCs w:val="16"/>
                <w:color w:val="0000EE"/>
              </w:rPr>
            </w:pPr>
            <w:hyperlink r:id="rId33">
              <w:r>
                <w:rPr>
                  <w:rFonts w:ascii="Arial" w:cs="Arial" w:eastAsia="Arial" w:hAnsi="Arial"/>
                  <w:sz w:val="16"/>
                  <w:szCs w:val="16"/>
                  <w:color w:val="0000EE"/>
                </w:rPr>
                <w:t>Trends, Inc. and Equiniti Trust Company, LLC, as Rights Agent (incorporated by reference to Exhibit 4.3 to the</w:t>
              </w:r>
            </w:hyperlink>
          </w:p>
        </w:tc>
        <w:tc>
          <w:tcPr>
            <w:tcW w:w="260" w:type="dxa"/>
            <w:vAlign w:val="bottom"/>
            <w:gridSpan w:val="7"/>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8140" w:type="dxa"/>
            <w:vAlign w:val="bottom"/>
            <w:gridSpan w:val="21"/>
          </w:tcPr>
          <w:p>
            <w:pPr>
              <w:spacing w:after="0"/>
              <w:rPr>
                <w:rFonts w:ascii="Arial" w:cs="Arial" w:eastAsia="Arial" w:hAnsi="Arial"/>
                <w:sz w:val="16"/>
                <w:szCs w:val="16"/>
                <w:color w:val="0000EE"/>
              </w:rPr>
            </w:pPr>
            <w:hyperlink r:id="rId33">
              <w:r>
                <w:rPr>
                  <w:rFonts w:ascii="Arial" w:cs="Arial" w:eastAsia="Arial" w:hAnsi="Arial"/>
                  <w:sz w:val="16"/>
                  <w:szCs w:val="16"/>
                  <w:color w:val="0000EE"/>
                </w:rPr>
                <w:t>Company’s Current Report on Form 8-K filed with the SEC on May 7, 2024).</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72"/>
        </w:trPr>
        <w:tc>
          <w:tcPr>
            <w:tcW w:w="960" w:type="dxa"/>
            <w:vAlign w:val="bottom"/>
          </w:tcPr>
          <w:p>
            <w:pPr>
              <w:spacing w:after="0"/>
              <w:rPr>
                <w:sz w:val="20"/>
                <w:szCs w:val="20"/>
                <w:color w:val="auto"/>
              </w:rPr>
            </w:pPr>
            <w:r>
              <w:rPr>
                <w:rFonts w:ascii="Arial" w:cs="Arial" w:eastAsia="Arial" w:hAnsi="Arial"/>
                <w:sz w:val="16"/>
                <w:szCs w:val="16"/>
                <w:color w:val="auto"/>
              </w:rPr>
              <w:t>10.1</w:t>
            </w:r>
          </w:p>
        </w:tc>
        <w:tc>
          <w:tcPr>
            <w:tcW w:w="8140" w:type="dxa"/>
            <w:vAlign w:val="bottom"/>
            <w:gridSpan w:val="21"/>
          </w:tcPr>
          <w:p>
            <w:pPr>
              <w:spacing w:after="0"/>
              <w:rPr>
                <w:rFonts w:ascii="Arial" w:cs="Arial" w:eastAsia="Arial" w:hAnsi="Arial"/>
                <w:sz w:val="16"/>
                <w:szCs w:val="16"/>
                <w:color w:val="0000EE"/>
              </w:rPr>
            </w:pPr>
            <w:hyperlink r:id="rId34">
              <w:r>
                <w:rPr>
                  <w:rFonts w:ascii="Arial" w:cs="Arial" w:eastAsia="Arial" w:hAnsi="Arial"/>
                  <w:sz w:val="16"/>
                  <w:szCs w:val="16"/>
                  <w:color w:val="0000EE"/>
                </w:rPr>
                <w:t>Cooperation Agreement, dated February 28, 2024, by and between Citi Trends, Inc. and Fund 1 Investments,</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8020" w:type="dxa"/>
            <w:vAlign w:val="bottom"/>
            <w:tcBorders>
              <w:bottom w:val="single" w:sz="8" w:color="0000EE"/>
            </w:tcBorders>
            <w:gridSpan w:val="17"/>
          </w:tcPr>
          <w:p>
            <w:pPr>
              <w:spacing w:after="0"/>
              <w:rPr>
                <w:rFonts w:ascii="Arial" w:cs="Arial" w:eastAsia="Arial" w:hAnsi="Arial"/>
                <w:sz w:val="16"/>
                <w:szCs w:val="16"/>
                <w:color w:val="0000EE"/>
              </w:rPr>
            </w:pPr>
            <w:hyperlink r:id="rId34">
              <w:r>
                <w:rPr>
                  <w:rFonts w:ascii="Arial" w:cs="Arial" w:eastAsia="Arial" w:hAnsi="Arial"/>
                  <w:sz w:val="16"/>
                  <w:szCs w:val="16"/>
                  <w:color w:val="0000EE"/>
                </w:rPr>
                <w:t>LLC (incorporated by reference to Exhibit 10.1 to the Company’s Current Report on Form 8-K filed with the SEC</w:t>
              </w:r>
            </w:hyperlink>
          </w:p>
        </w:tc>
        <w:tc>
          <w:tcPr>
            <w:tcW w:w="120" w:type="dxa"/>
            <w:vAlign w:val="bottom"/>
            <w:gridSpan w:val="4"/>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rPr>
                <w:rFonts w:ascii="Arial" w:cs="Arial" w:eastAsia="Arial" w:hAnsi="Arial"/>
                <w:sz w:val="16"/>
                <w:szCs w:val="16"/>
                <w:color w:val="0000EE"/>
              </w:rPr>
            </w:pPr>
            <w:hyperlink r:id="rId34">
              <w:r>
                <w:rPr>
                  <w:rFonts w:ascii="Arial" w:cs="Arial" w:eastAsia="Arial" w:hAnsi="Arial"/>
                  <w:sz w:val="16"/>
                  <w:szCs w:val="16"/>
                  <w:color w:val="0000EE"/>
                </w:rPr>
                <w:t>on February 29, 2024).</w:t>
              </w:r>
            </w:hyperlink>
          </w:p>
        </w:tc>
        <w:tc>
          <w:tcPr>
            <w:tcW w:w="6480" w:type="dxa"/>
            <w:vAlign w:val="bottom"/>
            <w:gridSpan w:val="19"/>
          </w:tcPr>
          <w:p>
            <w:pPr>
              <w:spacing w:after="0"/>
              <w:rPr>
                <w:sz w:val="17"/>
                <w:szCs w:val="17"/>
                <w:color w:val="auto"/>
              </w:rPr>
            </w:pPr>
          </w:p>
        </w:tc>
      </w:tr>
      <w:tr>
        <w:trPr>
          <w:trHeight w:val="371"/>
        </w:trPr>
        <w:tc>
          <w:tcPr>
            <w:tcW w:w="960" w:type="dxa"/>
            <w:vAlign w:val="bottom"/>
          </w:tcPr>
          <w:p>
            <w:pPr>
              <w:spacing w:after="0"/>
              <w:rPr>
                <w:sz w:val="20"/>
                <w:szCs w:val="20"/>
                <w:color w:val="auto"/>
              </w:rPr>
            </w:pPr>
            <w:r>
              <w:rPr>
                <w:rFonts w:ascii="Arial" w:cs="Arial" w:eastAsia="Arial" w:hAnsi="Arial"/>
                <w:sz w:val="16"/>
                <w:szCs w:val="16"/>
                <w:color w:val="auto"/>
              </w:rPr>
              <w:t>10.2</w:t>
            </w:r>
          </w:p>
        </w:tc>
        <w:tc>
          <w:tcPr>
            <w:tcW w:w="8140" w:type="dxa"/>
            <w:vAlign w:val="bottom"/>
            <w:gridSpan w:val="21"/>
          </w:tcPr>
          <w:p>
            <w:pPr>
              <w:spacing w:after="0"/>
              <w:rPr>
                <w:rFonts w:ascii="Arial" w:cs="Arial" w:eastAsia="Arial" w:hAnsi="Arial"/>
                <w:sz w:val="16"/>
                <w:szCs w:val="16"/>
                <w:color w:val="0000EE"/>
              </w:rPr>
            </w:pPr>
            <w:hyperlink r:id="rId35">
              <w:r>
                <w:rPr>
                  <w:rFonts w:ascii="Arial" w:cs="Arial" w:eastAsia="Arial" w:hAnsi="Arial"/>
                  <w:sz w:val="16"/>
                  <w:szCs w:val="16"/>
                  <w:color w:val="0000EE"/>
                </w:rPr>
                <w:t>Separation Agreement, dated May 31, 2024, to be effective as of June 1, 2024, between David N. Makuen and</w:t>
              </w:r>
            </w:hyperlink>
          </w:p>
        </w:tc>
      </w:tr>
      <w:tr>
        <w:trPr>
          <w:trHeight w:val="210"/>
        </w:trPr>
        <w:tc>
          <w:tcPr>
            <w:tcW w:w="960" w:type="dxa"/>
            <w:vAlign w:val="bottom"/>
          </w:tcPr>
          <w:p>
            <w:pPr>
              <w:spacing w:after="0"/>
              <w:rPr>
                <w:sz w:val="18"/>
                <w:szCs w:val="18"/>
                <w:color w:val="auto"/>
              </w:rPr>
            </w:pPr>
          </w:p>
        </w:tc>
        <w:tc>
          <w:tcPr>
            <w:tcW w:w="7920" w:type="dxa"/>
            <w:vAlign w:val="bottom"/>
            <w:tcBorders>
              <w:top w:val="single" w:sz="8" w:color="0000EE"/>
            </w:tcBorders>
            <w:gridSpan w:val="16"/>
          </w:tcPr>
          <w:p>
            <w:pPr>
              <w:spacing w:after="0"/>
              <w:rPr>
                <w:rFonts w:ascii="Arial" w:cs="Arial" w:eastAsia="Arial" w:hAnsi="Arial"/>
                <w:sz w:val="16"/>
                <w:szCs w:val="16"/>
                <w:color w:val="0000EE"/>
              </w:rPr>
            </w:pPr>
            <w:hyperlink r:id="rId35">
              <w:r>
                <w:rPr>
                  <w:rFonts w:ascii="Arial" w:cs="Arial" w:eastAsia="Arial" w:hAnsi="Arial"/>
                  <w:sz w:val="16"/>
                  <w:szCs w:val="16"/>
                  <w:color w:val="0000EE"/>
                </w:rPr>
                <w:t>Citi Trends, Inc. (incorporated by reference to Exhibit 10.1 to the Company’s Current Report on Form 8-K filed</w:t>
              </w:r>
            </w:hyperlink>
          </w:p>
        </w:tc>
        <w:tc>
          <w:tcPr>
            <w:tcW w:w="220" w:type="dxa"/>
            <w:vAlign w:val="bottom"/>
            <w:gridSpan w:val="5"/>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3"/>
          </w:tcPr>
          <w:p>
            <w:pPr>
              <w:spacing w:after="0"/>
              <w:rPr>
                <w:rFonts w:ascii="Arial" w:cs="Arial" w:eastAsia="Arial" w:hAnsi="Arial"/>
                <w:sz w:val="16"/>
                <w:szCs w:val="16"/>
                <w:color w:val="0000EE"/>
              </w:rPr>
            </w:pPr>
            <w:hyperlink r:id="rId35">
              <w:r>
                <w:rPr>
                  <w:rFonts w:ascii="Arial" w:cs="Arial" w:eastAsia="Arial" w:hAnsi="Arial"/>
                  <w:sz w:val="16"/>
                  <w:szCs w:val="16"/>
                  <w:color w:val="0000EE"/>
                </w:rPr>
                <w:t>with the SEC on May 31, 2024).*</w:t>
              </w:r>
            </w:hyperlink>
          </w:p>
        </w:tc>
        <w:tc>
          <w:tcPr>
            <w:tcW w:w="5500" w:type="dxa"/>
            <w:vAlign w:val="bottom"/>
            <w:tcBorders>
              <w:top w:val="single" w:sz="8" w:color="0000EE"/>
            </w:tcBorders>
            <w:gridSpan w:val="10"/>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372"/>
        </w:trPr>
        <w:tc>
          <w:tcPr>
            <w:tcW w:w="960" w:type="dxa"/>
            <w:vAlign w:val="bottom"/>
          </w:tcPr>
          <w:p>
            <w:pPr>
              <w:spacing w:after="0"/>
              <w:rPr>
                <w:sz w:val="20"/>
                <w:szCs w:val="20"/>
                <w:color w:val="auto"/>
              </w:rPr>
            </w:pPr>
            <w:r>
              <w:rPr>
                <w:rFonts w:ascii="Arial" w:cs="Arial" w:eastAsia="Arial" w:hAnsi="Arial"/>
                <w:sz w:val="16"/>
                <w:szCs w:val="16"/>
                <w:color w:val="auto"/>
              </w:rPr>
              <w:t>31.1</w:t>
            </w:r>
          </w:p>
        </w:tc>
        <w:tc>
          <w:tcPr>
            <w:tcW w:w="790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Certification of Principal Executive Officer, Pursuant to Rule 13a-14(a) of the Securities Exchange Act of 1934,</w:t>
            </w:r>
          </w:p>
        </w:tc>
        <w:tc>
          <w:tcPr>
            <w:tcW w:w="240" w:type="dxa"/>
            <w:vAlign w:val="bottom"/>
            <w:gridSpan w:val="6"/>
          </w:tcPr>
          <w:p>
            <w:pPr>
              <w:spacing w:after="0"/>
              <w:rPr>
                <w:sz w:val="24"/>
                <w:szCs w:val="24"/>
                <w:color w:val="auto"/>
              </w:rPr>
            </w:pPr>
          </w:p>
        </w:tc>
      </w:tr>
      <w:tr>
        <w:trPr>
          <w:trHeight w:val="210"/>
        </w:trPr>
        <w:tc>
          <w:tcPr>
            <w:tcW w:w="960" w:type="dxa"/>
            <w:vAlign w:val="bottom"/>
          </w:tcPr>
          <w:p>
            <w:pPr>
              <w:spacing w:after="0"/>
              <w:rPr>
                <w:sz w:val="18"/>
                <w:szCs w:val="18"/>
                <w:color w:val="auto"/>
              </w:rPr>
            </w:pPr>
          </w:p>
        </w:tc>
        <w:tc>
          <w:tcPr>
            <w:tcW w:w="8140" w:type="dxa"/>
            <w:vAlign w:val="bottom"/>
            <w:gridSpan w:val="21"/>
          </w:tcPr>
          <w:p>
            <w:pPr>
              <w:spacing w:after="0"/>
              <w:rPr>
                <w:sz w:val="20"/>
                <w:szCs w:val="20"/>
                <w:color w:val="auto"/>
              </w:rPr>
            </w:pPr>
            <w:r>
              <w:rPr>
                <w:rFonts w:ascii="Arial" w:cs="Arial" w:eastAsia="Arial" w:hAnsi="Arial"/>
                <w:sz w:val="16"/>
                <w:szCs w:val="16"/>
                <w:color w:val="0000EE"/>
              </w:rPr>
              <w:t>Adopted Pursuant to Section 302 of the Sarbanes-Oxley Act of 2002.</w:t>
            </w:r>
            <w:r>
              <w:rPr>
                <w:rFonts w:ascii="Arial" w:cs="Arial" w:eastAsia="Arial" w:hAnsi="Arial"/>
                <w:sz w:val="16"/>
                <w:szCs w:val="16"/>
                <w:color w:val="000000"/>
              </w:rPr>
              <w:t>+</w:t>
            </w: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360" w:type="dxa"/>
            <w:vAlign w:val="bottom"/>
            <w:gridSpan w:val="4"/>
            <w:shd w:val="clear" w:color="auto" w:fill="0000EE"/>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358"/>
        </w:trPr>
        <w:tc>
          <w:tcPr>
            <w:tcW w:w="960" w:type="dxa"/>
            <w:vAlign w:val="bottom"/>
          </w:tcPr>
          <w:p>
            <w:pPr>
              <w:spacing w:after="0"/>
              <w:rPr>
                <w:sz w:val="20"/>
                <w:szCs w:val="20"/>
                <w:color w:val="auto"/>
              </w:rPr>
            </w:pPr>
            <w:r>
              <w:rPr>
                <w:rFonts w:ascii="Arial" w:cs="Arial" w:eastAsia="Arial" w:hAnsi="Arial"/>
                <w:sz w:val="16"/>
                <w:szCs w:val="16"/>
                <w:color w:val="auto"/>
              </w:rPr>
              <w:t>31.2</w:t>
            </w:r>
          </w:p>
        </w:tc>
        <w:tc>
          <w:tcPr>
            <w:tcW w:w="784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Certification of Principal Financial Officer, Pursuant to Rule 13a-14(a) of the Securities Exchange Act of 1934,</w:t>
            </w:r>
          </w:p>
        </w:tc>
        <w:tc>
          <w:tcPr>
            <w:tcW w:w="300" w:type="dxa"/>
            <w:vAlign w:val="bottom"/>
            <w:gridSpan w:val="9"/>
          </w:tcPr>
          <w:p>
            <w:pPr>
              <w:spacing w:after="0"/>
              <w:rPr>
                <w:sz w:val="24"/>
                <w:szCs w:val="24"/>
                <w:color w:val="auto"/>
              </w:rPr>
            </w:pPr>
          </w:p>
        </w:tc>
      </w:tr>
      <w:tr>
        <w:trPr>
          <w:trHeight w:val="209"/>
        </w:trPr>
        <w:tc>
          <w:tcPr>
            <w:tcW w:w="960" w:type="dxa"/>
            <w:vAlign w:val="bottom"/>
          </w:tcPr>
          <w:p>
            <w:pPr>
              <w:spacing w:after="0"/>
              <w:rPr>
                <w:sz w:val="18"/>
                <w:szCs w:val="18"/>
                <w:color w:val="auto"/>
              </w:rPr>
            </w:pPr>
          </w:p>
        </w:tc>
        <w:tc>
          <w:tcPr>
            <w:tcW w:w="8140" w:type="dxa"/>
            <w:vAlign w:val="bottom"/>
            <w:gridSpan w:val="21"/>
          </w:tcPr>
          <w:p>
            <w:pPr>
              <w:spacing w:after="0"/>
              <w:rPr>
                <w:sz w:val="20"/>
                <w:szCs w:val="20"/>
                <w:color w:val="auto"/>
              </w:rPr>
            </w:pPr>
            <w:r>
              <w:rPr>
                <w:rFonts w:ascii="Arial" w:cs="Arial" w:eastAsia="Arial" w:hAnsi="Arial"/>
                <w:sz w:val="16"/>
                <w:szCs w:val="16"/>
                <w:color w:val="0000EE"/>
              </w:rPr>
              <w:t>Adopted Pursuant to Section 302 of the Sarbanes-Oxley Act of 2002.</w:t>
            </w:r>
            <w:r>
              <w:rPr>
                <w:rFonts w:ascii="Arial" w:cs="Arial" w:eastAsia="Arial" w:hAnsi="Arial"/>
                <w:sz w:val="16"/>
                <w:szCs w:val="16"/>
                <w:color w:val="000000"/>
              </w:rPr>
              <w:t>+</w:t>
            </w: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360" w:type="dxa"/>
            <w:vAlign w:val="bottom"/>
            <w:gridSpan w:val="4"/>
            <w:shd w:val="clear" w:color="auto" w:fill="0000EE"/>
          </w:tcPr>
          <w:p>
            <w:pPr>
              <w:spacing w:after="0" w:line="20" w:lineRule="exact"/>
              <w:rPr>
                <w:sz w:val="1"/>
                <w:szCs w:val="1"/>
                <w:color w:val="auto"/>
              </w:rPr>
            </w:pPr>
          </w:p>
        </w:tc>
        <w:tc>
          <w:tcPr>
            <w:tcW w:w="3180" w:type="dxa"/>
            <w:vAlign w:val="bottom"/>
            <w:gridSpan w:val="16"/>
          </w:tcPr>
          <w:p>
            <w:pPr>
              <w:spacing w:after="0" w:line="20" w:lineRule="exact"/>
              <w:rPr>
                <w:sz w:val="1"/>
                <w:szCs w:val="1"/>
                <w:color w:val="auto"/>
              </w:rPr>
            </w:pPr>
          </w:p>
        </w:tc>
      </w:tr>
      <w:tr>
        <w:trPr>
          <w:trHeight w:val="358"/>
        </w:trPr>
        <w:tc>
          <w:tcPr>
            <w:tcW w:w="960" w:type="dxa"/>
            <w:vAlign w:val="bottom"/>
          </w:tcPr>
          <w:p>
            <w:pPr>
              <w:spacing w:after="0"/>
              <w:rPr>
                <w:sz w:val="20"/>
                <w:szCs w:val="20"/>
                <w:color w:val="auto"/>
              </w:rPr>
            </w:pPr>
            <w:r>
              <w:rPr>
                <w:rFonts w:ascii="Arial" w:cs="Arial" w:eastAsia="Arial" w:hAnsi="Arial"/>
                <w:sz w:val="16"/>
                <w:szCs w:val="16"/>
                <w:color w:val="auto"/>
              </w:rPr>
              <w:t>32.1</w:t>
            </w:r>
          </w:p>
        </w:tc>
        <w:tc>
          <w:tcPr>
            <w:tcW w:w="814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rPr>
              <w:t>Certifications Pursuant to 18 U.S.C. Section 1350, as adopted pursuant to Section 906 of the Sarbanes-Oxley Act</w:t>
            </w:r>
          </w:p>
        </w:tc>
      </w:tr>
      <w:tr>
        <w:trPr>
          <w:trHeight w:val="209"/>
        </w:trPr>
        <w:tc>
          <w:tcPr>
            <w:tcW w:w="960" w:type="dxa"/>
            <w:vAlign w:val="bottom"/>
          </w:tcPr>
          <w:p>
            <w:pPr>
              <w:spacing w:after="0"/>
              <w:rPr>
                <w:sz w:val="18"/>
                <w:szCs w:val="18"/>
                <w:color w:val="auto"/>
              </w:rPr>
            </w:pPr>
          </w:p>
        </w:tc>
        <w:tc>
          <w:tcPr>
            <w:tcW w:w="8140" w:type="dxa"/>
            <w:vAlign w:val="bottom"/>
            <w:gridSpan w:val="21"/>
          </w:tcPr>
          <w:p>
            <w:pPr>
              <w:spacing w:after="0"/>
              <w:rPr>
                <w:sz w:val="20"/>
                <w:szCs w:val="20"/>
                <w:color w:val="auto"/>
              </w:rPr>
            </w:pPr>
            <w:r>
              <w:rPr>
                <w:rFonts w:ascii="Arial" w:cs="Arial" w:eastAsia="Arial" w:hAnsi="Arial"/>
                <w:sz w:val="16"/>
                <w:szCs w:val="16"/>
                <w:color w:val="0000EE"/>
              </w:rPr>
              <w:t>of 2002.</w:t>
            </w:r>
            <w:r>
              <w:rPr>
                <w:rFonts w:ascii="Arial" w:cs="Arial" w:eastAsia="Arial" w:hAnsi="Arial"/>
                <w:sz w:val="16"/>
                <w:szCs w:val="16"/>
                <w:color w:val="000000"/>
              </w:rPr>
              <w:t>+ †</w:t>
            </w: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960" w:right="80" w:hanging="952"/>
        <w:spacing w:after="0" w:line="339"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88" w:lineRule="exact"/>
        <w:rPr>
          <w:sz w:val="20"/>
          <w:szCs w:val="20"/>
          <w:color w:val="auto"/>
        </w:rPr>
      </w:pPr>
    </w:p>
    <w:p>
      <w:pPr>
        <w:ind w:left="960" w:right="280" w:hanging="952"/>
        <w:spacing w:after="0" w:line="339"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114" w:lineRule="exact"/>
        <w:rPr>
          <w:rFonts w:ascii="Arial" w:cs="Arial" w:eastAsia="Arial" w:hAnsi="Arial"/>
          <w:sz w:val="16"/>
          <w:szCs w:val="16"/>
          <w:color w:val="auto"/>
        </w:rPr>
      </w:pPr>
    </w:p>
    <w:p>
      <w:pPr>
        <w:ind w:left="360" w:hanging="355"/>
        <w:spacing w:after="0"/>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-158750</wp:posOffset>
            </wp:positionV>
            <wp:extent cx="1448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93" w:lineRule="exact"/>
        <w:rPr>
          <w:sz w:val="20"/>
          <w:szCs w:val="20"/>
          <w:color w:val="auto"/>
        </w:rPr>
      </w:pPr>
    </w:p>
    <w:p>
      <w:pPr>
        <w:ind w:left="420" w:hanging="415"/>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Indicates management contract for compensatory plan or arrangement</w:t>
      </w:r>
    </w:p>
    <w:p>
      <w:pPr>
        <w:spacing w:after="0" w:line="140" w:lineRule="exact"/>
        <w:rPr>
          <w:sz w:val="20"/>
          <w:szCs w:val="20"/>
          <w:color w:val="auto"/>
        </w:rPr>
      </w:pPr>
    </w:p>
    <w:p>
      <w:pPr>
        <w:ind w:right="100" w:firstLine="5"/>
        <w:spacing w:after="0" w:line="269" w:lineRule="auto"/>
        <w:tabs>
          <w:tab w:leader="none" w:pos="4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ind w:right="60" w:firstLine="648"/>
        <w:spacing w:after="0" w:line="26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and the undersigned also has signed this report in her capacity as the Registrant’s Principal Financial Officer.</w:t>
      </w:r>
    </w:p>
    <w:p>
      <w:pPr>
        <w:spacing w:after="0" w:line="212"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CITI TRENDS, INC.</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Date: June 12, 2024</w:t>
      </w:r>
    </w:p>
    <w:p>
      <w:pPr>
        <w:spacing w:after="0" w:line="302" w:lineRule="exact"/>
        <w:rPr>
          <w:sz w:val="20"/>
          <w:szCs w:val="20"/>
          <w:color w:val="auto"/>
        </w:rPr>
      </w:pPr>
    </w:p>
    <w:tbl>
      <w:tblPr>
        <w:tblLayout w:type="fixed"/>
        <w:tblInd w:w="4580"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Arial" w:cs="Arial" w:eastAsia="Arial" w:hAnsi="Arial"/>
                <w:sz w:val="16"/>
                <w:szCs w:val="16"/>
                <w:color w:val="auto"/>
              </w:rPr>
              <w:t>By:</w:t>
            </w:r>
          </w:p>
        </w:tc>
        <w:tc>
          <w:tcPr>
            <w:tcW w:w="3880" w:type="dxa"/>
            <w:vAlign w:val="bottom"/>
          </w:tcPr>
          <w:p>
            <w:pPr>
              <w:spacing w:after="0"/>
              <w:rPr>
                <w:sz w:val="20"/>
                <w:szCs w:val="20"/>
                <w:color w:val="auto"/>
              </w:rPr>
            </w:pPr>
            <w:r>
              <w:rPr>
                <w:rFonts w:ascii="Arial" w:cs="Arial" w:eastAsia="Arial" w:hAnsi="Arial"/>
                <w:sz w:val="16"/>
                <w:szCs w:val="16"/>
                <w:color w:val="auto"/>
              </w:rPr>
              <w:t>/s/ Heather Plutino</w:t>
            </w:r>
          </w:p>
        </w:tc>
        <w:tc>
          <w:tcPr>
            <w:tcW w:w="0" w:type="dxa"/>
            <w:vAlign w:val="bottom"/>
          </w:tcPr>
          <w:p>
            <w:pPr>
              <w:spacing w:after="0"/>
              <w:rPr>
                <w:sz w:val="1"/>
                <w:szCs w:val="1"/>
                <w:color w:val="auto"/>
              </w:rPr>
            </w:pPr>
          </w:p>
        </w:tc>
      </w:tr>
      <w:tr>
        <w:trPr>
          <w:trHeight w:val="29"/>
        </w:trPr>
        <w:tc>
          <w:tcPr>
            <w:tcW w:w="66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6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Heather Plutino</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0"/>
                <w:szCs w:val="20"/>
                <w:color w:val="auto"/>
              </w:rPr>
            </w:pPr>
            <w:r>
              <w:rPr>
                <w:rFonts w:ascii="Arial" w:cs="Arial" w:eastAsia="Arial" w:hAnsi="Arial"/>
                <w:sz w:val="16"/>
                <w:szCs w:val="16"/>
                <w:color w:val="auto"/>
              </w:rPr>
              <w:t>Title:</w:t>
            </w:r>
          </w:p>
        </w:tc>
        <w:tc>
          <w:tcPr>
            <w:tcW w:w="388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8" w:name="page19"/>
    <w:bookmarkEnd w:id="1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Kenneth D. Seipel, certify that:</w:t>
      </w:r>
    </w:p>
    <w:p>
      <w:pPr>
        <w:spacing w:after="0" w:line="225" w:lineRule="exact"/>
        <w:rPr>
          <w:sz w:val="20"/>
          <w:szCs w:val="20"/>
          <w:color w:val="auto"/>
        </w:rPr>
      </w:pPr>
    </w:p>
    <w:p>
      <w:pPr>
        <w:ind w:left="700" w:hanging="656"/>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May 4, 2024 of Citi Trends, Inc.;</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19" w:hanging="648"/>
        <w:spacing w:after="0" w:line="261"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79" w:hanging="656"/>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40" w:right="379" w:hanging="648"/>
        <w:spacing w:after="0" w:line="258"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340" w:right="159" w:hanging="648"/>
        <w:spacing w:after="0" w:line="266"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12, 2024</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30429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Kenneth D. Seipel</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 w:name="page20"/>
    <w:bookmarkEnd w:id="1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Heather Plutino, certify that:</w:t>
      </w:r>
    </w:p>
    <w:p>
      <w:pPr>
        <w:spacing w:after="0" w:line="225" w:lineRule="exact"/>
        <w:rPr>
          <w:sz w:val="20"/>
          <w:szCs w:val="20"/>
          <w:color w:val="auto"/>
        </w:rPr>
      </w:pPr>
    </w:p>
    <w:p>
      <w:pPr>
        <w:ind w:left="700" w:hanging="656"/>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May 4, 2024 of Citi Trends, Inc.;</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19" w:hanging="648"/>
        <w:spacing w:after="0" w:line="261"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79" w:hanging="656"/>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40" w:right="379" w:hanging="648"/>
        <w:spacing w:after="0" w:line="258"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340" w:right="159" w:hanging="648"/>
        <w:spacing w:after="0" w:line="266"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12, 2024</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/s/ Heather Plutino</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30346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 w:name="page21"/>
    <w:bookmarkEnd w:id="2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Certifications pursuant to Section 906 of the Sarbanes-Oxley Act of 2002 (18 U.S.C. § 1350, as adopted).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Kenneth D. Seipel, Chief Executive Officer of Citi Trends, Inc.,</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Heather Plutino, Interim Chief Financial Officer of Citi Trends, Inc., certify that:</w:t>
      </w:r>
    </w:p>
    <w:p>
      <w:pPr>
        <w:spacing w:after="0" w:line="225" w:lineRule="exact"/>
        <w:rPr>
          <w:sz w:val="20"/>
          <w:szCs w:val="20"/>
          <w:color w:val="auto"/>
        </w:rPr>
      </w:pPr>
    </w:p>
    <w:p>
      <w:pPr>
        <w:ind w:left="220" w:hanging="176"/>
        <w:spacing w:after="0"/>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reviewed this quarterly report on Form 10-Q of Citi Trends, Inc. for the period ended May 4, 2024;</w:t>
      </w:r>
    </w:p>
    <w:p>
      <w:pPr>
        <w:spacing w:after="0" w:line="211" w:lineRule="exact"/>
        <w:rPr>
          <w:rFonts w:ascii="Times New Roman" w:cs="Times New Roman" w:eastAsia="Times New Roman" w:hAnsi="Times New Roman"/>
          <w:sz w:val="18"/>
          <w:szCs w:val="18"/>
          <w:color w:val="auto"/>
        </w:rPr>
      </w:pPr>
    </w:p>
    <w:p>
      <w:pPr>
        <w:ind w:left="40" w:right="179" w:firstLine="4"/>
        <w:spacing w:after="0" w:line="282" w:lineRule="auto"/>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knowledge, this quarterly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40" w:right="79" w:firstLine="4"/>
        <w:spacing w:after="0" w:line="266" w:lineRule="auto"/>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12, 2024</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 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17145</wp:posOffset>
            </wp:positionV>
            <wp:extent cx="29832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Kenneth D. Seipel</w:t>
      </w:r>
    </w:p>
    <w:p>
      <w:pPr>
        <w:spacing w:after="0" w:line="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12, 2024</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 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17145</wp:posOffset>
            </wp:positionV>
            <wp:extent cx="29832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Heather Plutino</w:t>
      </w:r>
    </w:p>
    <w:p>
      <w:pPr>
        <w:spacing w:after="0" w:line="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ind w:left="40" w:right="5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6"/>
    </w:lvl>
  </w:abstractNum>
  <w:abstractNum w:abstractNumId="7">
    <w:nsid w:val="DED7263"/>
    <w:multiLevelType w:val="hybridMultilevel"/>
    <w:lvl w:ilvl="0">
      <w:lvlJc w:val="left"/>
      <w:lvlText w:val="%1."/>
      <w:numFmt w:val="decimal"/>
      <w:start w:val="7"/>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Roman"/>
      <w:start w:val="4"/>
    </w:lvl>
  </w:abstractNum>
  <w:abstractNum w:abstractNumId="12">
    <w:nsid w:val="4E6AFB66"/>
    <w:multiLevelType w:val="hybridMultilevel"/>
    <w:lvl w:ilvl="0">
      <w:lvlJc w:val="left"/>
      <w:lvlText w:val="(%1)"/>
      <w:numFmt w:val="decimal"/>
      <w:start w:val="3"/>
    </w:lvl>
  </w:abstractNum>
  <w:abstractNum w:abstractNumId="13">
    <w:nsid w:val="25E45D32"/>
    <w:multiLevelType w:val="hybridMultilevel"/>
    <w:lvl w:ilvl="0">
      <w:lvlJc w:val="left"/>
      <w:lvlText w:val="%1"/>
      <w:numFmt w:val="decimal"/>
      <w:start w:val="101"/>
    </w:lvl>
  </w:abstractNum>
  <w:abstractNum w:abstractNumId="14">
    <w:nsid w:val="519B500D"/>
    <w:multiLevelType w:val="hybridMultilevel"/>
    <w:lvl w:ilvl="0">
      <w:lvlJc w:val="left"/>
      <w:lvlText w:val="+"/>
      <w:numFmt w:val="bullet"/>
      <w:start w:val="1"/>
    </w:lvl>
    <w:lvl w:ilvl="1">
      <w:lvlJc w:val="left"/>
      <w:lvlText w:val="%2"/>
      <w:numFmt w:val="decimal"/>
      <w:start w:val="104"/>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28" Type="http://schemas.openxmlformats.org/officeDocument/2006/relationships/hyperlink" Target="http://www.sec.gov/Archives/edgar/data/1318484/000110465918038871/a18-15022_1ex3d1.htm" TargetMode="External"/><Relationship Id="rId29" Type="http://schemas.openxmlformats.org/officeDocument/2006/relationships/hyperlink" Target="https://www.sec.gov/Archives/edgar/data/1318484/000110465922113020/tm2229093d1_ex3-2.htm" TargetMode="External"/><Relationship Id="rId30" Type="http://schemas.openxmlformats.org/officeDocument/2006/relationships/hyperlink" Target="https://www.sec.gov/Archives/edgar/data/1318484/000110465923124684/tm2332359d1_ex3-1.htm" TargetMode="External"/><Relationship Id="rId31" Type="http://schemas.openxmlformats.org/officeDocument/2006/relationships/hyperlink" Target="https://www.sec.gov/Archives/edgar/data/1318484/000110465924057737/tm2413614d1_ex3-1.htm" TargetMode="External"/><Relationship Id="rId32" Type="http://schemas.openxmlformats.org/officeDocument/2006/relationships/hyperlink" Target="https://www.sec.gov/Archives/edgar/data/1318484/000110465924029257/tm244439d2_ex4-2.htm" TargetMode="External"/><Relationship Id="rId33" Type="http://schemas.openxmlformats.org/officeDocument/2006/relationships/hyperlink" Target="https://www.sec.gov/Archives/edgar/data/1318484/000110465924057737/tm2413614d1_ex4-3.htm" TargetMode="External"/><Relationship Id="rId34" Type="http://schemas.openxmlformats.org/officeDocument/2006/relationships/hyperlink" Target="https://www.sec.gov/Archives/edgar/data/1318484/000110465924029257/tm244439d2_ex10-1.htm" TargetMode="External"/><Relationship Id="rId35" Type="http://schemas.openxmlformats.org/officeDocument/2006/relationships/hyperlink" Target="https://www.sec.gov/Archives/edgar/data/1318484/000110465924066928/tm241598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2024-06-12T14:24:02Z</dcterms:created>
  <dcterms:modified xsi:type="dcterms:W3CDTF">2024-06-12T14:24:02Z</dcterms:modified>
</cp:coreProperties>
</file>