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9"/>
          <w:szCs w:val="19"/>
          <w:u w:val="single" w:color="auto"/>
          <w:color w:val="0000EE"/>
        </w:rPr>
        <w:t>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381635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424180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38" w:lineRule="exact"/>
        <w:rPr>
          <w:sz w:val="24"/>
          <w:szCs w:val="24"/>
          <w:color w:val="auto"/>
        </w:rPr>
      </w:pPr>
    </w:p>
    <w:p>
      <w:pPr>
        <w:ind w:left="660" w:hanging="40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170815</wp:posOffset>
            </wp:positionH>
            <wp:positionV relativeFrom="paragraph">
              <wp:posOffset>-101600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October 31, 2020</w:t>
      </w:r>
    </w:p>
    <w:p>
      <w:pPr>
        <w:spacing w:after="0" w:line="1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60" w:lineRule="exact"/>
        <w:rPr>
          <w:sz w:val="24"/>
          <w:szCs w:val="24"/>
          <w:color w:val="auto"/>
        </w:rPr>
      </w:pPr>
    </w:p>
    <w:p>
      <w:pPr>
        <w:ind w:left="3540" w:right="120" w:hanging="3288"/>
        <w:spacing w:after="0" w:line="391" w:lineRule="auto"/>
        <w:tabs>
          <w:tab w:leader="none" w:pos="65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000-51315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170815</wp:posOffset>
            </wp:positionH>
            <wp:positionV relativeFrom="paragraph">
              <wp:posOffset>-398780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CITI TRENDS, INC.</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38" w:lineRule="exact"/>
        <w:rPr>
          <w:sz w:val="24"/>
          <w:szCs w:val="24"/>
          <w:color w:val="auto"/>
        </w:rPr>
      </w:pPr>
    </w:p>
    <w:tbl>
      <w:tblPr>
        <w:tblLayout w:type="fixed"/>
        <w:tblInd w:w="1020" w:type="dxa"/>
        <w:tblCellMar>
          <w:top w:w="0" w:type="dxa"/>
          <w:left w:w="0" w:type="dxa"/>
          <w:bottom w:w="0" w:type="dxa"/>
          <w:right w:w="0" w:type="dxa"/>
        </w:tblCellMar>
      </w:tblPr>
      <w:tr>
        <w:trPr>
          <w:trHeight w:val="220"/>
        </w:trPr>
        <w:tc>
          <w:tcPr>
            <w:tcW w:w="4320" w:type="dxa"/>
            <w:vAlign w:val="bottom"/>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52-2150697</w:t>
            </w:r>
          </w:p>
        </w:tc>
      </w:tr>
      <w:tr>
        <w:trPr>
          <w:trHeight w:val="216"/>
        </w:trPr>
        <w:tc>
          <w:tcPr>
            <w:tcW w:w="4320" w:type="dxa"/>
            <w:vAlign w:val="bottom"/>
          </w:tcPr>
          <w:p>
            <w:pPr>
              <w:jc w:val="center"/>
              <w:ind w:right="13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82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320" w:type="dxa"/>
            <w:vAlign w:val="bottom"/>
          </w:tcPr>
          <w:p>
            <w:pPr>
              <w:jc w:val="center"/>
              <w:ind w:right="139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8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320" w:type="dxa"/>
            <w:vAlign w:val="bottom"/>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9"/>
              </w:rPr>
              <w:t>104 Coleman Boulevard</w:t>
            </w:r>
          </w:p>
        </w:tc>
        <w:tc>
          <w:tcPr>
            <w:tcW w:w="2820" w:type="dxa"/>
            <w:vAlign w:val="bottom"/>
          </w:tcPr>
          <w:p>
            <w:pPr>
              <w:spacing w:after="0"/>
              <w:rPr>
                <w:sz w:val="24"/>
                <w:szCs w:val="24"/>
                <w:color w:val="auto"/>
              </w:rPr>
            </w:pPr>
          </w:p>
        </w:tc>
      </w:tr>
      <w:tr>
        <w:trPr>
          <w:trHeight w:val="220"/>
        </w:trPr>
        <w:tc>
          <w:tcPr>
            <w:tcW w:w="4320" w:type="dxa"/>
            <w:vAlign w:val="bottom"/>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rPr>
              <w:t>Savannah, Georgia</w:t>
            </w:r>
          </w:p>
        </w:tc>
        <w:tc>
          <w:tcPr>
            <w:tcW w:w="28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31408</w:t>
            </w:r>
          </w:p>
        </w:tc>
      </w:tr>
      <w:tr>
        <w:trPr>
          <w:trHeight w:val="234"/>
        </w:trPr>
        <w:tc>
          <w:tcPr>
            <w:tcW w:w="4320" w:type="dxa"/>
            <w:vAlign w:val="bottom"/>
          </w:tcPr>
          <w:p>
            <w:pPr>
              <w:jc w:val="center"/>
              <w:ind w:right="13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82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99"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18"/>
          <w:szCs w:val="18"/>
          <w:color w:val="auto"/>
        </w:rPr>
        <w:t>Registrant’s telephone number, including area code (</w:t>
      </w:r>
      <w:r>
        <w:rPr>
          <w:rFonts w:ascii="Times New Roman" w:cs="Times New Roman" w:eastAsia="Times New Roman" w:hAnsi="Times New Roman"/>
          <w:sz w:val="18"/>
          <w:szCs w:val="18"/>
          <w:b w:val="1"/>
          <w:bCs w:val="1"/>
          <w:color w:val="auto"/>
        </w:rPr>
        <w:t>912) 236-1561</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9" w:lineRule="exact"/>
        <w:rPr>
          <w:sz w:val="24"/>
          <w:szCs w:val="24"/>
          <w:color w:val="auto"/>
        </w:rPr>
      </w:pPr>
    </w:p>
    <w:tbl>
      <w:tblPr>
        <w:tblLayout w:type="fixed"/>
        <w:tblInd w:w="30" w:type="dxa"/>
        <w:tblCellMar>
          <w:top w:w="0" w:type="dxa"/>
          <w:left w:w="0" w:type="dxa"/>
          <w:bottom w:w="0" w:type="dxa"/>
          <w:right w:w="0" w:type="dxa"/>
        </w:tblCellMar>
      </w:tblPr>
      <w:tr>
        <w:trPr>
          <w:trHeight w:val="230"/>
        </w:trPr>
        <w:tc>
          <w:tcPr>
            <w:tcW w:w="3120" w:type="dxa"/>
            <w:vAlign w:val="bottom"/>
            <w:tcBorders>
              <w:top w:val="single" w:sz="8" w:color="auto"/>
              <w:lef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6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4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2880" w:type="dxa"/>
            <w:vAlign w:val="bottom"/>
            <w:tcBorders>
              <w:top w:val="single" w:sz="8" w:color="auto"/>
              <w:left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40" w:type="dxa"/>
            <w:vAlign w:val="bottom"/>
            <w:tcBorders>
              <w:bottom w:val="single" w:sz="8" w:color="auto"/>
            </w:tcBorders>
          </w:tcPr>
          <w:p>
            <w:pPr>
              <w:spacing w:after="0"/>
              <w:rPr>
                <w:sz w:val="18"/>
                <w:szCs w:val="18"/>
                <w:color w:val="auto"/>
              </w:rPr>
            </w:pPr>
          </w:p>
        </w:tc>
        <w:tc>
          <w:tcPr>
            <w:tcW w:w="23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CTRN</w:t>
            </w:r>
          </w:p>
        </w:tc>
        <w:tc>
          <w:tcPr>
            <w:tcW w:w="260" w:type="dxa"/>
            <w:vAlign w:val="bottom"/>
            <w:tcBorders>
              <w:bottom w:val="single" w:sz="8" w:color="auto"/>
            </w:tcBorders>
          </w:tcPr>
          <w:p>
            <w:pPr>
              <w:spacing w:after="0"/>
              <w:rPr>
                <w:sz w:val="18"/>
                <w:szCs w:val="18"/>
                <w:color w:val="auto"/>
              </w:rPr>
            </w:pPr>
          </w:p>
        </w:tc>
        <w:tc>
          <w:tcPr>
            <w:tcW w:w="4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Stock Market</w:t>
            </w:r>
          </w:p>
        </w:tc>
      </w:tr>
    </w:tbl>
    <w:p>
      <w:pPr>
        <w:spacing w:after="0" w:line="103" w:lineRule="exact"/>
        <w:rPr>
          <w:sz w:val="24"/>
          <w:szCs w:val="24"/>
          <w:color w:val="auto"/>
        </w:rPr>
      </w:pPr>
    </w:p>
    <w:p>
      <w:pPr>
        <w:ind w:right="2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ind w:right="1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40"/>
          </w:cols>
          <w:pgMar w:left="980" w:top="657" w:right="979" w:bottom="1440" w:gutter="0" w:footer="0" w:header="0"/>
        </w:sectPr>
      </w:pPr>
    </w:p>
    <w:p>
      <w:pPr>
        <w:spacing w:after="0" w:line="14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3">
            <w:col w:w="3000" w:space="720"/>
            <w:col w:w="2100" w:space="720"/>
            <w:col w:w="3400"/>
          </w:cols>
          <w:pgMar w:left="980" w:top="657" w:right="979" w:bottom="1440" w:gutter="0" w:footer="0" w:header="0"/>
          <w:type w:val="continuous"/>
        </w:sectPr>
      </w:pPr>
    </w:p>
    <w:p>
      <w:pPr>
        <w:spacing w:after="0" w:line="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71" w:lineRule="exact"/>
        <w:rPr>
          <w:sz w:val="24"/>
          <w:szCs w:val="24"/>
          <w:color w:val="auto"/>
        </w:rPr>
      </w:pPr>
    </w:p>
    <w:p>
      <w:pPr>
        <w:sectPr>
          <w:pgSz w:w="11900" w:h="16838" w:orient="portrait"/>
          <w:cols w:equalWidth="0" w:num="2">
            <w:col w:w="5820" w:space="720"/>
            <w:col w:w="3400"/>
          </w:cols>
          <w:pgMar w:left="980" w:top="657" w:right="979" w:bottom="1440" w:gutter="0" w:footer="0" w:header="0"/>
          <w:type w:val="continuous"/>
        </w:sectPr>
      </w:pPr>
    </w:p>
    <w:p>
      <w:pPr>
        <w:ind w:right="700"/>
        <w:spacing w:after="0" w:line="23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6" w:lineRule="exact"/>
        <w:rPr>
          <w:sz w:val="24"/>
          <w:szCs w:val="24"/>
          <w:color w:val="auto"/>
        </w:rPr>
      </w:pPr>
    </w:p>
    <w:p>
      <w:pPr>
        <w:ind w:right="640"/>
        <w:spacing w:after="0" w:line="30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November 16, 2020 the registrant had 10,138,962 outstanding shares of 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548640</wp:posOffset>
            </wp:positionV>
            <wp:extent cx="62922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171450</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154305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9940"/>
          </w:cols>
          <w:pgMar w:left="980" w:top="657" w:right="9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000" w:type="dxa"/>
            <w:vAlign w:val="bottom"/>
            <w:gridSpan w:val="8"/>
          </w:tcPr>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tc>
        <w:tc>
          <w:tcPr>
            <w:tcW w:w="920" w:type="dxa"/>
            <w:vAlign w:val="bottom"/>
          </w:tcPr>
          <w:p>
            <w:pPr>
              <w:spacing w:after="0"/>
              <w:rPr>
                <w:sz w:val="20"/>
                <w:szCs w:val="20"/>
                <w:color w:val="auto"/>
              </w:rPr>
            </w:pPr>
          </w:p>
        </w:tc>
      </w:tr>
      <w:tr>
        <w:trPr>
          <w:trHeight w:val="756"/>
        </w:trPr>
        <w:tc>
          <w:tcPr>
            <w:tcW w:w="7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CITI TRENDS, INC.</w:t>
            </w:r>
          </w:p>
        </w:tc>
        <w:tc>
          <w:tcPr>
            <w:tcW w:w="322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FORM 10-Q</w:t>
            </w:r>
          </w:p>
        </w:tc>
        <w:tc>
          <w:tcPr>
            <w:tcW w:w="354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8220" w:type="dxa"/>
            <w:vAlign w:val="bottom"/>
            <w:gridSpan w:val="7"/>
          </w:tcPr>
          <w:p>
            <w:pPr>
              <w:jc w:val="center"/>
              <w:ind w:left="50"/>
              <w:spacing w:after="0" w:line="196" w:lineRule="exact"/>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20" w:type="dxa"/>
            <w:vAlign w:val="bottom"/>
          </w:tcPr>
          <w:p>
            <w:pPr>
              <w:spacing w:after="0"/>
              <w:rPr>
                <w:sz w:val="17"/>
                <w:szCs w:val="17"/>
                <w:color w:val="auto"/>
              </w:rPr>
            </w:pPr>
          </w:p>
        </w:tc>
      </w:tr>
      <w:tr>
        <w:trPr>
          <w:trHeight w:val="263"/>
        </w:trPr>
        <w:tc>
          <w:tcPr>
            <w:tcW w:w="78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3080" w:type="dxa"/>
            <w:vAlign w:val="bottom"/>
          </w:tcPr>
          <w:p>
            <w:pPr>
              <w:spacing w:after="0"/>
              <w:rPr>
                <w:sz w:val="22"/>
                <w:szCs w:val="22"/>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50"/>
        </w:trPr>
        <w:tc>
          <w:tcPr>
            <w:tcW w:w="78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NUMBER</w:t>
            </w:r>
          </w:p>
        </w:tc>
      </w:tr>
      <w:tr>
        <w:trPr>
          <w:trHeight w:val="230"/>
        </w:trPr>
        <w:tc>
          <w:tcPr>
            <w:tcW w:w="780" w:type="dxa"/>
            <w:vAlign w:val="bottom"/>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PART I</w:t>
              </w:r>
            </w:hyperlink>
          </w:p>
        </w:tc>
        <w:tc>
          <w:tcPr>
            <w:tcW w:w="8220" w:type="dxa"/>
            <w:vAlign w:val="bottom"/>
            <w:gridSpan w:val="7"/>
          </w:tcPr>
          <w:p>
            <w:pPr>
              <w:ind w:left="16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FINANCIAL INFORMATION</w:t>
              </w:r>
            </w:hyperlink>
          </w:p>
        </w:tc>
        <w:tc>
          <w:tcPr>
            <w:tcW w:w="920" w:type="dxa"/>
            <w:vAlign w:val="bottom"/>
          </w:tcPr>
          <w:p>
            <w:pPr>
              <w:spacing w:after="0"/>
              <w:rPr>
                <w:sz w:val="19"/>
                <w:szCs w:val="19"/>
                <w:color w:val="auto"/>
              </w:rPr>
            </w:pPr>
          </w:p>
        </w:tc>
      </w:tr>
      <w:tr>
        <w:trPr>
          <w:trHeight w:val="432"/>
        </w:trPr>
        <w:tc>
          <w:tcPr>
            <w:tcW w:w="780" w:type="dxa"/>
            <w:vAlign w:val="bottom"/>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Item 1</w:t>
              </w:r>
            </w:hyperlink>
          </w:p>
        </w:tc>
        <w:tc>
          <w:tcPr>
            <w:tcW w:w="8220" w:type="dxa"/>
            <w:vAlign w:val="bottom"/>
            <w:gridSpan w:val="7"/>
          </w:tcPr>
          <w:p>
            <w:pPr>
              <w:ind w:left="16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Financial Statements (unaudited)</w:t>
              </w:r>
            </w:hyperlink>
          </w:p>
        </w:tc>
        <w:tc>
          <w:tcPr>
            <w:tcW w:w="920" w:type="dxa"/>
            <w:vAlign w:val="bottom"/>
          </w:tcPr>
          <w:p>
            <w:pPr>
              <w:spacing w:after="0"/>
              <w:rPr>
                <w:sz w:val="24"/>
                <w:szCs w:val="24"/>
                <w:color w:val="auto"/>
              </w:rPr>
            </w:pPr>
          </w:p>
        </w:tc>
      </w:tr>
      <w:tr>
        <w:trPr>
          <w:trHeight w:val="432"/>
        </w:trPr>
        <w:tc>
          <w:tcPr>
            <w:tcW w:w="780" w:type="dxa"/>
            <w:vAlign w:val="bottom"/>
          </w:tcPr>
          <w:p>
            <w:pPr>
              <w:spacing w:after="0"/>
              <w:rPr>
                <w:sz w:val="24"/>
                <w:szCs w:val="24"/>
                <w:color w:val="auto"/>
              </w:rPr>
            </w:pPr>
          </w:p>
        </w:tc>
        <w:tc>
          <w:tcPr>
            <w:tcW w:w="8220" w:type="dxa"/>
            <w:vAlign w:val="bottom"/>
            <w:gridSpan w:val="7"/>
          </w:tcPr>
          <w:p>
            <w:pPr>
              <w:ind w:left="16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Condensed Consolidated Balance Sheets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32"/>
        </w:trPr>
        <w:tc>
          <w:tcPr>
            <w:tcW w:w="780" w:type="dxa"/>
            <w:vAlign w:val="bottom"/>
          </w:tcPr>
          <w:p>
            <w:pPr>
              <w:spacing w:after="0"/>
              <w:rPr>
                <w:sz w:val="24"/>
                <w:szCs w:val="24"/>
                <w:color w:val="auto"/>
              </w:rPr>
            </w:pPr>
          </w:p>
        </w:tc>
        <w:tc>
          <w:tcPr>
            <w:tcW w:w="8220" w:type="dxa"/>
            <w:vAlign w:val="bottom"/>
            <w:gridSpan w:val="7"/>
          </w:tcPr>
          <w:p>
            <w:pPr>
              <w:ind w:left="1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Condensed Consolidated Statements of Operations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780" w:type="dxa"/>
            <w:vAlign w:val="bottom"/>
          </w:tcPr>
          <w:p>
            <w:pPr>
              <w:spacing w:after="0"/>
              <w:rPr>
                <w:sz w:val="24"/>
                <w:szCs w:val="24"/>
                <w:color w:val="auto"/>
              </w:rPr>
            </w:pPr>
          </w:p>
        </w:tc>
        <w:tc>
          <w:tcPr>
            <w:tcW w:w="8220" w:type="dxa"/>
            <w:vAlign w:val="bottom"/>
            <w:gridSpan w:val="7"/>
          </w:tcPr>
          <w:p>
            <w:pPr>
              <w:ind w:left="1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Condensed Consolidated Statements of Cash Flows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780" w:type="dxa"/>
            <w:vAlign w:val="bottom"/>
          </w:tcPr>
          <w:p>
            <w:pPr>
              <w:spacing w:after="0"/>
              <w:rPr>
                <w:sz w:val="24"/>
                <w:szCs w:val="24"/>
                <w:color w:val="auto"/>
              </w:rPr>
            </w:pPr>
          </w:p>
        </w:tc>
        <w:tc>
          <w:tcPr>
            <w:tcW w:w="8220" w:type="dxa"/>
            <w:vAlign w:val="bottom"/>
            <w:gridSpan w:val="7"/>
          </w:tcPr>
          <w:p>
            <w:pPr>
              <w:ind w:left="16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Condensed Consolidated Statements of Stockholders’ Equity</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780" w:type="dxa"/>
            <w:vAlign w:val="bottom"/>
          </w:tcPr>
          <w:p>
            <w:pPr>
              <w:spacing w:after="0"/>
              <w:rPr>
                <w:sz w:val="24"/>
                <w:szCs w:val="24"/>
                <w:color w:val="auto"/>
              </w:rPr>
            </w:pPr>
          </w:p>
        </w:tc>
        <w:tc>
          <w:tcPr>
            <w:tcW w:w="8220" w:type="dxa"/>
            <w:vAlign w:val="bottom"/>
            <w:gridSpan w:val="7"/>
          </w:tcPr>
          <w:p>
            <w:pPr>
              <w:ind w:left="16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Notes to the Condensed Consolidated Financial Statements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32"/>
        </w:trPr>
        <w:tc>
          <w:tcPr>
            <w:tcW w:w="780" w:type="dxa"/>
            <w:vAlign w:val="bottom"/>
          </w:tcPr>
          <w:p>
            <w:pPr>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Item 2</w:t>
              </w:r>
            </w:hyperlink>
          </w:p>
        </w:tc>
        <w:tc>
          <w:tcPr>
            <w:tcW w:w="8220" w:type="dxa"/>
            <w:vAlign w:val="bottom"/>
            <w:gridSpan w:val="7"/>
          </w:tcPr>
          <w:p>
            <w:pPr>
              <w:ind w:left="160"/>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32"/>
        </w:trPr>
        <w:tc>
          <w:tcPr>
            <w:tcW w:w="780" w:type="dxa"/>
            <w:vAlign w:val="bottom"/>
          </w:tcPr>
          <w:p>
            <w:pPr>
              <w:spacing w:after="0"/>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Item 3</w:t>
              </w:r>
            </w:hyperlink>
          </w:p>
        </w:tc>
        <w:tc>
          <w:tcPr>
            <w:tcW w:w="8220" w:type="dxa"/>
            <w:vAlign w:val="bottom"/>
            <w:gridSpan w:val="7"/>
          </w:tcPr>
          <w:p>
            <w:pPr>
              <w:ind w:left="160"/>
              <w:spacing w:after="0"/>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Quantitative and Qualitative Disclosures About Market Risk</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32"/>
        </w:trPr>
        <w:tc>
          <w:tcPr>
            <w:tcW w:w="780" w:type="dxa"/>
            <w:vAlign w:val="bottom"/>
          </w:tcPr>
          <w:p>
            <w:pPr>
              <w:spacing w:after="0"/>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Item 4</w:t>
              </w:r>
            </w:hyperlink>
          </w:p>
        </w:tc>
        <w:tc>
          <w:tcPr>
            <w:tcW w:w="8220" w:type="dxa"/>
            <w:vAlign w:val="bottom"/>
            <w:gridSpan w:val="7"/>
          </w:tcPr>
          <w:p>
            <w:pPr>
              <w:ind w:left="160"/>
              <w:spacing w:after="0"/>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Controls and Procedures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32"/>
        </w:trPr>
        <w:tc>
          <w:tcPr>
            <w:tcW w:w="780" w:type="dxa"/>
            <w:vAlign w:val="bottom"/>
          </w:tcPr>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PART II</w:t>
              </w:r>
            </w:hyperlink>
          </w:p>
        </w:tc>
        <w:tc>
          <w:tcPr>
            <w:tcW w:w="8220" w:type="dxa"/>
            <w:vAlign w:val="bottom"/>
            <w:gridSpan w:val="7"/>
          </w:tcPr>
          <w:p>
            <w:pPr>
              <w:ind w:left="160"/>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OTHER INFORMATION</w:t>
              </w:r>
            </w:hyperlink>
          </w:p>
        </w:tc>
        <w:tc>
          <w:tcPr>
            <w:tcW w:w="920" w:type="dxa"/>
            <w:vAlign w:val="bottom"/>
          </w:tcPr>
          <w:p>
            <w:pPr>
              <w:spacing w:after="0"/>
              <w:rPr>
                <w:sz w:val="24"/>
                <w:szCs w:val="24"/>
                <w:color w:val="auto"/>
              </w:rPr>
            </w:pPr>
          </w:p>
        </w:tc>
      </w:tr>
      <w:tr>
        <w:trPr>
          <w:trHeight w:val="432"/>
        </w:trPr>
        <w:tc>
          <w:tcPr>
            <w:tcW w:w="780" w:type="dxa"/>
            <w:vAlign w:val="bottom"/>
          </w:tcPr>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Item 1</w:t>
              </w:r>
            </w:hyperlink>
          </w:p>
        </w:tc>
        <w:tc>
          <w:tcPr>
            <w:tcW w:w="8220" w:type="dxa"/>
            <w:vAlign w:val="bottom"/>
            <w:gridSpan w:val="7"/>
          </w:tcPr>
          <w:p>
            <w:pPr>
              <w:ind w:left="160"/>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Legal Proceedings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32"/>
        </w:trPr>
        <w:tc>
          <w:tcPr>
            <w:tcW w:w="780" w:type="dxa"/>
            <w:vAlign w:val="bottom"/>
          </w:tcPr>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Item 1A</w:t>
              </w:r>
            </w:hyperlink>
          </w:p>
        </w:tc>
        <w:tc>
          <w:tcPr>
            <w:tcW w:w="8220" w:type="dxa"/>
            <w:vAlign w:val="bottom"/>
            <w:gridSpan w:val="7"/>
          </w:tcPr>
          <w:p>
            <w:pPr>
              <w:ind w:left="160"/>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Risk Factors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32"/>
        </w:trPr>
        <w:tc>
          <w:tcPr>
            <w:tcW w:w="780" w:type="dxa"/>
            <w:vAlign w:val="bottom"/>
          </w:tcPr>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Item 2</w:t>
              </w:r>
            </w:hyperlink>
          </w:p>
        </w:tc>
        <w:tc>
          <w:tcPr>
            <w:tcW w:w="8220" w:type="dxa"/>
            <w:vAlign w:val="bottom"/>
            <w:gridSpan w:val="7"/>
          </w:tcPr>
          <w:p>
            <w:pPr>
              <w:ind w:left="160"/>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Unregistered Sales of Equity Securities and Use of Proceeds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32"/>
        </w:trPr>
        <w:tc>
          <w:tcPr>
            <w:tcW w:w="780" w:type="dxa"/>
            <w:vAlign w:val="bottom"/>
          </w:tcPr>
          <w:p>
            <w:pPr>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Item 3</w:t>
              </w:r>
            </w:hyperlink>
          </w:p>
        </w:tc>
        <w:tc>
          <w:tcPr>
            <w:tcW w:w="8220" w:type="dxa"/>
            <w:vAlign w:val="bottom"/>
            <w:gridSpan w:val="7"/>
          </w:tcPr>
          <w:p>
            <w:pPr>
              <w:ind w:left="160"/>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Defaults Upon Senior Securities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32"/>
        </w:trPr>
        <w:tc>
          <w:tcPr>
            <w:tcW w:w="780" w:type="dxa"/>
            <w:vAlign w:val="bottom"/>
          </w:tcPr>
          <w:p>
            <w:pPr>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Item 4</w:t>
              </w:r>
            </w:hyperlink>
          </w:p>
        </w:tc>
        <w:tc>
          <w:tcPr>
            <w:tcW w:w="8220" w:type="dxa"/>
            <w:vAlign w:val="bottom"/>
            <w:gridSpan w:val="7"/>
          </w:tcPr>
          <w:p>
            <w:pPr>
              <w:ind w:left="160"/>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Mine Safety Disclosures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86"/>
        </w:trPr>
        <w:tc>
          <w:tcPr>
            <w:tcW w:w="780" w:type="dxa"/>
            <w:vAlign w:val="bottom"/>
          </w:tcPr>
          <w:p>
            <w:pPr>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Item 5</w:t>
              </w:r>
            </w:hyperlink>
          </w:p>
        </w:tc>
        <w:tc>
          <w:tcPr>
            <w:tcW w:w="8220" w:type="dxa"/>
            <w:vAlign w:val="bottom"/>
            <w:gridSpan w:val="7"/>
          </w:tcPr>
          <w:p>
            <w:pPr>
              <w:ind w:left="160"/>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Other Information</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32"/>
        </w:trPr>
        <w:tc>
          <w:tcPr>
            <w:tcW w:w="780" w:type="dxa"/>
            <w:vAlign w:val="bottom"/>
          </w:tcPr>
          <w:p>
            <w:pPr>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Item 6</w:t>
              </w:r>
            </w:hyperlink>
          </w:p>
        </w:tc>
        <w:tc>
          <w:tcPr>
            <w:tcW w:w="8220" w:type="dxa"/>
            <w:vAlign w:val="bottom"/>
            <w:gridSpan w:val="7"/>
          </w:tcPr>
          <w:p>
            <w:pPr>
              <w:ind w:left="160"/>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Exhibits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32"/>
        </w:trPr>
        <w:tc>
          <w:tcPr>
            <w:tcW w:w="780" w:type="dxa"/>
            <w:vAlign w:val="bottom"/>
          </w:tcPr>
          <w:p>
            <w:pPr>
              <w:spacing w:after="0"/>
              <w:rPr>
                <w:sz w:val="24"/>
                <w:szCs w:val="24"/>
                <w:color w:val="auto"/>
              </w:rPr>
            </w:pPr>
          </w:p>
        </w:tc>
        <w:tc>
          <w:tcPr>
            <w:tcW w:w="8220" w:type="dxa"/>
            <w:vAlign w:val="bottom"/>
            <w:gridSpan w:val="7"/>
          </w:tcPr>
          <w:p>
            <w:pPr>
              <w:ind w:left="160"/>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SIGNATURES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1026"/>
        </w:trPr>
        <w:tc>
          <w:tcPr>
            <w:tcW w:w="780" w:type="dxa"/>
            <w:vAlign w:val="bottom"/>
          </w:tcPr>
          <w:p>
            <w:pPr>
              <w:spacing w:after="0"/>
              <w:rPr>
                <w:sz w:val="24"/>
                <w:szCs w:val="24"/>
                <w:color w:val="auto"/>
              </w:rPr>
            </w:pPr>
          </w:p>
        </w:tc>
        <w:tc>
          <w:tcPr>
            <w:tcW w:w="4680" w:type="dxa"/>
            <w:vAlign w:val="bottom"/>
            <w:gridSpan w:val="4"/>
          </w:tcPr>
          <w:p>
            <w:pPr>
              <w:jc w:val="center"/>
              <w:ind w:left="3590"/>
              <w:spacing w:after="0"/>
              <w:rPr>
                <w:sz w:val="20"/>
                <w:szCs w:val="20"/>
                <w:color w:val="auto"/>
              </w:rPr>
            </w:pPr>
            <w:r>
              <w:rPr>
                <w:rFonts w:ascii="Times New Roman" w:cs="Times New Roman" w:eastAsia="Times New Roman" w:hAnsi="Times New Roman"/>
                <w:sz w:val="18"/>
                <w:szCs w:val="18"/>
                <w:color w:val="auto"/>
                <w:w w:val="88"/>
              </w:rPr>
              <w:t>2</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60"/>
        </w:trPr>
        <w:tc>
          <w:tcPr>
            <w:tcW w:w="7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78" w:right="99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Citi Trends,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20" w:type="dxa"/>
            <w:vAlign w:val="bottom"/>
            <w:shd w:val="clear" w:color="auto" w:fill="CCEEFF"/>
          </w:tcPr>
          <w:p>
            <w:pPr>
              <w:ind w:left="34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96,762</w:t>
            </w:r>
          </w:p>
        </w:tc>
        <w:tc>
          <w:tcPr>
            <w:tcW w:w="2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 securities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114,405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138,258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 receivable</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229,741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201,207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Property and equipment, net of accumulated depreciation of $275,599 and $262,570 as of October</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31, 2020 and February 1, 2020, respectively</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63,564</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64,985</w:t>
            </w: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182,338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169,854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Long-term investment securities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481,921</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459,145</w:t>
            </w:r>
          </w:p>
        </w:tc>
        <w:tc>
          <w:tcPr>
            <w:tcW w:w="2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87,757</w:t>
            </w:r>
          </w:p>
        </w:tc>
        <w:tc>
          <w:tcPr>
            <w:tcW w:w="2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79,596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Layaway deposits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169,966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150,862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148,766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135,316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320,988</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288,101</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$0.01 par value. Authorized 32,000,000 shares; 15,968,849 shares issued as of</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October 31, 2020 and 15,907,666 shares issued as of February 1, 2020; 10,259,260 shares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outstanding as of October 31, 2020 and 10,834,134 shares outstanding as of February 1, 2020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Paid in capital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94,101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191,881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186,772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Treasury stock, at cost; 5,709,589 shares held as of October 31, 2020 and 5,073,532 shares held as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of February 1, 2020</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(125,207)</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(109,065)</w:t>
            </w:r>
          </w:p>
        </w:tc>
        <w:tc>
          <w:tcPr>
            <w:tcW w:w="2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160,933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171,044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481,921</w:t>
            </w:r>
          </w:p>
        </w:tc>
        <w:tc>
          <w:tcPr>
            <w:tcW w:w="2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459,145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 (unaudited).</w:t>
      </w:r>
    </w:p>
    <w:p>
      <w:pPr>
        <w:sectPr>
          <w:pgSz w:w="11900" w:h="16838" w:orient="portrait"/>
          <w:cols w:equalWidth="0" w:num="1">
            <w:col w:w="9920"/>
          </w:cols>
          <w:pgMar w:left="980" w:top="378"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Citi Trends,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October 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16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531,375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570,912</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7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 (exclusive of depreciation)</w:t>
            </w:r>
          </w:p>
        </w:tc>
        <w:tc>
          <w:tcPr>
            <w:tcW w:w="4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(327,344)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(180,929)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4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(14,582)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Asset impairment</w:t>
            </w:r>
          </w:p>
        </w:tc>
        <w:tc>
          <w:tcPr>
            <w:tcW w:w="4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from operations</w:t>
            </w:r>
          </w:p>
        </w:tc>
        <w:tc>
          <w:tcPr>
            <w:tcW w:w="4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shd w:val="clear" w:color="auto" w:fill="CCEEFF"/>
          </w:tcPr>
          <w:p>
            <w:pPr>
              <w:spacing w:after="0"/>
              <w:rPr>
                <w:sz w:val="18"/>
                <w:szCs w:val="18"/>
                <w:color w:val="auto"/>
              </w:rPr>
            </w:pPr>
          </w:p>
        </w:tc>
        <w:tc>
          <w:tcPr>
            <w:tcW w:w="140" w:type="dxa"/>
            <w:vAlign w:val="bottom"/>
            <w:tcBorders>
              <w:left w:val="single" w:sz="8" w:color="CCEEFF"/>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(733)</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460" w:type="dxa"/>
            <w:vAlign w:val="bottom"/>
            <w:shd w:val="clear" w:color="auto" w:fill="CCEEFF"/>
          </w:tcPr>
          <w:p>
            <w:pPr>
              <w:spacing w:after="0"/>
              <w:rPr>
                <w:sz w:val="18"/>
                <w:szCs w:val="18"/>
                <w:color w:val="auto"/>
              </w:rPr>
            </w:pPr>
          </w:p>
        </w:tc>
        <w:tc>
          <w:tcPr>
            <w:tcW w:w="140" w:type="dxa"/>
            <w:vAlign w:val="bottom"/>
            <w:tcBorders>
              <w:left w:val="single" w:sz="8" w:color="CCEEFF"/>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(1,796)</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1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5,940</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7,081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tcBorders>
              <w:left w:val="single" w:sz="8" w:color="CCEEFF"/>
            </w:tcBorders>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per common share</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1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 net income per common share</w:t>
            </w:r>
          </w:p>
        </w:tc>
        <w:tc>
          <w:tcPr>
            <w:tcW w:w="4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left w:val="single" w:sz="8" w:color="CCEEFF"/>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right w:val="single" w:sz="8" w:color="CCEEFF"/>
            </w:tcBorders>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0.57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4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1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10,420</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11,831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160" w:type="dxa"/>
            <w:vAlign w:val="bottom"/>
            <w:tcBorders>
              <w:bottom w:val="single" w:sz="8" w:color="CCEEFF"/>
            </w:tcBorders>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4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left w:val="single" w:sz="8" w:color="CCEEFF"/>
              <w:bottom w:val="single" w:sz="8" w:color="auto"/>
            </w:tcBorders>
            <w:shd w:val="clear" w:color="auto" w:fill="CCEEFF"/>
          </w:tcPr>
          <w:p>
            <w:pPr>
              <w:spacing w:after="0"/>
              <w:rPr>
                <w:sz w:val="17"/>
                <w:szCs w:val="17"/>
                <w:color w:val="auto"/>
              </w:rPr>
            </w:pPr>
          </w:p>
        </w:tc>
        <w:tc>
          <w:tcPr>
            <w:tcW w:w="1020" w:type="dxa"/>
            <w:vAlign w:val="bottom"/>
            <w:tcBorders>
              <w:bottom w:val="single" w:sz="8" w:color="auto"/>
              <w:right w:val="single" w:sz="8" w:color="CCEEFF"/>
            </w:tcBorders>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10,444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11,842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vMerge w:val="restart"/>
          </w:tcPr>
          <w:p>
            <w:pPr>
              <w:jc w:val="center"/>
              <w:ind w:left="2631"/>
              <w:spacing w:after="0"/>
              <w:rPr>
                <w:sz w:val="20"/>
                <w:szCs w:val="20"/>
                <w:color w:val="auto"/>
              </w:rPr>
            </w:pPr>
            <w:r>
              <w:rPr>
                <w:rFonts w:ascii="Times New Roman" w:cs="Times New Roman" w:eastAsia="Times New Roman" w:hAnsi="Times New Roman"/>
                <w:sz w:val="16"/>
                <w:szCs w:val="16"/>
                <w:b w:val="1"/>
                <w:bCs w:val="1"/>
                <w:color w:val="auto"/>
                <w:w w:val="99"/>
              </w:rPr>
              <w:t>Citi Trends, Inc.</w:t>
            </w: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8"/>
        </w:trPr>
        <w:tc>
          <w:tcPr>
            <w:tcW w:w="20" w:type="dxa"/>
            <w:vAlign w:val="bottom"/>
          </w:tcPr>
          <w:p>
            <w:pPr>
              <w:spacing w:after="0"/>
              <w:rPr>
                <w:sz w:val="24"/>
                <w:szCs w:val="24"/>
                <w:color w:val="auto"/>
              </w:rPr>
            </w:pPr>
          </w:p>
        </w:tc>
        <w:tc>
          <w:tcPr>
            <w:tcW w:w="71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jc w:val="center"/>
              <w:ind w:left="2631"/>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jc w:val="center"/>
              <w:ind w:left="2631"/>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tcPr>
          <w:p>
            <w:pPr>
              <w:jc w:val="center"/>
              <w:ind w:left="2631"/>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6"/>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October 31,</w:t>
            </w: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32"/>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16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199,100</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7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 (exclusive of depreciation)</w:t>
            </w:r>
          </w:p>
        </w:tc>
        <w:tc>
          <w:tcPr>
            <w:tcW w:w="4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(115,827)</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(69,230)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460" w:type="dxa"/>
            <w:vAlign w:val="bottom"/>
            <w:shd w:val="clear" w:color="auto" w:fill="CCEEFF"/>
          </w:tcPr>
          <w:p>
            <w:pPr>
              <w:spacing w:after="0"/>
              <w:rPr>
                <w:sz w:val="18"/>
                <w:szCs w:val="18"/>
                <w:color w:val="auto"/>
              </w:rPr>
            </w:pPr>
          </w:p>
        </w:tc>
        <w:tc>
          <w:tcPr>
            <w:tcW w:w="140" w:type="dxa"/>
            <w:vAlign w:val="bottom"/>
            <w:tcBorders>
              <w:left w:val="single" w:sz="8" w:color="CCEEFF"/>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4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4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income (loss)</w:t>
            </w:r>
          </w:p>
        </w:tc>
        <w:tc>
          <w:tcPr>
            <w:tcW w:w="4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6,965</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(loss) per common share</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Diluted net income (loss) per common share</w:t>
            </w:r>
          </w:p>
        </w:tc>
        <w:tc>
          <w:tcPr>
            <w:tcW w:w="4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180" w:type="dxa"/>
            <w:vAlign w:val="bottom"/>
            <w:gridSpan w:val="2"/>
            <w:vMerge w:val="continue"/>
          </w:tcPr>
          <w:p>
            <w:pPr>
              <w:spacing w:after="0"/>
              <w:rPr>
                <w:sz w:val="20"/>
                <w:szCs w:val="20"/>
                <w:color w:val="auto"/>
              </w:rPr>
            </w:pPr>
          </w:p>
        </w:tc>
        <w:tc>
          <w:tcPr>
            <w:tcW w:w="460" w:type="dxa"/>
            <w:vAlign w:val="bottom"/>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0.67</w:t>
            </w:r>
          </w:p>
        </w:tc>
        <w:tc>
          <w:tcPr>
            <w:tcW w:w="160" w:type="dxa"/>
            <w:vAlign w:val="bottom"/>
          </w:tcPr>
          <w:p>
            <w:pPr>
              <w:spacing w:after="0"/>
              <w:rPr>
                <w:sz w:val="20"/>
                <w:szCs w:val="20"/>
                <w:color w:val="auto"/>
              </w:rPr>
            </w:pPr>
          </w:p>
        </w:tc>
        <w:tc>
          <w:tcPr>
            <w:tcW w:w="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6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left w:val="single" w:sz="8" w:color="CCEEFF"/>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right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left w:val="single" w:sz="8" w:color="CCEEFF"/>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10,365</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10,401</w:t>
            </w: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11,636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 (unaudited).</w:t>
      </w:r>
    </w:p>
    <w:p>
      <w:pPr>
        <w:sectPr>
          <w:pgSz w:w="11900" w:h="16838" w:orient="portrait"/>
          <w:cols w:equalWidth="0" w:num="1">
            <w:col w:w="9920"/>
          </w:cols>
          <w:pgMar w:left="980" w:top="378"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type w:val="continuous"/>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Citi Trends,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October 31,</w:t>
            </w: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51"/>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5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Non-cash operating lease costs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Asset impairment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Insurance proceeds related to operating activities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(7,360)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expenses and other long-term liabilities</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(25,266)</w:t>
            </w: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compensation</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tax receivable/payable</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Layaway deposits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63,043</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21,111</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Sales/redemptions of investment securities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 of investment securities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(11,888)</w:t>
            </w: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Insurance proceeds related to investing activities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31,349</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Borrowings under revolving credit facility</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Repayments of revolving credit facility</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(43,700)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used to settle withholding taxes on the vesting of nonvested restricted stock</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(16,142)</w:t>
            </w: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76,839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Beginning of period</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19,923</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17,863</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96,762</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23,731</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54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8"/>
                <w:szCs w:val="18"/>
                <w:color w:val="auto"/>
              </w:rPr>
              <w:t>Cash paid for interest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40" w:type="dxa"/>
            <w:vAlign w:val="bottom"/>
            <w:tcBorders>
              <w:bottom w:val="single" w:sz="8" w:color="CCEEFF"/>
            </w:tcBorders>
            <w:shd w:val="clear" w:color="auto" w:fill="CCEEFF"/>
          </w:tcPr>
          <w:p>
            <w:pPr>
              <w:ind w:left="640"/>
              <w:spacing w:after="0" w:line="196" w:lineRule="exact"/>
              <w:rPr>
                <w:sz w:val="20"/>
                <w:szCs w:val="20"/>
                <w:color w:val="auto"/>
              </w:rPr>
            </w:pPr>
            <w:r>
              <w:rPr>
                <w:rFonts w:ascii="Times New Roman" w:cs="Times New Roman" w:eastAsia="Times New Roman" w:hAnsi="Times New Roman"/>
                <w:sz w:val="18"/>
                <w:szCs w:val="18"/>
                <w:color w:val="auto"/>
              </w:rPr>
              <w:t>Cash payments of income taxes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665</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4,460</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disclosures of non-cash investing activities:</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Accrual for purchases of property and equipment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 (unaudited).</w:t>
      </w:r>
    </w:p>
    <w:p>
      <w:pPr>
        <w:sectPr>
          <w:pgSz w:w="11900" w:h="16838" w:orient="portrait"/>
          <w:cols w:equalWidth="0" w:num="1">
            <w:col w:w="9920"/>
          </w:cols>
          <w:pgMar w:left="980" w:top="378"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type w:val="continuous"/>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Citi Trends,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80" w:type="dxa"/>
            <w:vAlign w:val="bottom"/>
          </w:tcPr>
          <w:p>
            <w:pPr>
              <w:spacing w:after="0"/>
              <w:rPr>
                <w:sz w:val="18"/>
                <w:szCs w:val="18"/>
                <w:color w:val="auto"/>
              </w:rPr>
            </w:pPr>
          </w:p>
        </w:tc>
        <w:tc>
          <w:tcPr>
            <w:tcW w:w="146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Paid in</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58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80" w:type="dxa"/>
            <w:vAlign w:val="bottom"/>
          </w:tcPr>
          <w:p>
            <w:pPr>
              <w:spacing w:after="0"/>
              <w:rPr>
                <w:sz w:val="17"/>
                <w:szCs w:val="17"/>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6"/>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 February 1, 2020</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15,907,666</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$ 93,180</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$ 186,772</w:t>
            </w:r>
          </w:p>
        </w:tc>
        <w:tc>
          <w:tcPr>
            <w:tcW w:w="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5,073,532</w:t>
            </w:r>
          </w:p>
        </w:tc>
        <w:tc>
          <w:tcPr>
            <w:tcW w:w="6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(109,065)$ 171,044</w:t>
            </w:r>
          </w:p>
        </w:tc>
        <w:tc>
          <w:tcPr>
            <w:tcW w:w="0" w:type="dxa"/>
            <w:vAlign w:val="bottom"/>
          </w:tcPr>
          <w:p>
            <w:pPr>
              <w:spacing w:after="0"/>
              <w:rPr>
                <w:sz w:val="1"/>
                <w:szCs w:val="1"/>
                <w:color w:val="auto"/>
              </w:rPr>
            </w:pPr>
          </w:p>
        </w:tc>
      </w:tr>
      <w:tr>
        <w:trPr>
          <w:trHeight w:val="203"/>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Vesting of nonvested restricted stock units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nonvested shares under incentive plan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86,025</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Forfeiture of nonvested 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0" w:type="dxa"/>
            <w:vAlign w:val="bottom"/>
          </w:tcPr>
          <w:p>
            <w:pPr>
              <w:spacing w:after="0"/>
              <w:rPr>
                <w:sz w:val="1"/>
                <w:szCs w:val="1"/>
                <w:color w:val="auto"/>
              </w:rPr>
            </w:pPr>
          </w:p>
        </w:tc>
      </w:tr>
      <w:tr>
        <w:trPr>
          <w:trHeight w:val="203"/>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Net share settlement of nonvested shares and restricted stock units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(34,487)</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260,254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(6,254)</w:t>
            </w:r>
          </w:p>
        </w:tc>
        <w:tc>
          <w:tcPr>
            <w:tcW w:w="0" w:type="dxa"/>
            <w:vAlign w:val="bottom"/>
          </w:tcPr>
          <w:p>
            <w:pPr>
              <w:spacing w:after="0"/>
              <w:rPr>
                <w:sz w:val="1"/>
                <w:szCs w:val="1"/>
                <w:color w:val="auto"/>
              </w:rPr>
            </w:pPr>
          </w:p>
        </w:tc>
      </w:tr>
      <w:tr>
        <w:trPr>
          <w:trHeight w:val="203"/>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Dividends paid to stockholders ($0.08 per common share)</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(20,892)</w:t>
            </w:r>
          </w:p>
        </w:tc>
        <w:tc>
          <w:tcPr>
            <w:tcW w:w="4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(20,892)</w:t>
            </w:r>
          </w:p>
        </w:tc>
        <w:tc>
          <w:tcPr>
            <w:tcW w:w="0" w:type="dxa"/>
            <w:vAlign w:val="bottom"/>
          </w:tcPr>
          <w:p>
            <w:pPr>
              <w:spacing w:after="0"/>
              <w:rPr>
                <w:sz w:val="1"/>
                <w:szCs w:val="1"/>
                <w:color w:val="auto"/>
              </w:rPr>
            </w:pPr>
          </w:p>
        </w:tc>
      </w:tr>
      <w:tr>
        <w:trPr>
          <w:trHeight w:val="196"/>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Balances — May 2, 2020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15,950,332</w:t>
            </w:r>
          </w:p>
        </w:tc>
        <w:tc>
          <w:tcPr>
            <w:tcW w:w="6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$ 93,170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$ 165,049</w:t>
            </w:r>
          </w:p>
        </w:tc>
        <w:tc>
          <w:tcPr>
            <w:tcW w:w="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5,333,786</w:t>
            </w:r>
          </w:p>
        </w:tc>
        <w:tc>
          <w:tcPr>
            <w:tcW w:w="6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(115,319)$ 143,058</w:t>
            </w: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nonvested shares under incentive plan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17,808</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share settlement of nonvested shares and restricted stock units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3"/>
        </w:trPr>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income</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19,867</w:t>
            </w:r>
          </w:p>
        </w:tc>
        <w:tc>
          <w:tcPr>
            <w:tcW w:w="4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19,867</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 August 1, 2020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15,967,948</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$ 93,702</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$ 184,916</w:t>
            </w:r>
          </w:p>
        </w:tc>
        <w:tc>
          <w:tcPr>
            <w:tcW w:w="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5,333,786</w:t>
            </w:r>
          </w:p>
        </w:tc>
        <w:tc>
          <w:tcPr>
            <w:tcW w:w="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(115,319)</w:t>
            </w:r>
            <w:r>
              <w:rPr>
                <w:rFonts w:ascii="Times New Roman" w:cs="Times New Roman" w:eastAsia="Times New Roman" w:hAnsi="Times New Roman"/>
                <w:sz w:val="16"/>
                <w:szCs w:val="16"/>
                <w:color w:val="auto"/>
              </w:rPr>
              <w:t>$ 163,457</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Issuance of nonvested shares under incentive plan</w:t>
            </w: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vMerge w:val="continue"/>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11,047</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continue"/>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Forfeiture of nonvested shares by employees and directors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(6,346)</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share settlement of nonvested shares and restricted stock units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(3,800)</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03"/>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375,803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(9,888)</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(9,888)</w:t>
            </w: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6,965</w:t>
            </w:r>
          </w:p>
        </w:tc>
        <w:tc>
          <w:tcPr>
            <w:tcW w:w="4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6,965</w:t>
            </w:r>
          </w:p>
        </w:tc>
        <w:tc>
          <w:tcPr>
            <w:tcW w:w="0" w:type="dxa"/>
            <w:vAlign w:val="bottom"/>
          </w:tcPr>
          <w:p>
            <w:pPr>
              <w:spacing w:after="0"/>
              <w:rPr>
                <w:sz w:val="1"/>
                <w:szCs w:val="1"/>
                <w:color w:val="auto"/>
              </w:rPr>
            </w:pPr>
          </w:p>
        </w:tc>
      </w:tr>
      <w:tr>
        <w:trPr>
          <w:trHeight w:val="236"/>
        </w:trPr>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Balances — October 31, 2020</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15,968,849</w:t>
            </w: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8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$ 94,101</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$ 191,881</w:t>
            </w:r>
          </w:p>
        </w:tc>
        <w:tc>
          <w:tcPr>
            <w:tcW w:w="4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5,709,589</w:t>
            </w:r>
          </w:p>
        </w:tc>
        <w:tc>
          <w:tcPr>
            <w:tcW w:w="6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(125,207)</w:t>
            </w:r>
            <w:r>
              <w:rPr>
                <w:rFonts w:ascii="Times New Roman" w:cs="Times New Roman" w:eastAsia="Times New Roman" w:hAnsi="Times New Roman"/>
                <w:sz w:val="16"/>
                <w:szCs w:val="16"/>
                <w:color w:val="auto"/>
              </w:rPr>
              <w:t>$ 160,933</w:t>
            </w:r>
          </w:p>
        </w:tc>
        <w:tc>
          <w:tcPr>
            <w:tcW w:w="0" w:type="dxa"/>
            <w:vAlign w:val="bottom"/>
          </w:tcPr>
          <w:p>
            <w:pPr>
              <w:spacing w:after="0"/>
              <w:rPr>
                <w:sz w:val="1"/>
                <w:szCs w:val="1"/>
                <w:color w:val="auto"/>
              </w:rPr>
            </w:pPr>
          </w:p>
        </w:tc>
      </w:tr>
      <w:tr>
        <w:trPr>
          <w:trHeight w:val="170"/>
        </w:trPr>
        <w:tc>
          <w:tcPr>
            <w:tcW w:w="47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40" w:type="dxa"/>
            <w:vAlign w:val="bottom"/>
          </w:tcPr>
          <w:p>
            <w:pPr>
              <w:spacing w:after="0"/>
              <w:rPr>
                <w:sz w:val="18"/>
                <w:szCs w:val="18"/>
                <w:color w:val="auto"/>
              </w:rPr>
            </w:pPr>
          </w:p>
        </w:tc>
        <w:tc>
          <w:tcPr>
            <w:tcW w:w="148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Paid in</w:t>
            </w:r>
          </w:p>
        </w:tc>
        <w:tc>
          <w:tcPr>
            <w:tcW w:w="2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50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2"/>
        </w:trPr>
        <w:tc>
          <w:tcPr>
            <w:tcW w:w="4740" w:type="dxa"/>
            <w:vAlign w:val="bottom"/>
          </w:tcPr>
          <w:p>
            <w:pPr>
              <w:spacing w:after="0"/>
              <w:rPr>
                <w:sz w:val="17"/>
                <w:szCs w:val="17"/>
                <w:color w:val="auto"/>
              </w:rPr>
            </w:pP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 w:type="dxa"/>
            <w:vAlign w:val="bottom"/>
          </w:tcPr>
          <w:p>
            <w:pPr>
              <w:spacing w:after="0"/>
              <w:rPr>
                <w:sz w:val="17"/>
                <w:szCs w:val="17"/>
                <w:color w:val="auto"/>
              </w:rPr>
            </w:pPr>
          </w:p>
        </w:tc>
        <w:tc>
          <w:tcPr>
            <w:tcW w:w="7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6"/>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 February 2, 2019</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15,827,713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$ 91,794</w:t>
            </w: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$ 176,094</w:t>
            </w:r>
          </w:p>
        </w:tc>
        <w:tc>
          <w:tcPr>
            <w:tcW w:w="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3,669,476</w:t>
            </w:r>
          </w:p>
        </w:tc>
        <w:tc>
          <w:tcPr>
            <w:tcW w:w="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(80,620)</w:t>
            </w: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$ 187,425</w:t>
            </w: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Adoption of lease accounting standard</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(2,060)</w:t>
            </w:r>
          </w:p>
        </w:tc>
      </w:tr>
      <w:tr>
        <w:trPr>
          <w:trHeight w:val="20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Vesting of nonvested restricted stock units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nonvested shares under incentive plan</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57,133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Net share settlement of nonvested shares and restricted stock units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(36,237)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2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(713)</w:t>
            </w:r>
          </w:p>
        </w:tc>
      </w:tr>
      <w:tr>
        <w:trPr>
          <w:trHeight w:val="20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82,312</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w:t>
            </w: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Dividends paid to stockholders ($0.08 per common share)</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(958)</w:t>
            </w:r>
          </w:p>
        </w:tc>
      </w:tr>
      <w:tr>
        <w:trPr>
          <w:trHeight w:val="20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7,788</w:t>
            </w: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7,788</w:t>
            </w:r>
          </w:p>
        </w:tc>
      </w:tr>
      <w:tr>
        <w:trPr>
          <w:trHeight w:val="196"/>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Balances — May 4, 2019</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15,848,609</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6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$ 91,788</w:t>
            </w:r>
          </w:p>
        </w:tc>
        <w:tc>
          <w:tcPr>
            <w:tcW w:w="2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$ 180,864</w:t>
            </w:r>
          </w:p>
        </w:tc>
        <w:tc>
          <w:tcPr>
            <w:tcW w:w="4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3,751,788</w:t>
            </w:r>
          </w:p>
        </w:tc>
        <w:tc>
          <w:tcPr>
            <w:tcW w:w="4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(82,260)</w:t>
            </w:r>
          </w:p>
        </w:tc>
        <w:tc>
          <w:tcPr>
            <w:tcW w:w="2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$ 190,549</w:t>
            </w:r>
          </w:p>
        </w:tc>
      </w:tr>
      <w:tr>
        <w:trPr>
          <w:trHeight w:val="20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nonvested shares under incentive plan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27,478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Forfeiture of nonvested 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(19,969)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Net share settlement of nonvested shares and restricted stock units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190,288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(2,904)</w:t>
            </w: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Dividends paid to stockholders ($0.08 per common share)</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(954)</w:t>
            </w:r>
          </w:p>
        </w:tc>
      </w:tr>
      <w:tr>
        <w:trPr>
          <w:trHeight w:val="20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r>
      <w:tr>
        <w:trPr>
          <w:trHeight w:val="236"/>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Balances — August 3, 2019</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15,855,281</w:t>
            </w:r>
          </w:p>
        </w:tc>
        <w:tc>
          <w:tcPr>
            <w:tcW w:w="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60" w:type="dxa"/>
            <w:vAlign w:val="bottom"/>
            <w:tcBorders>
              <w:bottom w:val="single" w:sz="8" w:color="CCEEFF"/>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$ 92,120</w:t>
            </w:r>
          </w:p>
        </w:tc>
        <w:tc>
          <w:tcPr>
            <w:tcW w:w="20" w:type="dxa"/>
            <w:vAlign w:val="bottom"/>
            <w:tcBorders>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$ 180,287</w:t>
            </w:r>
          </w:p>
        </w:tc>
        <w:tc>
          <w:tcPr>
            <w:tcW w:w="40" w:type="dxa"/>
            <w:vAlign w:val="bottom"/>
            <w:tcBorders>
              <w:bottom w:val="single" w:sz="8" w:color="CCEEFF"/>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3,942,076</w:t>
            </w:r>
          </w:p>
        </w:tc>
        <w:tc>
          <w:tcPr>
            <w:tcW w:w="40" w:type="dxa"/>
            <w:vAlign w:val="bottom"/>
            <w:tcBorders>
              <w:bottom w:val="single" w:sz="8" w:color="CCEEFF"/>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(85,164)</w:t>
            </w:r>
          </w:p>
        </w:tc>
        <w:tc>
          <w:tcPr>
            <w:tcW w:w="20" w:type="dxa"/>
            <w:vAlign w:val="bottom"/>
            <w:tcBorders>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$ 187,400</w:t>
            </w:r>
          </w:p>
        </w:tc>
      </w:tr>
      <w:tr>
        <w:trPr>
          <w:trHeight w:val="183"/>
        </w:trPr>
        <w:tc>
          <w:tcPr>
            <w:tcW w:w="47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Issuance of nonvested shares under incentive plan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27,122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2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392</w:t>
            </w:r>
          </w:p>
        </w:tc>
      </w:tr>
      <w:tr>
        <w:trPr>
          <w:trHeight w:val="20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290,213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(5,123)</w:t>
            </w: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Dividends paid to stockholders ($0.08 per common share)</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(938)</w:t>
            </w:r>
          </w:p>
        </w:tc>
      </w:tr>
      <w:tr>
        <w:trPr>
          <w:trHeight w:val="20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w:t>
            </w:r>
          </w:p>
        </w:tc>
      </w:tr>
      <w:tr>
        <w:trPr>
          <w:trHeight w:val="196"/>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Balances — November 2, 2019</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15,882,403</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6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$ 92,512</w:t>
            </w:r>
          </w:p>
        </w:tc>
        <w:tc>
          <w:tcPr>
            <w:tcW w:w="2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$ 178,265</w:t>
            </w:r>
          </w:p>
        </w:tc>
        <w:tc>
          <w:tcPr>
            <w:tcW w:w="4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4,232,289</w:t>
            </w:r>
          </w:p>
        </w:tc>
        <w:tc>
          <w:tcPr>
            <w:tcW w:w="4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(90,287)</w:t>
            </w:r>
          </w:p>
        </w:tc>
        <w:tc>
          <w:tcPr>
            <w:tcW w:w="20" w:type="dxa"/>
            <w:vAlign w:val="bottom"/>
            <w:tcBorders>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$ 180,647</w:t>
            </w:r>
          </w:p>
        </w:tc>
      </w:tr>
      <w:tr>
        <w:trPr>
          <w:trHeight w:val="20"/>
        </w:trPr>
        <w:tc>
          <w:tcPr>
            <w:tcW w:w="4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 (unaudited).</w:t>
      </w:r>
    </w:p>
    <w:p>
      <w:pPr>
        <w:sectPr>
          <w:pgSz w:w="11900" w:h="16838" w:orient="portrait"/>
          <w:cols w:equalWidth="0" w:num="1">
            <w:col w:w="10020"/>
          </w:cols>
          <w:pgMar w:left="980" w:top="378" w:right="8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10020"/>
          </w:cols>
          <w:pgMar w:left="980" w:top="378" w:right="899" w:bottom="1440"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Citi Trends,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Notes to the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October 31, 2020</w:t>
      </w:r>
    </w:p>
    <w:p>
      <w:pPr>
        <w:spacing w:after="0" w:line="207"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Citi Trends, Inc. (collectively referred to herein with its wholly owned subsidiary as the “Company”) is a value-priced retailer of fashion apparel, accessories and home goods for the entire family. As of October 31, 2020, the Company operated 585 stores in 33 states.</w:t>
      </w:r>
    </w:p>
    <w:p>
      <w:pPr>
        <w:spacing w:after="0" w:line="1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are prepared in accordance with U.S. generally accepted accounting principles (“U.S. GAAP”) for interim reporting and are unaudited. In the opinion of management, the condensed consolidated financial statements reflect all adjustments, which are normal and recurring in nature, necessary for fair financial statement presentation. The condensed consolidated balance sheet as of February 1, 2020 is derived from the audited financial statements in the Company’s Annual Report on Form 10-K for the fiscal year ended February 1, 2020, as amended (the “2019 Form 10-K”). These condensed consolidated financial statements should be read in conjunction with the audited consolidated financial statements and notes thereto included in the 2019 Form 10-K. Operating results for the thirty-nine weeks ended October 31, 2020 are not necessarily indicative of the results that may be expected for the fiscal year as a result of the seasonality of the business and changes in our business, consumer spending patterns, and the macroeconomic environment, including those resulting from the novel coronavirus (“COVID-19”) pandemic.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w:t>
      </w:r>
    </w:p>
    <w:p>
      <w:pPr>
        <w:spacing w:after="0" w:line="29"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The following contains references to fiscal years 2020 and 2019, which represent fiscal years ending or ended on January 30, 2021 and February 1, 2020, respectively. Fiscal 2020 and 2019 both have 52-week accounting periods.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ASU 2016-13, Financial Instruments – Credit Losses (Topic 326), which introduced an expected credit loss model for the impairment of financial assets measured at amortized costs. The model replaces the incurred loss model for those assets and broadens the information an entity must consider in developing its expected credit loss estimate for assets measured at amortized cost. The Company adopted ASU No. 2016-13 on February 2, 2020. The adoption of the new standard did not have a material impact to the Company’s consolidated financial position, results of operations or cash flows.</w:t>
      </w:r>
    </w:p>
    <w:p>
      <w:pPr>
        <w:spacing w:after="0" w:line="187"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Impact of the COVID-19 Pandemic</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December 2019, COVID-19 emerged and spread worldwide. On March 11, 2020, the World Health Organization declared COVID-19 a pandemic. After closely monitoring and taking into consideration the guidance from federal, state and local governments, the Company temporarily closed all of its retail store locations and distribution centers effective March 20, 2020. Beginning April 24, 2020, the Company started to reopen stores in select states in accordance with state and local government guidelines. As of July 18, 2020, the Company safely reopened all of its stores and distribution centers.</w:t>
      </w:r>
    </w:p>
    <w:p>
      <w:pPr>
        <w:spacing w:after="0" w:line="183"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7"/>
          <w:szCs w:val="17"/>
          <w:color w:val="auto"/>
        </w:rPr>
        <w:t>The temporary closure of the Company’s stores has had, and may continue to have, an adverse impact on the Company’s financial condition, results of operations and liquidity. In the first quarter of 2020, the Company took several steps to increase its cash position and preserve financial flexibility in light of uncertainties resulting from the COVID-19 pandemic, including (i) the drawdown of $43.7 million in principal amount under the revolving credit facility on March 20, 2020 and an amendment to the revolving credit facility to extend the term to August 2021; (ii) temporary furloughs of substantially all store and distribution center personnel and a significant portion of the corporate staff, with employee benefits for eligible employees continued through the temporary furloughs; (iii) temporary tiered salary reductions for management level corporate employees and a reduction to the cash portion of non-employee director fees;</w:t>
      </w:r>
    </w:p>
    <w:p>
      <w:pPr>
        <w:spacing w:after="0" w:line="2" w:lineRule="exact"/>
        <w:rPr>
          <w:sz w:val="20"/>
          <w:szCs w:val="20"/>
          <w:color w:val="auto"/>
        </w:rPr>
      </w:pPr>
    </w:p>
    <w:p>
      <w:pPr>
        <w:ind w:right="20" w:firstLine="8"/>
        <w:spacing w:after="0" w:line="253" w:lineRule="auto"/>
        <w:tabs>
          <w:tab w:leader="none" w:pos="3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extensions of payment terms with vendors and suppliers; and (v) temporarily suspending share repurchases. Other measures taken by the Company to mitigate the impact of the pandemic that began in the first quarter of 2020 and are continuing include negotiating rent concessions with landlords and executing substantial reductions in operating expenses, store occupancy costs, capital expenditures and other costs.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378" w:right="101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On March 27, 2020, the Coronavirus Aid, Relief, and Economic Security ("CARES") Act was signed into law. The provisions include technical corrections to tax depreciation methods for qualified improvement property which allow for accelerated depreciation, an employee retention tax credit and the deferral of the employer portion of social security deposits. As of October 31, 2020, the Company had deferred payment of approximately $3.5 million of amounts due for the employer portion of social security tax deposits. The Company expects to defer approximately $1.2 million of additional tax deposits during the remainder of the calendar year as allowed by the CARES Act. The total amounts of deferred payroll taxes will be paid in two equal installments during the fourth calendar quarters of 2021 and 2022. In addition, in the second quarter of 2020, the Company recognized a $1.5 million benefit related to the employee retention credit </w:t>
      </w:r>
      <w:r>
        <w:rPr>
          <w:rFonts w:ascii="Times New Roman" w:cs="Times New Roman" w:eastAsia="Times New Roman" w:hAnsi="Times New Roman"/>
          <w:sz w:val="18"/>
          <w:szCs w:val="18"/>
          <w:color w:val="212529"/>
        </w:rPr>
        <w:t>created under the CARES Act based on qualified wages paid primarily to store and distribution center associates.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retention credit is included in selling, general and administrative expenses on the condensed consolidated statements of operations for the thirty-nine weeks ended October 31, 2020.</w:t>
      </w:r>
    </w:p>
    <w:p>
      <w:pPr>
        <w:spacing w:after="0" w:line="194"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and Cash Equivalents/Concentration of Credit Risk</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purposes of the condensed consolidated balance sheets and condensed consolidated statements of cash flows, the Company considers all highly liquid investments with maturities at date of purchase of three months or less to be cash equivalents. Financial instruments that potentially subject the Company to a concentration of credit risk consist principally of cash and cash equivalents. The Company places its cash and cash equivalents in what it believes to be high credit quality banks and institutional money market funds. The Company maintains cash accounts that exceed federally insured limits.</w:t>
      </w:r>
    </w:p>
    <w:p>
      <w:pPr>
        <w:spacing w:after="0" w:line="183"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per Share</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Basic earnings per common share amounts are calculated using the weighted average number of common shares outstanding for the period. Diluted earnings per common share amounts are calculated using the weighted average number of common shares outstanding plus the additional dilution for all potentially dilutive securities, such as nonvested restricted stock. During loss periods, diluted loss per share amounts are based on the weighted average number of common shares outstanding, because the inclusion of common stock equivalents would be antidilutive.</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dilutive effect of stock-based compensation arrangements is accounted for using the treasury stock method. The Company includes as assumed proceeds the amount of compensation cost attributed to future services and not yet recognized. For the thirty-nine weeks ended October 31, 2020 and November 2, 2019, there were 150,000 and 139,000 shares of nonvested restricted stock, respectively, excluded from the calculation of diluted earnings per share because of antidilution. For the thirteen weeks ended October 31, 2020 and November 2, 2019, there were 134,000 and 147,000 shares of nonvested restricted stock, respectively, excluded from the calculation of diluted earnings per share because of antidilution.</w:t>
      </w:r>
    </w:p>
    <w:p>
      <w:pPr>
        <w:spacing w:after="0" w:line="18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the weighted average number of common shares outstanding used to calculate basic earnings per share to the number of common shares and common stock equivalents outstanding used in calculating diluted earnings per share: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80" w:type="dxa"/>
            <w:vAlign w:val="bottom"/>
          </w:tcPr>
          <w:p>
            <w:pPr>
              <w:spacing w:after="0"/>
              <w:rPr>
                <w:sz w:val="15"/>
                <w:szCs w:val="15"/>
                <w:color w:val="auto"/>
              </w:rPr>
            </w:pPr>
          </w:p>
        </w:tc>
        <w:tc>
          <w:tcPr>
            <w:tcW w:w="2640" w:type="dxa"/>
            <w:vAlign w:val="bottom"/>
            <w:tcBorders>
              <w:bottom w:val="single" w:sz="8" w:color="auto"/>
            </w:tcBorders>
            <w:gridSpan w:val="3"/>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42"/>
        </w:trPr>
        <w:tc>
          <w:tcPr>
            <w:tcW w:w="7280" w:type="dxa"/>
            <w:vAlign w:val="bottom"/>
          </w:tcPr>
          <w:p>
            <w:pPr>
              <w:spacing w:after="0"/>
              <w:rPr>
                <w:sz w:val="12"/>
                <w:szCs w:val="12"/>
                <w:color w:val="auto"/>
              </w:rPr>
            </w:pPr>
          </w:p>
        </w:tc>
        <w:tc>
          <w:tcPr>
            <w:tcW w:w="14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October 31, 2020</w:t>
            </w:r>
          </w:p>
        </w:tc>
        <w:tc>
          <w:tcPr>
            <w:tcW w:w="1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November 2, 2019</w:t>
            </w:r>
          </w:p>
        </w:tc>
      </w:tr>
      <w:tr>
        <w:trPr>
          <w:trHeight w:val="210"/>
        </w:trPr>
        <w:tc>
          <w:tcPr>
            <w:tcW w:w="7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10,419,557</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11,831,248</w:t>
            </w:r>
          </w:p>
        </w:tc>
      </w:tr>
      <w:tr>
        <w:trPr>
          <w:trHeight w:val="216"/>
        </w:trPr>
        <w:tc>
          <w:tcPr>
            <w:tcW w:w="7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Incremental shares from assumed vesting of nonvested restricted stock</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24,549</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10,497</w:t>
            </w:r>
          </w:p>
        </w:tc>
      </w:tr>
      <w:tr>
        <w:trPr>
          <w:trHeight w:val="196"/>
        </w:trPr>
        <w:tc>
          <w:tcPr>
            <w:tcW w:w="72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 and common stock equivalents outstanding</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10,444,106</w:t>
            </w:r>
          </w:p>
        </w:tc>
        <w:tc>
          <w:tcPr>
            <w:tcW w:w="2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11,841,745</w:t>
            </w:r>
          </w:p>
        </w:tc>
      </w:tr>
      <w:tr>
        <w:trPr>
          <w:trHeight w:val="20"/>
        </w:trPr>
        <w:tc>
          <w:tcPr>
            <w:tcW w:w="7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58"/>
        </w:trPr>
        <w:tc>
          <w:tcPr>
            <w:tcW w:w="7280" w:type="dxa"/>
            <w:vAlign w:val="bottom"/>
          </w:tcPr>
          <w:p>
            <w:pPr>
              <w:spacing w:after="0"/>
              <w:rPr>
                <w:sz w:val="24"/>
                <w:szCs w:val="24"/>
                <w:color w:val="auto"/>
              </w:rPr>
            </w:pPr>
          </w:p>
        </w:tc>
        <w:tc>
          <w:tcPr>
            <w:tcW w:w="2640" w:type="dxa"/>
            <w:vAlign w:val="bottom"/>
            <w:tcBorders>
              <w:bottom w:val="single" w:sz="8" w:color="auto"/>
            </w:tcBorders>
            <w:gridSpan w:val="3"/>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42"/>
        </w:trPr>
        <w:tc>
          <w:tcPr>
            <w:tcW w:w="7280" w:type="dxa"/>
            <w:vAlign w:val="bottom"/>
          </w:tcPr>
          <w:p>
            <w:pPr>
              <w:spacing w:after="0"/>
              <w:rPr>
                <w:sz w:val="12"/>
                <w:szCs w:val="12"/>
                <w:color w:val="auto"/>
              </w:rPr>
            </w:pPr>
          </w:p>
        </w:tc>
        <w:tc>
          <w:tcPr>
            <w:tcW w:w="14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October 31, 2020</w:t>
            </w:r>
          </w:p>
        </w:tc>
        <w:tc>
          <w:tcPr>
            <w:tcW w:w="1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November 2, 2019</w:t>
            </w:r>
          </w:p>
        </w:tc>
      </w:tr>
      <w:tr>
        <w:trPr>
          <w:trHeight w:val="210"/>
        </w:trPr>
        <w:tc>
          <w:tcPr>
            <w:tcW w:w="7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10,364,842</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11,635,707</w:t>
            </w:r>
          </w:p>
        </w:tc>
      </w:tr>
      <w:tr>
        <w:trPr>
          <w:trHeight w:val="216"/>
        </w:trPr>
        <w:tc>
          <w:tcPr>
            <w:tcW w:w="7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Incremental shares from assumed vesting of nonvested restricted stock</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36,311</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2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 and common stock equivalents outstanding</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10,401,153</w:t>
            </w:r>
          </w:p>
        </w:tc>
        <w:tc>
          <w:tcPr>
            <w:tcW w:w="2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11,635,707</w:t>
            </w:r>
          </w:p>
        </w:tc>
      </w:tr>
      <w:tr>
        <w:trPr>
          <w:trHeight w:val="20"/>
        </w:trPr>
        <w:tc>
          <w:tcPr>
            <w:tcW w:w="7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Impairment of Assets</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If facts and circumstances indicate that a long-lived asset or operating lease right-of-use asset may be impaired,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Non-cash impairment expenses consisted of the following (in thousands):</w:t>
      </w:r>
    </w:p>
    <w:p>
      <w:pPr>
        <w:spacing w:after="0" w:line="254" w:lineRule="exact"/>
        <w:rPr>
          <w:sz w:val="20"/>
          <w:szCs w:val="20"/>
          <w:color w:val="auto"/>
        </w:rPr>
      </w:pPr>
    </w:p>
    <w:tbl>
      <w:tblPr>
        <w:tblLayout w:type="fixed"/>
        <w:tblInd w:w="126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400" w:type="dxa"/>
            <w:vAlign w:val="bottom"/>
            <w:tcBorders>
              <w:bottom w:val="single" w:sz="8" w:color="auto"/>
            </w:tcBorders>
          </w:tcPr>
          <w:p>
            <w:pPr>
              <w:spacing w:after="0"/>
              <w:rPr>
                <w:sz w:val="15"/>
                <w:szCs w:val="15"/>
                <w:color w:val="auto"/>
              </w:rPr>
            </w:pPr>
          </w:p>
        </w:tc>
      </w:tr>
      <w:tr>
        <w:trPr>
          <w:trHeight w:val="142"/>
        </w:trPr>
        <w:tc>
          <w:tcPr>
            <w:tcW w:w="488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October 31, 2020</w:t>
            </w:r>
          </w:p>
        </w:tc>
        <w:tc>
          <w:tcPr>
            <w:tcW w:w="16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November 2, 2019</w:t>
            </w:r>
          </w:p>
        </w:tc>
      </w:tr>
      <w:tr>
        <w:trPr>
          <w:trHeight w:val="20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 impairment</w:t>
            </w: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4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Store asset impairment</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09"/>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 impairment</w:t>
            </w:r>
          </w:p>
        </w:tc>
        <w:tc>
          <w:tcPr>
            <w:tcW w:w="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0"/>
        </w:trPr>
        <w:tc>
          <w:tcPr>
            <w:tcW w:w="4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Revolving Credit Facility</w:t>
      </w:r>
    </w:p>
    <w:p>
      <w:pPr>
        <w:spacing w:after="0" w:line="22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October 27, 2011, the Company entered into a five-year, $50 million credit facility with Bank of America. The facility was amended on August 18, 2015, extending the maturity date to August 18, 2020. The facility was amended again on May 12, 2020, extending the maturity date to August 18, 2021. The amended facility provides a $50 million credit commitment and a $25 million uncommitted “accordion” feature that under certain circumstances could allow the Company to increase the size of the facility to $75 million. The facility is secured by the Company’s inventory, accounts receivable and related assets, but not its real estate, fixtures and equipment, and it contains one financial covenant, a fixed charge coverage ratio, which is applicable and tested only in certain circumstances. The facility has an unused commitment fee of 0.25% and permits the payment of cash dividends subject to certain limitations. Borrowings under the Revolving Credit Facility bear interest (a) for Eurodollar Loans, at a rate equal to LIBOR plus either 2.25% or 2.5%, or (b) for Base Rate Loans, at a rate equal to the highest of (i) the prime rate, (ii) the Federal Funds Rate plus 0.5% or (iii) LIBOR for a period of one month plus 1.0%, plus, in each case either 1.25% or 1.5%, based in any such case on the average daily availability for borrowings under the facility. On March 20, 2020, in response to the COVID-19 pandemic, the Company borrowed $43.7 million on the credit facility to enhance its liquidity position. Such borrowings accrued interest ranging from 1.625% to 3.5%. During the second quarter of 2020, the Company repaid $2.1 million of the outstanding borrowings. On September 11, 2020, the Company repaid the full amount outstanding under the credit facility.</w:t>
      </w:r>
    </w:p>
    <w:p>
      <w:pPr>
        <w:spacing w:after="0" w:line="197" w:lineRule="exact"/>
        <w:rPr>
          <w:sz w:val="20"/>
          <w:szCs w:val="20"/>
          <w:color w:val="auto"/>
        </w:rPr>
      </w:pPr>
    </w:p>
    <w:p>
      <w:pPr>
        <w:ind w:left="240" w:hanging="232"/>
        <w:spacing w:after="0"/>
        <w:tabs>
          <w:tab w:leader="none" w:pos="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In assessing the realizability of deferred tax assets, management considers whether it is more likely than not that some portion or all of the deferred tax assets will not be realized.</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the thirty-nine weeks ended October 31, 2020 and November 2, 2019, the Company utilized the annual effective tax rate method to calculate income taxes.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effective income tax rate was 23.2% for the thirty-nine weeks ended October 31, 2020, compared to 15.6% for the thirty-nine weeks ended November 2, 2019. The difference in the effective income tax rate was due to lower federal and state tax credits this year.</w:t>
      </w:r>
    </w:p>
    <w:p>
      <w:pPr>
        <w:spacing w:after="0" w:line="378"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Commitments and Contingencies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from time to time is involved in various legal proceedings incidental to the conduct of its business, including claims by customers, landlords, employees or former employees. Once it becomes probable that the Company will incur costs in connection with a legal proceeding and such costs can be reasonably estimated, it establishes appropriate reserves. While legal proceedings are subject to uncertainties and the outcome of any such matter is not predictable, the Company is not aware of any legal proceedings pending or threatened against it that it expects to have a material adverse effect on its financial condition, results of operations or liquidity.</w:t>
      </w:r>
    </w:p>
    <w:p>
      <w:pPr>
        <w:sectPr>
          <w:pgSz w:w="11900" w:h="16838" w:orient="portrait"/>
          <w:cols w:equalWidth="0" w:num="1">
            <w:col w:w="9880"/>
          </w:cols>
          <w:pgMar w:left="980" w:top="378"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378" w:right="1039" w:bottom="1440" w:gutter="0" w:footer="0" w:header="0"/>
          <w:type w:val="continuous"/>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Repurchase Program and Cash Dividends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Repurchases of Common Stock</w:t>
      </w:r>
    </w:p>
    <w:p>
      <w:pPr>
        <w:spacing w:after="0" w:line="29"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In November 2018, the Company’s board of directors approved a program that authorized the repurchase of up to $25.0 million in shares of the Company’s common stock. During the thirty-nine weeks ended November 2, 2019, the Company repurchased 82,312 shares of its common stock at an aggregate cost of $1.6 million. This repurchase program was completed in October 2019.</w:t>
      </w:r>
    </w:p>
    <w:p>
      <w:pPr>
        <w:spacing w:after="0" w:line="1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November 2019, the Company’s board of directors approved a new program that authorized the repurchase of up to $25.0 million in shares of the Company’s common stock. During the thirty-nine weeks ended October 31, 2020, the Company repurchased 260,254 shares of its common stock under this program at an aggregate cost of $6.3 million. This repurchase program was completed in February 2020.</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March 13, 2020, the Company’s board of directors approved another new program that authorized the repurchase of up to $30.0 million in shares of the Company’s common stock. On March 23, 2020, due to the economic uncertainty stemming from the COVID-19 pandemic, the Company temporarily suspended any repurchases. On September 14, 2020, the Company announced the reinstatement of this program. During the thirteen weeks ended October 31, 2020, the Company repurchased 375,803 shares of its common stock under this program at an aggregate cost of $9.9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February 18, 2020, the Company’s board of directors declared a dividend of $0.08 per common share, which was paid on March 17, 2020 to stockholders of record as of March 3, 2020. On April 28, 2020, the Company announced the suspension of future cash dividends due to the current economic uncertainty stemming from the COVID-19 pandemic. Any determination to declare and pay cash dividends for future quarters will be made by the Company’s board of directors.</w:t>
      </w:r>
    </w:p>
    <w:p>
      <w:pPr>
        <w:spacing w:after="0" w:line="189"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9"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The Company’s primary source of revenue is derived from the sale of clothing and accessories to its customers with the Company’s performance obligations satisfied immediately when the customer pays for their purchase and receives the merchandise. Sales taxes collected by the Company from customers are excluded from revenue. Revenue from layaway sales is recognized at the point in time when the merchandise is paid for and control of the goods is transferred to the customer, thereby satisfying the Company’s performance obligation. The Company defers revenue from the sale of gift cards and recognizes the associated revenue upon the redemption of the cards by customers to purchase merchandise.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Returns</w:t>
      </w:r>
    </w:p>
    <w:p>
      <w:pPr>
        <w:spacing w:after="0" w:line="29"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color w:val="auto"/>
        </w:rPr>
        <w:t>The Company allows customers to return merchandise for up to thirty days after the date of sale. Expected refunds to customers are recorded based on estimated margin using historical return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Company’s retail operations represent a single operating segment based on the way the Company manages its business. Operating decisions and resource allocation decisions are made at the Company level in order to maintain a consistent retail store presentation. The Company’s retail stores sell similar products, use similar processes to sell those products, and sell their products to similar classes of customers.</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the following table, the Company’s revenue from contracts with customers is disaggregated by major product line. The percentage of net sales related to each classification of its merchandise assortment was approximately:</w:t>
      </w:r>
    </w:p>
    <w:p>
      <w:pPr>
        <w:spacing w:after="0" w:line="23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19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178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31"/>
        </w:trPr>
        <w:tc>
          <w:tcPr>
            <w:tcW w:w="4240" w:type="dxa"/>
            <w:vAlign w:val="bottom"/>
          </w:tcPr>
          <w:p>
            <w:pPr>
              <w:spacing w:after="0"/>
              <w:rPr>
                <w:sz w:val="11"/>
                <w:szCs w:val="11"/>
                <w:color w:val="auto"/>
              </w:rPr>
            </w:pPr>
          </w:p>
        </w:tc>
        <w:tc>
          <w:tcPr>
            <w:tcW w:w="74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w w:val="99"/>
              </w:rPr>
              <w:t>October 31,</w:t>
            </w:r>
          </w:p>
        </w:tc>
        <w:tc>
          <w:tcPr>
            <w:tcW w:w="98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200" w:type="dxa"/>
            <w:vAlign w:val="bottom"/>
          </w:tcPr>
          <w:p>
            <w:pPr>
              <w:spacing w:after="0"/>
              <w:rPr>
                <w:sz w:val="11"/>
                <w:szCs w:val="11"/>
                <w:color w:val="auto"/>
              </w:rPr>
            </w:pPr>
          </w:p>
        </w:tc>
        <w:tc>
          <w:tcPr>
            <w:tcW w:w="920" w:type="dxa"/>
            <w:vAlign w:val="bottom"/>
            <w:tcBorders>
              <w:top w:val="single" w:sz="8" w:color="auto"/>
            </w:tcBorders>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80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w w:val="99"/>
              </w:rPr>
              <w:t>November 2,</w:t>
            </w:r>
          </w:p>
        </w:tc>
        <w:tc>
          <w:tcPr>
            <w:tcW w:w="60" w:type="dxa"/>
            <w:vAlign w:val="bottom"/>
          </w:tcPr>
          <w:p>
            <w:pPr>
              <w:spacing w:after="0"/>
              <w:rPr>
                <w:sz w:val="11"/>
                <w:szCs w:val="11"/>
                <w:color w:val="auto"/>
              </w:rPr>
            </w:pPr>
          </w:p>
        </w:tc>
      </w:tr>
      <w:tr>
        <w:trPr>
          <w:trHeight w:val="173"/>
        </w:trPr>
        <w:tc>
          <w:tcPr>
            <w:tcW w:w="4240" w:type="dxa"/>
            <w:vAlign w:val="bottom"/>
          </w:tcPr>
          <w:p>
            <w:pPr>
              <w:spacing w:after="0"/>
              <w:rPr>
                <w:sz w:val="15"/>
                <w:szCs w:val="15"/>
                <w:color w:val="auto"/>
              </w:rPr>
            </w:pPr>
          </w:p>
        </w:tc>
        <w:tc>
          <w:tcPr>
            <w:tcW w:w="74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98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5"/>
                <w:szCs w:val="15"/>
                <w:color w:val="auto"/>
              </w:rPr>
            </w:pPr>
          </w:p>
        </w:tc>
        <w:tc>
          <w:tcPr>
            <w:tcW w:w="74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5"/>
                <w:szCs w:val="15"/>
                <w:color w:val="auto"/>
              </w:rPr>
            </w:pPr>
          </w:p>
        </w:tc>
        <w:tc>
          <w:tcPr>
            <w:tcW w:w="8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5"/>
                <w:szCs w:val="15"/>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Accessories</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Ladies'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6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Children's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6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Men's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6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9920"/>
          </w:cols>
          <w:pgMar w:left="980" w:top="378" w:right="99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Leases</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leases its retail store locations and certain office space and equipment. Leases for store locations are typically for a term of five years with options to extend for one or more five-year periods. The Company analyzes all leases at inception to determine if a right-of-use asset and lease liability should be recognized. Leases with an initial term of 12 months or less and leases with mutual termination clauses are not included on the condensed consolidated balance sheets. The lease liability is measured at the present value of future lease payments as of the lease commencement date.</w:t>
      </w:r>
    </w:p>
    <w:p>
      <w:pPr>
        <w:spacing w:after="0" w:line="183"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Total lease cost is comprised of operating lease costs, short-term lease costs and variable lease costs, which include rent paid as a percentage of sales, common area maintenance, real estate taxes and insurance for the Company’s real estate leases. Lease costs consisted of the following (in thousands):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42"/>
        </w:trPr>
        <w:tc>
          <w:tcPr>
            <w:tcW w:w="4780" w:type="dxa"/>
            <w:vAlign w:val="bottom"/>
          </w:tcPr>
          <w:p>
            <w:pPr>
              <w:spacing w:after="0"/>
              <w:rPr>
                <w:sz w:val="12"/>
                <w:szCs w:val="12"/>
                <w:color w:val="auto"/>
              </w:rPr>
            </w:pPr>
          </w:p>
        </w:tc>
        <w:tc>
          <w:tcPr>
            <w:tcW w:w="140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October 31, 2020</w:t>
            </w:r>
          </w:p>
        </w:tc>
        <w:tc>
          <w:tcPr>
            <w:tcW w:w="1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November 2, 2019</w:t>
            </w:r>
          </w:p>
        </w:tc>
      </w:tr>
      <w:tr>
        <w:trPr>
          <w:trHeight w:val="209"/>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0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36,918</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36,137</w:t>
            </w: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6,164</w:t>
            </w:r>
          </w:p>
        </w:tc>
      </w:tr>
      <w:tr>
        <w:trPr>
          <w:trHeight w:val="22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lease cost</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2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r>
      <w:tr>
        <w:trPr>
          <w:trHeight w:val="20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3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44,548</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43,092</w:t>
            </w:r>
          </w:p>
        </w:tc>
      </w:tr>
      <w:tr>
        <w:trPr>
          <w:trHeight w:val="20"/>
        </w:trPr>
        <w:tc>
          <w:tcPr>
            <w:tcW w:w="4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response to the impact of the COVID-19 pandemic on the Company’s operations, the Company suspended certain lease payments under its existing lease agreements. During the suspension of payments, the Company continued to recognize expenses and liabilities for lease obligations and corresponding right-of-use assets on the balance sheet in accordance with the applicable accounting guidance. The Company is engaging in ongoing discussions with landlords regarding the potential restructuring of lease payments and rent concessions. As of October 31, 2020, the Company negotiated contractual rent concessions on certain leases in the form of early renewals, rent deferrals and rent abatements. The Company has elected to account for qualifying COVID-19 related rent concessions as if they were part of the enforceable rights and obligations under the existing lease agreements, as permitted by the updated guidance provided by the FASB in April 2020. As a result of this election, the Company recognized rent abatement credits of approximately $0.8 million and $0.2 million during the thirty-nine and thirteen weeks ended October 31, 2020,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as of October 31, 2020 are as follows (in thousands):</w:t>
      </w:r>
    </w:p>
    <w:p>
      <w:pPr>
        <w:spacing w:after="0" w:line="313" w:lineRule="exact"/>
        <w:rPr>
          <w:sz w:val="20"/>
          <w:szCs w:val="20"/>
          <w:color w:val="auto"/>
        </w:rPr>
      </w:pPr>
    </w:p>
    <w:tbl>
      <w:tblPr>
        <w:tblLayout w:type="fixed"/>
        <w:tblInd w:w="1260" w:type="dxa"/>
        <w:tblCellMar>
          <w:top w:w="0" w:type="dxa"/>
          <w:left w:w="0" w:type="dxa"/>
          <w:bottom w:w="0" w:type="dxa"/>
          <w:right w:w="0" w:type="dxa"/>
        </w:tblCellMar>
      </w:tblPr>
      <w:tr>
        <w:trPr>
          <w:trHeight w:val="173"/>
        </w:trPr>
        <w:tc>
          <w:tcPr>
            <w:tcW w:w="548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Lease Costs</w:t>
            </w:r>
          </w:p>
        </w:tc>
        <w:tc>
          <w:tcPr>
            <w:tcW w:w="260" w:type="dxa"/>
            <w:vAlign w:val="bottom"/>
            <w:tcBorders>
              <w:bottom w:val="single" w:sz="8" w:color="CCEEFF"/>
            </w:tcBorders>
          </w:tcPr>
          <w:p>
            <w:pPr>
              <w:spacing w:after="0"/>
              <w:rPr>
                <w:sz w:val="15"/>
                <w:szCs w:val="15"/>
                <w:color w:val="auto"/>
              </w:rPr>
            </w:pPr>
          </w:p>
        </w:tc>
      </w:tr>
      <w:tr>
        <w:trPr>
          <w:trHeight w:val="209"/>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12,651</w:t>
            </w:r>
          </w:p>
        </w:tc>
        <w:tc>
          <w:tcPr>
            <w:tcW w:w="260" w:type="dxa"/>
            <w:vAlign w:val="bottom"/>
            <w:shd w:val="clear" w:color="auto" w:fill="CCEEFF"/>
          </w:tcPr>
          <w:p>
            <w:pPr>
              <w:spacing w:after="0"/>
              <w:rPr>
                <w:sz w:val="18"/>
                <w:szCs w:val="18"/>
                <w:color w:val="auto"/>
              </w:rPr>
            </w:pP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52,070</w:t>
            </w:r>
          </w:p>
        </w:tc>
        <w:tc>
          <w:tcPr>
            <w:tcW w:w="260" w:type="dxa"/>
            <w:vAlign w:val="bottom"/>
          </w:tcPr>
          <w:p>
            <w:pPr>
              <w:spacing w:after="0"/>
              <w:rPr>
                <w:sz w:val="19"/>
                <w:szCs w:val="19"/>
                <w:color w:val="auto"/>
              </w:rPr>
            </w:pPr>
          </w:p>
        </w:tc>
      </w:tr>
      <w:tr>
        <w:trPr>
          <w:trHeight w:val="23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43,452</w:t>
            </w:r>
          </w:p>
        </w:tc>
        <w:tc>
          <w:tcPr>
            <w:tcW w:w="260" w:type="dxa"/>
            <w:vAlign w:val="bottom"/>
            <w:shd w:val="clear" w:color="auto" w:fill="CCEEFF"/>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35,672</w:t>
            </w:r>
          </w:p>
        </w:tc>
        <w:tc>
          <w:tcPr>
            <w:tcW w:w="260" w:type="dxa"/>
            <w:vAlign w:val="bottom"/>
          </w:tcPr>
          <w:p>
            <w:pPr>
              <w:spacing w:after="0"/>
              <w:rPr>
                <w:sz w:val="19"/>
                <w:szCs w:val="19"/>
                <w:color w:val="auto"/>
              </w:rPr>
            </w:pPr>
          </w:p>
        </w:tc>
      </w:tr>
      <w:tr>
        <w:trPr>
          <w:trHeight w:val="229"/>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27,363</w:t>
            </w:r>
          </w:p>
        </w:tc>
        <w:tc>
          <w:tcPr>
            <w:tcW w:w="260" w:type="dxa"/>
            <w:vAlign w:val="bottom"/>
            <w:shd w:val="clear" w:color="auto" w:fill="CCEEFF"/>
          </w:tcPr>
          <w:p>
            <w:pPr>
              <w:spacing w:after="0"/>
              <w:rPr>
                <w:sz w:val="19"/>
                <w:szCs w:val="19"/>
                <w:color w:val="auto"/>
              </w:rPr>
            </w:pPr>
          </w:p>
        </w:tc>
      </w:tr>
      <w:tr>
        <w:trPr>
          <w:trHeight w:val="230"/>
        </w:trPr>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42,789</w:t>
            </w:r>
          </w:p>
        </w:tc>
        <w:tc>
          <w:tcPr>
            <w:tcW w:w="260" w:type="dxa"/>
            <w:vAlign w:val="bottom"/>
            <w:tcBorders>
              <w:bottom w:val="single" w:sz="8" w:color="CCEEFF"/>
            </w:tcBorders>
          </w:tcPr>
          <w:p>
            <w:pPr>
              <w:spacing w:after="0"/>
              <w:rPr>
                <w:sz w:val="19"/>
                <w:szCs w:val="19"/>
                <w:color w:val="auto"/>
              </w:rPr>
            </w:pPr>
          </w:p>
        </w:tc>
      </w:tr>
      <w:tr>
        <w:trPr>
          <w:trHeight w:val="21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213,997</w:t>
            </w:r>
          </w:p>
        </w:tc>
        <w:tc>
          <w:tcPr>
            <w:tcW w:w="26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6"/>
                <w:szCs w:val="16"/>
                <w:color w:val="auto"/>
              </w:rPr>
              <w:t xml:space="preserve">(17,255) </w:t>
            </w:r>
            <w:r>
              <w:rPr>
                <w:rFonts w:ascii="Times New Roman" w:cs="Times New Roman" w:eastAsia="Times New Roman" w:hAnsi="Times New Roman"/>
                <w:sz w:val="25"/>
                <w:szCs w:val="25"/>
                <w:color w:val="auto"/>
                <w:vertAlign w:val="subscript"/>
              </w:rPr>
              <w:t>(1)</w:t>
            </w:r>
          </w:p>
        </w:tc>
      </w:tr>
      <w:tr>
        <w:trPr>
          <w:trHeight w:val="210"/>
        </w:trPr>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present value of lease liabilities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196,742</w:t>
            </w:r>
          </w:p>
        </w:tc>
        <w:tc>
          <w:tcPr>
            <w:tcW w:w="2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
        </w:trPr>
        <w:tc>
          <w:tcPr>
            <w:tcW w:w="5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26" w:lineRule="exact"/>
        <w:rPr>
          <w:sz w:val="20"/>
          <w:szCs w:val="20"/>
          <w:color w:val="auto"/>
        </w:rPr>
      </w:pPr>
    </w:p>
    <w:p>
      <w:pPr>
        <w:ind w:left="1060"/>
        <w:spacing w:after="0"/>
        <w:tabs>
          <w:tab w:leader="none" w:pos="1360" w:val="left"/>
        </w:tabs>
        <w:rPr>
          <w:sz w:val="20"/>
          <w:szCs w:val="20"/>
          <w:color w:val="auto"/>
        </w:rPr>
      </w:pPr>
      <w:r>
        <w:rPr>
          <w:rFonts w:ascii="Times New Roman" w:cs="Times New Roman" w:eastAsia="Times New Roman" w:hAnsi="Times New Roman"/>
          <w:sz w:val="14"/>
          <w:szCs w:val="14"/>
          <w:color w:val="auto"/>
        </w:rPr>
        <w:t>(1)</w:t>
        <w:tab/>
        <w:t>Calculated using the incremental borrowing rate for each lease.</w:t>
      </w:r>
    </w:p>
    <w:p>
      <w:pPr>
        <w:spacing w:after="0" w:line="4" w:lineRule="exact"/>
        <w:rPr>
          <w:sz w:val="20"/>
          <w:szCs w:val="20"/>
          <w:color w:val="auto"/>
        </w:rPr>
      </w:pPr>
    </w:p>
    <w:p>
      <w:pPr>
        <w:ind w:left="1060"/>
        <w:spacing w:after="0"/>
        <w:tabs>
          <w:tab w:leader="none" w:pos="1360" w:val="left"/>
        </w:tabs>
        <w:rPr>
          <w:sz w:val="20"/>
          <w:szCs w:val="20"/>
          <w:color w:val="auto"/>
        </w:rPr>
      </w:pPr>
      <w:r>
        <w:rPr>
          <w:rFonts w:ascii="Times New Roman" w:cs="Times New Roman" w:eastAsia="Times New Roman" w:hAnsi="Times New Roman"/>
          <w:sz w:val="14"/>
          <w:szCs w:val="14"/>
          <w:color w:val="auto"/>
        </w:rPr>
        <w:t>(2)</w:t>
        <w:tab/>
        <w:t>Includes short-term and long-term operating leases.</w:t>
      </w:r>
    </w:p>
    <w:p>
      <w:pPr>
        <w:spacing w:after="0" w:line="19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Certain operating leases provide for fixed monthly rents, while others provide for contingent rents computed as a percentage of net sales and others provide for a combination of both fixed monthly rents and contingent rents computed as a percentage of net sales.</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Supplemental cash flows and other information related to operating leases are as follows (in thousands, except for weighted average amounts):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4"/>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October 31, 2020</w:t>
            </w: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November 2, 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 obtained in exchange for new operating lease liabilities</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50,926</w:t>
            </w:r>
          </w:p>
        </w:tc>
        <w:tc>
          <w:tcPr>
            <w:tcW w:w="4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55,285</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8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 - operating leases</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378" w:right="99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Except for specific historical information, many of the matters discussed in this Form 10-Q may express or imply projections of revenues or expenditures, statements of plans and objectives for future operations, growth or initiatives, statements of future economic performance, capital allocation expectations or statements regarding the outcome or impact of pending or threatened litigation. These, and similar statements, are forward-looking statements concerning matters that involve risks, uncertainties and other factors that may cause the actual performance of the Company to differ materially from those expressed or implied by these statements. All forward-looking information should be evaluated in the context of these risks, uncertainties and other factors. The words “believe,” “anticipate,” “project,” “plan,” “expect,” “estimate,” “objective,” “forecast,” “goal,” “intend,” “could,” “will likely result,” or “will continue” and similar words and expressions generally identify forward-looking statements, although not all forward-looking statements contain such language. The Company believes the assumptions underlying these forward-looking statements are reasonable; however, any of the assumptions could be inaccurate, and therefore, actual results may differ materially from those projected in the forward-looking statements.</w:t>
      </w:r>
    </w:p>
    <w:p>
      <w:pPr>
        <w:spacing w:after="0" w:line="19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factors that may result in actual results differing from such forward-looking information include, but are not limited to: the ongoing COVID-19 pandemic and associated containment and remediation efforts; the potential negative impacts of COVID-19 on the global economy and foreign sourcing; the impacts of COVID-19 on the Company’s financial condition, business operation and liquidity, including the re-closure of any of the Company’s retail stores and distribution centers; transportation and distribution delays or interruptions; changes in freight rates; the Company’s ability to negotiate effectively the cost and purchase of merchandise; inventory risks due to shifts in market demand; the Company’s ability to gauge fashion trends and changing consumer preferences; changes in consumer spending on apparel; changes in product mix; interruptions in suppliers’ businesses; a deterioration in general economic conditions, whether caused by acts of war, terrorism, political or social unrest (including any resulting store closures, damage or loss of inventory), or other factors; the results of pending or threatened litigation; temporary changes in demand due to weather patterns; seasonality of the Company’s business; delays associated with building, opening and operating new stores; delays associated with building, opening or expanding new or existing distribution centers; and other factors described in the section titled “Item 1A. Risk Factors” and elsewhere in the Company’s Annual Report on Form 10-K for the fiscal year ended February 1, 2020, as amended, and in Part II, “Item 1A. Risk Factors” and elsewhere in the Company’s Quarterly Reports on Form 10-Q and any amendments thereto and in the other documents the Company files with the SEC, including reports on Form 8-K.</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Readers are cautioned not to place undue reliance on these forward-looking statements, which speak only as of the date of this Form 10-</w:t>
      </w:r>
    </w:p>
    <w:p>
      <w:pPr>
        <w:spacing w:after="0" w:line="27" w:lineRule="exact"/>
        <w:rPr>
          <w:sz w:val="20"/>
          <w:szCs w:val="20"/>
          <w:color w:val="auto"/>
        </w:rPr>
      </w:pPr>
    </w:p>
    <w:p>
      <w:pPr>
        <w:ind w:right="200" w:firstLine="8"/>
        <w:spacing w:after="0" w:line="253" w:lineRule="auto"/>
        <w:tabs>
          <w:tab w:leader="none" w:pos="2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may be required by law, the Company undertakes no obligation to update or revise publicly any forward-looking statements contained herein to reflect events or circumstances occurring after the date of this Form 10-Q or to reflect the occurrence of unanticipated events. Readers are advised, however, to read any further disclosures the Company may make on related subjects in its public disclosures or documents filed with the SEC, including reports on Form 8-K.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a value-priced retailer of fashion apparel, accessories and home goods for the entire family. Our merchandise offerings are designed to appeal to the fashion preferences of value-conscious consumers, particularly African-Americans. We operated 585 stores in both urban and rural markets in 33 states as of October 31,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21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December 2019, a novel coronavirus (“COVID-19”) emerged and spread worldwide. On March 11, 2020, the World Health Organization declared COVID-19 a pandemic. After closely monitoring and taking into consideration the guidance from federal, state and local governments, we temporarily closed all of our retail store locations and distribution centers effective March 20, 2020. Beginning April 24, 2020, we started to reopen stores in select states in accordance with state and local government guidelines. As of July 18, 2020, we safely reopened all of our stores. We have taken numerous measures to protect the health of our associates, customers and communities we serve. Such measures include implementing occupancy limits, providing personal protective equipment for our associates and customers, encouraging social distancing, adjusting our processes for merchandise returns and implementing new cleaning procedures. We have incurred, and expect we will continue to incur, incremental costs for personal protective equipment, including masks, gloves and hand sanitizer for our associates and customers, as well as additional cleaning supplies.</w:t>
      </w:r>
    </w:p>
    <w:p>
      <w:pPr>
        <w:sectPr>
          <w:pgSz w:w="11900" w:h="16838" w:orient="portrait"/>
          <w:cols w:equalWidth="0" w:num="1">
            <w:col w:w="9900"/>
          </w:cols>
          <w:pgMar w:left="980" w:top="378"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378" w:right="101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temporary closure of our stores has had, and may continue to have, an adverse impact on our financial condition, results of operations and liquidity as described in more detail below. In the first quarter of 2020, we took several steps to increase our cash position and preserve financial flexibility in light of uncertainties resulting from the COVID-19 pandemic, including (i) the drawdown of $43.7 million in principal amount under the revolving credit facility on March 20, 2020 and an amendment to the revolving credit facility to extend the term to August 2021; (ii) temporary furloughs of substantially all store and distribution center personnel and a significant portion of the corporate staff, with employee benefits for eligible employees continued through the temporary furloughs; (iii) temporary tiered salary reductions for management level corporate employees and a reduction to the cash portion of non-employee director fees;</w:t>
      </w:r>
    </w:p>
    <w:p>
      <w:pPr>
        <w:spacing w:after="0" w:line="3" w:lineRule="exact"/>
        <w:rPr>
          <w:sz w:val="20"/>
          <w:szCs w:val="20"/>
          <w:color w:val="auto"/>
        </w:rPr>
      </w:pPr>
    </w:p>
    <w:p>
      <w:pPr>
        <w:ind w:right="40" w:firstLine="8"/>
        <w:spacing w:after="0" w:line="253" w:lineRule="auto"/>
        <w:tabs>
          <w:tab w:leader="none" w:pos="30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extensions of payment terms with vendors and suppliers; and (v) temporarily suspending share repurchases. Other measures taken by the Company to mitigate the impact of the pandemic that began in the first quarter of 2020 and are continuing include negotiating rent concessions with landlords and executing substantial reductions in operating expenses, store occupancy costs, capital expenditures and other costs.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continued to navigate through macro changes in the consumer landscape, including unpredictable and non-traditional back-to-school timing and learning methods and the ongoing uncertainties stemming from the COVID-19 pandemic. We will continue to monitor and evaluate the COVID-19 pandemic and work to respond appropriately to the impacts on our business, including those on our customers, vendors and the communities we serve.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Periods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following discussion contains references to fiscal years 2020 and 2019, which represent fiscal years ending or ended on January 30, 2021 and February 1, 2020, respectively. Fiscal 2020 and fiscal 2019 both have 52-week accounting periods. This discussion and analysis should be read with the unaudited condensed consolidated financial statements and the notes thereto contained in Part 1, Item 1 of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following discussion of the Company’s financial performance is based on the unaudited condensed consolidated financial statements set forth herein. The nature of the Company’s business is seasonal. Historically, sales in the first and fourth quarters have been higher than sales achieved in the second and third quarters of the fiscal year. Expenses and, to a greater extent, operating income, vary by quarter. Results of a period shorter than a full year may not be indicative of results expected for the entire year, as a result of changes in our business, consumer spending patterns, and the macroeconomic environment, including those resulting from the COVID-19 pandemic. Furthermore, as a result of the closure of our stores due to the COVID-19 pandemic for at least five weeks beginning on March 20, 2020, comparisons of expense ratios and year-over-year trends are not a meaningful way to evaluate our operating results for the thirty-nine weeks ended October 31, 2020.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Statistics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measure performance using key operating statistics. One of the main performance measures we use is comparable store sales growth. We define a comparable store as a store that has been opened for an entire fiscal year. Therefore, a store will not be considered a comparable store until its 13th month of operation at the earliest or until its 24th month at the latest. As an example, stores opened in fiscal 2019 and fiscal 2020 are not considered comparable stores in fiscal 2020. Relocated and expanded stores are included in the comparable store sales results. Stores that are closed permanently or for an extended period are excluded from the comparable store sales results. We also use other operating statistics, most notably average sales per store, to measure our performance. As we typically occupy existing space in established shopping centers rather than sites built specifically for our stores, store square footage (and therefore sales per square foot) varies by store. We focus on overall store sales volume as the critical driver of profitability. In addition to sales, we measure cost of sales as a percentage of sales and store operating expenses, with a particular focus on labor, as a percentage of sales. These results translate into store level contribution, which we use to evaluate overall performance of each individual store. Finally, we monitor corporate expenses against budgeted amounts.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Thirty-Nine Weeks Ended October 31, 2020 and November 2, 2019</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decreased $39.5 million, or 6.9%, to $531.4 million in the thirty-nine weeks ended October 31, 2020 from $570.9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thirty-nine weeks ended November 2, 2019. The decrease in sales was due to closing all 574 of our stores as a result of the COVID-19 pandemic from March 20 until April 23, at which point we began to gradually reopen certain stores, with all stores safely reopened as of July 18, 2020. In the first quarter of 2020, net sales decreased $88.9 million, or 43.4%. Prior to the onset of the COVID-19 pandemic, comparable store sales increased 3.1% from the beginning of the first quarter through March 7, 2020. In the second quarter of 2020, net sales increased $33.4 million, or 18.2%, with an increase in comparable store sales of 32.2% for reopened stores from their respective opening dates. In the third quarter of 2020, net sales increased $16.0 million, or 8.8%, as the result of a 6.3% increase in comparable store sales and the opening of 22 stores since the third quarter of last year, partially offset by the impact of closing three stores since the third quarter of last year.</w:t>
      </w:r>
    </w:p>
    <w:p>
      <w:pPr>
        <w:spacing w:after="0" w:line="18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 of Sales (exclusive of depreciation). </w:t>
      </w:r>
      <w:r>
        <w:rPr>
          <w:rFonts w:ascii="Times New Roman" w:cs="Times New Roman" w:eastAsia="Times New Roman" w:hAnsi="Times New Roman"/>
          <w:sz w:val="18"/>
          <w:szCs w:val="18"/>
          <w:color w:val="auto"/>
        </w:rPr>
        <w:t>Cost of sales (exclusive of depreciation) decreased $30.1 million, or 8.4%, to $327.3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thirty-nine weeks ended October 31, 2020 from $357.4 million in the thirty-nine weeks ended November 2, 2019. Cost of sales as a percentage of sales decreased to 61.6% in the thirty-nine weeks of fiscal 2020 from 62.6% in the same period of fiscal 2019 due to an increase of 80 basis points in the core merchandise margin (initial mark-up, net of markdowns), along with an improvement of 20 basis points in shrinkage.</w:t>
      </w:r>
    </w:p>
    <w:p>
      <w:pPr>
        <w:spacing w:after="0" w:line="1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decreased $11.1 million, or 5.8%, to $180.9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thirty-nine weeks ended October 31, 2020 from $192.0 million in the thirty-nine weeks ended November 2, 2019 due primarily to a $10.1 million decrease in payroll expenses as a result of associate furloughs and government credits under the CARES Act, as well as decreases in variable costs related to the temporary closures of our stores and distribution centers. These decreases were partially offset by $1.7 million of incremental supplies costs related to COVID-19 for personal protective equipment and cleaning supplies, as well as the impact on expenses of opening 22 new stores since the third quarter of last year. As a percentage of sales, selling, general and administrative expenses increased to 34.0% in the thirty-nine weeks of fiscal 2020 from 33.6% in the thirty-nine weeks of fiscal 2019.</w:t>
      </w:r>
    </w:p>
    <w:p>
      <w:pPr>
        <w:spacing w:after="0" w:line="185"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w:t>
      </w:r>
      <w:r>
        <w:rPr>
          <w:rFonts w:ascii="Times New Roman" w:cs="Times New Roman" w:eastAsia="Times New Roman" w:hAnsi="Times New Roman"/>
          <w:sz w:val="18"/>
          <w:szCs w:val="18"/>
          <w:color w:val="auto"/>
        </w:rPr>
        <w:t>Depreciation expense increased $0.9 million, or 6.1%, to $14.6 million in the thirty-nine weeks of fiscal 2020 from $13.7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thirty-nine weeks of fiscal 2019.</w:t>
      </w:r>
    </w:p>
    <w:p>
      <w:pPr>
        <w:spacing w:after="0" w:line="15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Asset Impairment. </w:t>
      </w:r>
      <w:r>
        <w:rPr>
          <w:rFonts w:ascii="Times New Roman" w:cs="Times New Roman" w:eastAsia="Times New Roman" w:hAnsi="Times New Roman"/>
          <w:sz w:val="18"/>
          <w:szCs w:val="18"/>
          <w:color w:val="auto"/>
        </w:rPr>
        <w:t>Impairment charges related to an underperforming store totaled $0.3 million in the thirty-nine weeks of fiscal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comprised of $0.2 million for an operating lease right-of-use asset and $0.1 million for leasehold improvements and fixtures and equipment. In the thirty-nine weeks of fiscal 2019, impairment charges related to underperforming stores totaled $0.5 million, comprised of $0.3 million for leasehold improvements and fixtures and equipment, and $0.2 million for an operating lease right-of-use asset.</w:t>
      </w:r>
    </w:p>
    <w:p>
      <w:pPr>
        <w:spacing w:after="0" w:line="180"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increased $0.5 million to $1.8 million in the thirty-nine weeks of fiscal 2020 compared to $1.3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thirty-nine weeks of fiscal 2019 due to lower federal and state tax credits this year.</w:t>
      </w:r>
    </w:p>
    <w:p>
      <w:pPr>
        <w:spacing w:after="0" w:line="91"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decreased $1.2 million, or 16.1%, to $5.9 million in the thirty-nine weeks of fiscal 2020 from $7.1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thirty-nine weeks of fiscal 2019 due to the factors discussed above.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Thirteen Weeks Ended October 31, 2020 and November 2, 2019</w:t>
      </w:r>
    </w:p>
    <w:p>
      <w:pPr>
        <w:spacing w:after="0" w:line="241"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increased $16.0 million, or 8.8%, to $199.1 million in the third quarter of 2020 from $183.1 million in the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2019. The increase in sales was due to a 6.3% increase in comparable store sales and the opening of 22 new stores since the third quarter of last year, partially offset by the impact of closing three stores since the third quarter of last year. The increase in comparable store sales was reflected in an increase of 21% in the average ticket size, partially offset by a decrease of 12% in customer transactions. Comparable store sales changes by major merchandise class were as follows: Home +22%; Men’s +20%; Ladies’ +5%; Children’s +5%; and Accessories +1%.</w:t>
      </w:r>
    </w:p>
    <w:p>
      <w:pPr>
        <w:spacing w:after="0" w:line="18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 of sales (exclusive of depreciation). </w:t>
      </w:r>
      <w:r>
        <w:rPr>
          <w:rFonts w:ascii="Times New Roman" w:cs="Times New Roman" w:eastAsia="Times New Roman" w:hAnsi="Times New Roman"/>
          <w:sz w:val="18"/>
          <w:szCs w:val="18"/>
          <w:color w:val="auto"/>
        </w:rPr>
        <w:t>Cost of sales (exclusive of depreciation) increased $1.2 million, or 1.1%, to $115.8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third quarter of 2020 from $114.6 million in the third quarter of 2019. Cost of sales as a percentage of sales decreased to 58.2% in the third quarter of 2020 from 62.6% in the third quarter of last year due to an increase of 390 basis points in the core merchandise margin (initial mark-up, net of markdowns), along with an improvement of 30 basis points in shrinkage and an improvement of 20 basis points in freight costs.</w:t>
      </w:r>
    </w:p>
    <w:p>
      <w:pPr>
        <w:sectPr>
          <w:pgSz w:w="11900" w:h="16838" w:orient="portrait"/>
          <w:cols w:equalWidth="0" w:num="1">
            <w:col w:w="9920"/>
          </w:cols>
          <w:pgMar w:left="980" w:top="378"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$3.7 million, or 5.6%, to $69.2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third quarter of 2020 from $65.5 million in last year’s third quarter. The increase was due primarily to a $2.8 million increase in incentive compensation resulting from favorable third quarter operating results in relation to budget, incremental supply costs of $0.5 million related to COVID-19 for personal protective equipment and cleaning supplies, and the impact on expenses of opening 22 new stores since the third quarter of last year. These increases were partially offset by a decrease of $1.1 million in professional fees due primarily to higher costs incurred in the third quarter of last year associated with our CEO transition and changes to the Company’s board of directors. As a percentage of sales, selling, general and administrative expenses decreased to 34.8% in the third quarter of 2020 from 35.8% in the third quarter of 2019.</w:t>
      </w:r>
    </w:p>
    <w:p>
      <w:pPr>
        <w:spacing w:after="0" w:line="185"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w:t>
      </w:r>
      <w:r>
        <w:rPr>
          <w:rFonts w:ascii="Times New Roman" w:cs="Times New Roman" w:eastAsia="Times New Roman" w:hAnsi="Times New Roman"/>
          <w:sz w:val="18"/>
          <w:szCs w:val="18"/>
          <w:color w:val="auto"/>
        </w:rPr>
        <w:t>Depreciation expense increased $0.2 million, or 4.0%, to $4.7 million in the third quarter of 2020 from $4.5 million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 quarter of 2019.</w:t>
      </w:r>
    </w:p>
    <w:p>
      <w:pPr>
        <w:spacing w:after="0" w:line="158"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Expense/Benefit. </w:t>
      </w:r>
      <w:r>
        <w:rPr>
          <w:rFonts w:ascii="Times New Roman" w:cs="Times New Roman" w:eastAsia="Times New Roman" w:hAnsi="Times New Roman"/>
          <w:sz w:val="18"/>
          <w:szCs w:val="18"/>
          <w:color w:val="auto"/>
        </w:rPr>
        <w:t>Income tax expense was $2.2 million in the third quarter of 2020 compared to income tax benefit of $0.1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third quarter of 2019, as a result of pretax income in the third quarter of this year compared to a pretax loss in the third quarter of last year.</w:t>
      </w:r>
    </w:p>
    <w:p>
      <w:pPr>
        <w:spacing w:after="0" w:line="173"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Income/Loss. </w:t>
      </w:r>
      <w:r>
        <w:rPr>
          <w:rFonts w:ascii="Times New Roman" w:cs="Times New Roman" w:eastAsia="Times New Roman" w:hAnsi="Times New Roman"/>
          <w:sz w:val="18"/>
          <w:szCs w:val="18"/>
          <w:color w:val="auto"/>
        </w:rPr>
        <w:t>Net income was $7.0 million in the third quarter of 2020 compared to a net loss of $1.1 million in the third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due to the factors discussed above.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sources of liquidity consist of: (i) cash and cash equivalents (which equaled $96.8 million as of October 31, 2020);</w:t>
      </w:r>
    </w:p>
    <w:p>
      <w:pPr>
        <w:spacing w:after="0" w:line="27" w:lineRule="exact"/>
        <w:rPr>
          <w:sz w:val="20"/>
          <w:szCs w:val="20"/>
          <w:color w:val="auto"/>
        </w:rPr>
      </w:pPr>
    </w:p>
    <w:p>
      <w:pPr>
        <w:ind w:right="180" w:firstLine="8"/>
        <w:spacing w:after="0" w:line="277" w:lineRule="auto"/>
        <w:tabs>
          <w:tab w:leader="none" w:pos="26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short-term trade credit; (iii) cash generated from operations on an ongoing basis as we sell our merchandise inventory; and (iv) a revolving credit facility with a $50.0 million credit commitment (with no borrowings as of October 31, 2020). Trade credit represents a significant source of financing for inventory purchases and arises from customary payment terms and trade practices with our vendors.</w:t>
      </w:r>
    </w:p>
    <w:p>
      <w:pPr>
        <w:spacing w:after="0" w:line="16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Cash Flows From Operating Activities</w:t>
      </w:r>
      <w:r>
        <w:rPr>
          <w:rFonts w:ascii="Times New Roman" w:cs="Times New Roman" w:eastAsia="Times New Roman" w:hAnsi="Times New Roman"/>
          <w:sz w:val="18"/>
          <w:szCs w:val="18"/>
          <w:color w:val="auto"/>
        </w:rPr>
        <w:t>. Net cash provided by operating activities was $63.0 million in the thirty-nine weeks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31, 2020 compared to $21.1 million in the thirty-nine weeks ended November 2, 2019. Sources of cash in the thirty-nine weeks of 2020 included net income adjusted for non-cash expenses such as depreciation, non-cash operating lease costs, asset impairment, loss on disposal of property and equipment, deferred income taxes and stock-based compensation expense, totaling $59.6 million (compared to $57.9 million in the thirty-nine weeks of 2019). Other significant sources of cash in the thirty-nine weeks of 2020 included (1) a $23.9 million decrease in inventory (compared to a $4.1 million decrease in the thirty-nine weeks of 2019) due to efforts to improve inventory turns and maintain as much inventory liquidity as possible in order to take advantage of opportunistic deals and trend changes; (2) a $7.7 million increase in accounts payable (compared to a $1.8 million decrease in the thirty-nine weeks of 2019) due to a high volume of merchandise receipts during the final two months of the third quarter of 2020, with nearly all of such purchases still in accounts payable at the end of the quarter; and (3) a $3.4 million increase in accrued compensation (compared to a $3.2 million decrease in the first thirty-nine weeks of 2019) due to an increase in incentive compensation resulting from favorable third quarter operating results in relation to budget, combined with an increase in deferred payroll taxes under the CARES Act.</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Significant uses of cash from operating activities in the thirty-nine weeks of 2020 were (1) a $25.3 million decrease in accrued expenses and other long-term liabilities (compared to a $33.1 million decrease in the thirty-nine weeks of 2019) due primarily to payments of operating lease liabilities; and (2) a $7.4 million increase in prepaid and other current assets (compared to a $1.1 million increase in the thirty-nine weeks of 2019) due to an employee retention credit receivable under the CARES Act, combined with increases in receivables for tenant improvement dollars and charge card receivables.</w:t>
      </w:r>
    </w:p>
    <w:p>
      <w:pPr>
        <w:spacing w:after="0" w:line="181"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Cash Flows From Investing Activities. </w:t>
      </w:r>
      <w:r>
        <w:rPr>
          <w:rFonts w:ascii="Times New Roman" w:cs="Times New Roman" w:eastAsia="Times New Roman" w:hAnsi="Times New Roman"/>
          <w:sz w:val="17"/>
          <w:szCs w:val="17"/>
          <w:color w:val="auto"/>
        </w:rPr>
        <w:t>Cash provided by investing activities was $31.3 million in the thirty-nine weeks of 2020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compared to cash used of $2.0 million in the thirty-nine weeks of 2019. Sales and redemptions of investment securities, net of purchases, provided cash of $43.3 million and $10.7 million in the thirty-nine weeks of 2020 and 2019, respectively. Cash used for purchases of property and equipment totaled $11.9 million and $13.2 million in the thirty-nine weeks of 2020 and 2019, respectively.</w:t>
      </w:r>
    </w:p>
    <w:p>
      <w:pPr>
        <w:spacing w:after="0" w:line="164"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Flows From Financing Activities. </w:t>
      </w:r>
      <w:r>
        <w:rPr>
          <w:rFonts w:ascii="Times New Roman" w:cs="Times New Roman" w:eastAsia="Times New Roman" w:hAnsi="Times New Roman"/>
          <w:sz w:val="18"/>
          <w:szCs w:val="18"/>
          <w:color w:val="auto"/>
        </w:rPr>
        <w:t>Cash used in financing activities was $17.6 million in the thirty-nine weeks of 2020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used of $13.2 million in the thirty-nine weeks of 2019. Cash used for repurchases of common stock and dividends paid to shareholders totaled $16.9 million in the thirty-nine weeks of 2020 compared to $12.6 million in the same period of 2019.</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Requirements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cash requirements are primarily for working capital and capital expenditures for stores, distribution infrastructure and information systems. We also use cash to repurchase stock under our stock repurchase program. Historically, we have met these cash requirements using cash flow from operations and short-term trade credit. As part of the actions we have taken to increase our cash position and preserve financial flexibility in light of uncertainties resulting from the COVID-19 pandemic, as described above in “COVID-19 Pandemic,” on March 20, 2020, we drew down $43.7 million on our revolving credit facility. During the second quarter of 2020, we repaid $2.1 million of the borrowings. On September 11, 2020, we repaid the full amount outstanding under the credit facility. In addition, we reduced our operating expenses and adjusted capital expenditure plans and inventory receipts, as appropriate. The Company previously announced a share repurchase program on March 13, 2020. On March 23, 2020, due to the economic uncertainty stemming from the COVID-19 pandemic, we suspended any repurchases and dividend payments. On September 14, 2020, we announced the reinstatement of the share repurchase program. During the third quarter of 2020, we repurchased shares of our common stock at an aggregate cost of $9.9 million.</w:t>
      </w:r>
    </w:p>
    <w:p>
      <w:pPr>
        <w:spacing w:after="0" w:line="19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Based on our current expectations regarding the impact of COVID-19, we expect to be able to meet future cash requirements for at least the next 12 months with cash flow from operations, short-term trade credit, existing balances of cash and cash equivalents, and borrowings under our revolving credit facility. We intend to carefully monitor and manage our cash position in light of ongoing conditions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1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See discussion of Recent Accounting Pronouncements in Note 1 to the unaudited condensed consolidated financial statements included in Part I, Item 1 of this report.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1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have been no other material changes to the Critical Accounting Policies outlined in the Company’s Annual Report on Form 10-K for the year ended February 1, 2020, as amended.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market risk during the thirty-nine weeks ended October 31, 2020 compared to the disclosures in Part II, Item 7A of our Annual Report on Form 10-K for the year ended February 1, 2020, as amended.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carried out an evaluation under the supervision and with the participation of management, including the principal executive officer and the principal financial officer, of the effectiveness of the design and operation of our disclosure controls and procedures as of October 31, 2020 pursuant to Rules 13a-15 and 15d-15 of the Exchange Act. Based on that evaluation, the principal executive officer and the principal financial officer concluded that our disclosure controls and procedures are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has been accumulated and communicated to our management, including the officers who certify our financial reports, as appropriate, to allow timely decisions regarding the required disclosures.</w:t>
      </w:r>
    </w:p>
    <w:p>
      <w:pPr>
        <w:spacing w:after="0" w:line="19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Our disclosure controls and procedures are designed to provide reasonable assurance that the controls and procedures will meet their objectives. Management recognizes that any controls and procedures, no matter how well designed and operated, can provide only reasonable assurance of achieving the desired control objectives.</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fiscal quarter ended October 31, 2020 that have materially affected, or are reasonably likely to materially affect, our internal control over financial reporting.</w:t>
      </w:r>
    </w:p>
    <w:p>
      <w:pPr>
        <w:sectPr>
          <w:pgSz w:w="11900" w:h="16838" w:orient="portrait"/>
          <w:cols w:equalWidth="0" w:num="1">
            <w:col w:w="9920"/>
          </w:cols>
          <w:pgMar w:left="980" w:top="378" w:right="99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from time to time involved in various legal proceedings incidental to the conduct of our business, including claims by customers, landlords, employees or former employees. Once it becomes probable that we will incur costs in connection with a legal proceeding and such costs can be reasonably estimated, we establish appropriate reserves. While legal proceedings are subject to uncertainties and the outcome of any such matter is not predictable, we are not aware of any legal proceedings pending or threatened against us that we expect to have a material adverse effect on our financial condition, results of operations or liquidity.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Other than as set forth below, there have been no material changes to the Risk Factors described under the section “ITEM 1A. RISK FACTORS” in the Company’s Annual Report on Form 10-K for the fiscal year ended February 1, 2020, as amended.</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The ongoing COVID-19 pandemic has impacted our financial and operating performance and w</w:t>
      </w:r>
      <w:r>
        <w:rPr>
          <w:rFonts w:ascii="Times New Roman" w:cs="Times New Roman" w:eastAsia="Times New Roman" w:hAnsi="Times New Roman"/>
          <w:sz w:val="18"/>
          <w:szCs w:val="18"/>
          <w:b w:val="1"/>
          <w:bCs w:val="1"/>
          <w:color w:val="212529"/>
        </w:rPr>
        <w:t>e are unable to predict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color w:val="212529"/>
        </w:rPr>
        <w:t>to which the pandemic and related effects will continue to impact our business.</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Beginning in the first quarter and continuing into the third quarter of 2020, there has been a widespread global impact from the COVID-19 pandemic, and our business has been, and will continue to be, impacted by the pandemic and any resulting economic consequences. In response to COVID-19, the Company temporarily closed all of its retail stores and distribution centers as of March 20, 2020 and temporarily closed its corporate and buying offices with associates working remotely where possible. As of July 18, 2020, the Company safely reopened all of its stores and distribution centers while following all applicable state and local health protocols, including providing personal protective equipment to employees and implementing social distancing practices as required.</w:t>
      </w:r>
    </w:p>
    <w:p>
      <w:pPr>
        <w:spacing w:after="0" w:line="18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temporary closure of all of our retail stores and distribution centers and other factors resulting from the pandemic have had an adverse impact on our financial condition, results of operations and liquidity in fiscal 2020. While the ultimate global and economic impact of the COVID-19 pandemic remains highly uncertain, we expect that it could continue to have an adverse impact on our results of operations and liquidity; the operations of our suppliers, vendors and customers; and on our employees as a result of quarantines, the re-closure of any or all of our stores and distribution centers, and travel and other restrictions for at least the remainder of 2020. The extent to which COVID-19 will impact our business operations, consolidated financial results and liquidity will depend on future developments which are highly uncertain and cannot be predicted, including the duration and scope of the pandemic (including the resurgence of COVID-19 cases); our ability to adjust our business strategies to mitigate the impact of the pandemic; the re-closure of any or all of our retail stores or distribution centers; the negative impact the pandemic has on global and regional economies and economic activity, including the duration and magnitude of its impact on unemployment rates and consumer discretionary spending; changes in consumer shopping patterns and the impact on traditionally strong sales periods, including Christmas and other holidays; the ability of our suppliers, vendors and customers to successfully address the impacts of the pandemic; actions taken by governments, businesses and individuals in response to the pandemic; and how quickly economies recover after the COVID-19 pandemic subsides. As a result of the current level of uncertainty over the economic and operational impacts stemming from the COVID-19 pandemic, the impact on our business cannot be reasonably estimated at this time.</w:t>
      </w:r>
    </w:p>
    <w:p>
      <w:pPr>
        <w:spacing w:after="0" w:line="19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sales could decline and our store operations could be disrupted as a result of general economic and other factors outside of our control, such as changes in consumer spending patterns and declines in employment levels.</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Downturns, or the expectation of a downturn, in general economic conditions, including the effects of unemployment levels, salaries and wage rates, interest rates, levels of consumer debt, inflation in food and energy prices, taxation (including delays in the distribution of tax refunds), government stimulus, consumer confidence, and other macroeconomic factors, could adversely affect consumer spending patterns, our sales and our results of operations. Consumer confidence may also be affected by domestic and international political or social unrest (including related protests or disturbances), acts of war or terrorism, natural disasters, public health emergencies like the COVID-19 pandemic, or other significant events outside of our control. These and other social, political and economic factors that contribute to consumer unease or damage to our stores, may lead to a decrease in spending by consumers or disrupt our store operations, which may negatively impact our business, financial condition and results of operations. Also, because apparel generally is a discretionary purchase, declines in consumer spending patterns may have a more negative effect on apparel retailers than some other retailers. In addition, since many of our stores are located in the southeastern United States, our operations are more susceptible to regional factors than the operations of our more geographically diversified competitors. Therefore, any adverse economic conditions that have a disproportionate effect on the southeastern United States could have a greater negative effect on our sales and results of operations than on retailers with a more geographically diversified store base.</w:t>
      </w:r>
    </w:p>
    <w:p>
      <w:pPr>
        <w:sectPr>
          <w:pgSz w:w="11900" w:h="16838" w:orient="portrait"/>
          <w:cols w:equalWidth="0" w:num="1">
            <w:col w:w="9920"/>
          </w:cols>
          <w:pgMar w:left="980" w:top="378"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on Share Repurchases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March 13, 2020, the Company announced that its board of directors approved a $30.0 million stock repurchase program. On March 23, 2020, due to the economic uncertainty stemming from the COVID-19 pandemic, the Company temporarily suspended any repurchases. On September 14, 2020, the Company announced the reinstatement of this program. During the thirteen weeks ended October 31, 2020, the Company repurchased 375,803 shares of its common stock under this program at an aggregate cost of $9.9 million.</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repurchased by the Company during the third quarter of fiscal 2020 and the average price paid per share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Maximum number (or</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0" w:type="dxa"/>
            <w:vAlign w:val="bottom"/>
          </w:tcPr>
          <w:p>
            <w:pPr>
              <w:spacing w:after="0"/>
              <w:rPr>
                <w:sz w:val="12"/>
                <w:szCs w:val="12"/>
                <w:color w:val="auto"/>
              </w:rPr>
            </w:pPr>
          </w:p>
        </w:tc>
        <w:tc>
          <w:tcPr>
            <w:tcW w:w="13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40" w:type="dxa"/>
            <w:vAlign w:val="bottom"/>
          </w:tcPr>
          <w:p>
            <w:pPr>
              <w:spacing w:after="0"/>
              <w:rPr>
                <w:sz w:val="12"/>
                <w:szCs w:val="12"/>
                <w:color w:val="auto"/>
              </w:rPr>
            </w:pPr>
          </w:p>
        </w:tc>
        <w:tc>
          <w:tcPr>
            <w:tcW w:w="17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148"/>
        </w:trPr>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40" w:type="dxa"/>
            <w:vAlign w:val="bottom"/>
          </w:tcPr>
          <w:p>
            <w:pPr>
              <w:spacing w:after="0"/>
              <w:rPr>
                <w:sz w:val="12"/>
                <w:szCs w:val="12"/>
                <w:color w:val="auto"/>
              </w:rPr>
            </w:pPr>
          </w:p>
        </w:tc>
        <w:tc>
          <w:tcPr>
            <w:tcW w:w="17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173"/>
        </w:trPr>
        <w:tc>
          <w:tcPr>
            <w:tcW w:w="4040" w:type="dxa"/>
            <w:vAlign w:val="bottom"/>
            <w:gridSpan w:val="2"/>
            <w:vMerge w:val="continue"/>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per share (1)</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 (2)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 programs (2)</w:t>
            </w:r>
          </w:p>
        </w:tc>
        <w:tc>
          <w:tcPr>
            <w:tcW w:w="0" w:type="dxa"/>
            <w:vAlign w:val="bottom"/>
          </w:tcPr>
          <w:p>
            <w:pPr>
              <w:spacing w:after="0"/>
              <w:rPr>
                <w:sz w:val="1"/>
                <w:szCs w:val="1"/>
                <w:color w:val="auto"/>
              </w:rPr>
            </w:pPr>
          </w:p>
        </w:tc>
      </w:tr>
      <w:tr>
        <w:trPr>
          <w:trHeight w:val="210"/>
        </w:trPr>
        <w:tc>
          <w:tcPr>
            <w:tcW w:w="3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(8/2/20 - 8/29/20)</w:t>
            </w: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(8/30/20 - 10/3/20)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149,831</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149,831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26,317,994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(10/4/20 - 10/31/20)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225,972</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16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225,972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20,123,067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375,803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375,803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commissions for the shares repurchased under the stock repurchase program</w:t>
      </w:r>
    </w:p>
    <w:p>
      <w:pPr>
        <w:spacing w:after="0" w:line="3"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13, 2020, the Company announced that its board of directors approved a $30.0 million stock repurchase program that does not have an expiration date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jc w:val="center"/>
        <w:ind w:right="7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740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6" w:lineRule="exact"/>
        <w:rPr>
          <w:sz w:val="20"/>
          <w:szCs w:val="20"/>
          <w:color w:val="auto"/>
        </w:rPr>
      </w:pPr>
    </w:p>
    <w:p>
      <w:pPr>
        <w:ind w:left="920" w:right="540" w:hanging="904"/>
        <w:spacing w:after="0" w:line="313" w:lineRule="auto"/>
        <w:tabs>
          <w:tab w:leader="none" w:pos="90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3.1</w:t>
      </w:r>
      <w:r>
        <w:rPr>
          <w:sz w:val="20"/>
          <w:szCs w:val="20"/>
          <w:color w:val="auto"/>
        </w:rPr>
        <w:tab/>
      </w:r>
      <w:hyperlink r:id="rId31">
        <w:r>
          <w:rPr>
            <w:rFonts w:ascii="Times New Roman" w:cs="Times New Roman" w:eastAsia="Times New Roman" w:hAnsi="Times New Roman"/>
            <w:sz w:val="18"/>
            <w:szCs w:val="18"/>
            <w:u w:val="single" w:color="auto"/>
            <w:color w:val="0000EE"/>
          </w:rPr>
          <w:t>Third Amended and Restated Certificate of Incorporation (incorporated by reference to Exhibit 3.1 to the Company’s</w:t>
        </w:r>
      </w:hyperlink>
      <w:r>
        <w:rPr>
          <w:rFonts w:ascii="Times New Roman" w:cs="Times New Roman" w:eastAsia="Times New Roman" w:hAnsi="Times New Roman"/>
          <w:sz w:val="18"/>
          <w:szCs w:val="18"/>
          <w:u w:val="single" w:color="auto"/>
          <w:color w:val="0000EE"/>
        </w:rPr>
        <w:t xml:space="preserve"> </w:t>
      </w:r>
      <w:hyperlink r:id="rId31">
        <w:r>
          <w:rPr>
            <w:rFonts w:ascii="Times New Roman" w:cs="Times New Roman" w:eastAsia="Times New Roman" w:hAnsi="Times New Roman"/>
            <w:sz w:val="18"/>
            <w:szCs w:val="18"/>
            <w:u w:val="single" w:color="auto"/>
            <w:color w:val="0000EE"/>
          </w:rPr>
          <w:t>Current Report on Form 8-K filed with the SEC on June 7, 2018)</w:t>
        </w:r>
        <w:r>
          <w:rPr>
            <w:rFonts w:ascii="Times New Roman" w:cs="Times New Roman" w:eastAsia="Times New Roman" w:hAnsi="Times New Roman"/>
            <w:sz w:val="18"/>
            <w:szCs w:val="18"/>
            <w:color w:val="000000"/>
          </w:rPr>
          <w:t>.</w:t>
        </w:r>
      </w:hyperlink>
    </w:p>
    <w:p>
      <w:pPr>
        <w:spacing w:after="0" w:line="189" w:lineRule="exact"/>
        <w:rPr>
          <w:sz w:val="20"/>
          <w:szCs w:val="20"/>
          <w:color w:val="auto"/>
        </w:rPr>
      </w:pPr>
    </w:p>
    <w:p>
      <w:pPr>
        <w:ind w:left="920" w:hanging="904"/>
        <w:spacing w:after="0" w:line="297"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32">
        <w:r>
          <w:rPr>
            <w:rFonts w:ascii="Times New Roman" w:cs="Times New Roman" w:eastAsia="Times New Roman" w:hAnsi="Times New Roman"/>
            <w:sz w:val="18"/>
            <w:szCs w:val="18"/>
            <w:u w:val="single" w:color="auto"/>
            <w:color w:val="0000EE"/>
          </w:rPr>
          <w:t>Employment Non-Compete, Non-Solicit and Confidentiality Agreement, dated as of October 26, 2020, between Citi Trends,</w:t>
        </w:r>
      </w:hyperlink>
      <w:r>
        <w:rPr>
          <w:rFonts w:ascii="Times New Roman" w:cs="Times New Roman" w:eastAsia="Times New Roman" w:hAnsi="Times New Roman"/>
          <w:sz w:val="18"/>
          <w:szCs w:val="18"/>
          <w:u w:val="single" w:color="auto"/>
          <w:color w:val="0000EE"/>
        </w:rPr>
        <w:t xml:space="preserve"> </w:t>
      </w:r>
      <w:hyperlink r:id="rId32">
        <w:r>
          <w:rPr>
            <w:rFonts w:ascii="Times New Roman" w:cs="Times New Roman" w:eastAsia="Times New Roman" w:hAnsi="Times New Roman"/>
            <w:sz w:val="18"/>
            <w:szCs w:val="18"/>
            <w:u w:val="single" w:color="auto"/>
            <w:color w:val="0000EE"/>
          </w:rPr>
          <w:t>Inc. and Pamela J. Edwards (incorporated by reference to Exhibit 10.1 to the Company’s Current Report on Form 8-K filed</w:t>
        </w:r>
      </w:hyperlink>
      <w:r>
        <w:rPr>
          <w:rFonts w:ascii="Times New Roman" w:cs="Times New Roman" w:eastAsia="Times New Roman" w:hAnsi="Times New Roman"/>
          <w:sz w:val="18"/>
          <w:szCs w:val="18"/>
          <w:u w:val="single" w:color="auto"/>
          <w:color w:val="0000EE"/>
        </w:rPr>
        <w:t xml:space="preserve"> </w:t>
      </w:r>
      <w:hyperlink r:id="rId32">
        <w:r>
          <w:rPr>
            <w:rFonts w:ascii="Times New Roman" w:cs="Times New Roman" w:eastAsia="Times New Roman" w:hAnsi="Times New Roman"/>
            <w:sz w:val="18"/>
            <w:szCs w:val="18"/>
            <w:u w:val="single" w:color="auto"/>
            <w:color w:val="0000EE"/>
          </w:rPr>
          <w:t>with the SEC on October 28, 2020).</w:t>
        </w:r>
      </w:hyperlink>
    </w:p>
    <w:p>
      <w:pPr>
        <w:spacing w:after="0" w:line="204" w:lineRule="exact"/>
        <w:rPr>
          <w:rFonts w:ascii="Times New Roman" w:cs="Times New Roman" w:eastAsia="Times New Roman" w:hAnsi="Times New Roman"/>
          <w:sz w:val="18"/>
          <w:szCs w:val="18"/>
          <w:u w:val="single" w:color="auto"/>
          <w:color w:val="0000EE"/>
        </w:rPr>
      </w:pPr>
    </w:p>
    <w:p>
      <w:pPr>
        <w:ind w:left="920" w:right="360" w:hanging="904"/>
        <w:spacing w:after="0" w:line="313"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33">
        <w:r>
          <w:rPr>
            <w:rFonts w:ascii="Times New Roman" w:cs="Times New Roman" w:eastAsia="Times New Roman" w:hAnsi="Times New Roman"/>
            <w:sz w:val="18"/>
            <w:szCs w:val="18"/>
            <w:u w:val="single" w:color="auto"/>
            <w:color w:val="0000EE"/>
          </w:rPr>
          <w:t>Severance Agreement, dated as of October 26, 2020, between Citi Trends, Inc. and Pamela J. Edwards (incorporated by</w:t>
        </w:r>
      </w:hyperlink>
      <w:r>
        <w:rPr>
          <w:rFonts w:ascii="Times New Roman" w:cs="Times New Roman" w:eastAsia="Times New Roman" w:hAnsi="Times New Roman"/>
          <w:sz w:val="18"/>
          <w:szCs w:val="18"/>
          <w:u w:val="single" w:color="auto"/>
          <w:color w:val="0000EE"/>
        </w:rPr>
        <w:t xml:space="preserve"> </w:t>
      </w:r>
      <w:hyperlink r:id="rId33">
        <w:r>
          <w:rPr>
            <w:rFonts w:ascii="Times New Roman" w:cs="Times New Roman" w:eastAsia="Times New Roman" w:hAnsi="Times New Roman"/>
            <w:sz w:val="18"/>
            <w:szCs w:val="18"/>
            <w:u w:val="single" w:color="auto"/>
            <w:color w:val="0000EE"/>
          </w:rPr>
          <w:t>reference to Exhibit 10.2 to the Company’s Current Report on Form 8-K filed with the SEC on October 28, 2020).</w:t>
        </w:r>
      </w:hyperlink>
    </w:p>
    <w:p>
      <w:pPr>
        <w:spacing w:after="0" w:line="189" w:lineRule="exact"/>
        <w:rPr>
          <w:sz w:val="20"/>
          <w:szCs w:val="20"/>
          <w:color w:val="auto"/>
        </w:rPr>
      </w:pPr>
    </w:p>
    <w:p>
      <w:pPr>
        <w:ind w:left="920" w:right="80" w:hanging="904"/>
        <w:spacing w:after="0" w:line="313"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31.1</w:t>
      </w:r>
      <w:r>
        <w:rPr>
          <w:sz w:val="20"/>
          <w:szCs w:val="20"/>
          <w:color w:val="auto"/>
        </w:rPr>
        <w:tab/>
      </w:r>
      <w:hyperlink w:anchor="page21">
        <w:r>
          <w:rPr>
            <w:rFonts w:ascii="Times New Roman" w:cs="Times New Roman" w:eastAsia="Times New Roman" w:hAnsi="Times New Roman"/>
            <w:sz w:val="18"/>
            <w:szCs w:val="18"/>
            <w:u w:val="single" w:color="auto"/>
            <w:color w:val="0000EE"/>
          </w:rPr>
          <w:t>Certification of David M. Makuen, Principal Executive Officer, Pursuant to Rule 13a-14(a) of the Securities Exchange Act</w:t>
        </w:r>
      </w:hyperlink>
      <w:r>
        <w:rPr>
          <w:rFonts w:ascii="Times New Roman" w:cs="Times New Roman" w:eastAsia="Times New Roman" w:hAnsi="Times New Roman"/>
          <w:sz w:val="18"/>
          <w:szCs w:val="18"/>
          <w:u w:val="single" w:color="auto"/>
          <w:color w:val="0000EE"/>
        </w:rPr>
        <w:t xml:space="preserve"> </w:t>
      </w:r>
      <w:hyperlink w:anchor="page21">
        <w:r>
          <w:rPr>
            <w:rFonts w:ascii="Times New Roman" w:cs="Times New Roman" w:eastAsia="Times New Roman" w:hAnsi="Times New Roman"/>
            <w:sz w:val="18"/>
            <w:szCs w:val="18"/>
            <w:u w:val="single" w:color="auto"/>
            <w:color w:val="0000EE"/>
          </w:rPr>
          <w:t>of 1934, Adopted Pursuant to Section 302 of the Sarbanes-Oxley Act of 2002.*</w:t>
        </w:r>
      </w:hyperlink>
    </w:p>
    <w:p>
      <w:pPr>
        <w:spacing w:after="0" w:line="189" w:lineRule="exact"/>
        <w:rPr>
          <w:sz w:val="20"/>
          <w:szCs w:val="20"/>
          <w:color w:val="auto"/>
        </w:rPr>
      </w:pPr>
    </w:p>
    <w:p>
      <w:pPr>
        <w:ind w:left="920" w:right="80" w:hanging="904"/>
        <w:spacing w:after="0" w:line="313"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31.2</w:t>
      </w:r>
      <w:r>
        <w:rPr>
          <w:sz w:val="20"/>
          <w:szCs w:val="20"/>
          <w:color w:val="auto"/>
        </w:rPr>
        <w:tab/>
      </w:r>
      <w:hyperlink w:anchor="page22">
        <w:r>
          <w:rPr>
            <w:rFonts w:ascii="Times New Roman" w:cs="Times New Roman" w:eastAsia="Times New Roman" w:hAnsi="Times New Roman"/>
            <w:sz w:val="18"/>
            <w:szCs w:val="18"/>
            <w:u w:val="single" w:color="auto"/>
            <w:color w:val="0000EE"/>
          </w:rPr>
          <w:t>Certification of Jason B. Moschner, Principal Financial Officer, Pursuant to Rule 13a-14(a) of the Securities Exchange Act</w:t>
        </w:r>
      </w:hyperlink>
      <w:r>
        <w:rPr>
          <w:rFonts w:ascii="Times New Roman" w:cs="Times New Roman" w:eastAsia="Times New Roman" w:hAnsi="Times New Roman"/>
          <w:sz w:val="18"/>
          <w:szCs w:val="18"/>
          <w:u w:val="single" w:color="auto"/>
          <w:color w:val="0000EE"/>
        </w:rPr>
        <w:t xml:space="preserve"> </w:t>
      </w:r>
      <w:hyperlink w:anchor="page22">
        <w:r>
          <w:rPr>
            <w:rFonts w:ascii="Times New Roman" w:cs="Times New Roman" w:eastAsia="Times New Roman" w:hAnsi="Times New Roman"/>
            <w:sz w:val="18"/>
            <w:szCs w:val="18"/>
            <w:u w:val="single" w:color="auto"/>
            <w:color w:val="0000EE"/>
          </w:rPr>
          <w:t>of 1934, Adopted Pursuant to Section 302 of the Sarbanes-Oxley Act of 2002.*</w:t>
        </w:r>
      </w:hyperlink>
    </w:p>
    <w:p>
      <w:pPr>
        <w:spacing w:after="0" w:line="189" w:lineRule="exact"/>
        <w:rPr>
          <w:sz w:val="20"/>
          <w:szCs w:val="20"/>
          <w:color w:val="auto"/>
        </w:rPr>
      </w:pPr>
    </w:p>
    <w:p>
      <w:pPr>
        <w:spacing w:after="0"/>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32.1</w:t>
      </w:r>
      <w:r>
        <w:rPr>
          <w:sz w:val="20"/>
          <w:szCs w:val="20"/>
          <w:color w:val="auto"/>
        </w:rPr>
        <w:tab/>
      </w:r>
      <w:hyperlink w:anchor="page23">
        <w:r>
          <w:rPr>
            <w:rFonts w:ascii="Times New Roman" w:cs="Times New Roman" w:eastAsia="Times New Roman" w:hAnsi="Times New Roman"/>
            <w:sz w:val="17"/>
            <w:szCs w:val="17"/>
            <w:u w:val="single" w:color="auto"/>
            <w:color w:val="0000EE"/>
          </w:rPr>
          <w:t>Certifications Pursuant to 18 U.S.C. Section 1350, as adopted pursuant to Section 906 of the Sarbanes-Oxley Act of 2002.*</w:t>
        </w:r>
      </w:hyperlink>
    </w:p>
    <w:p>
      <w:pPr>
        <w:spacing w:after="0" w:line="36" w:lineRule="exact"/>
        <w:rPr>
          <w:sz w:val="20"/>
          <w:szCs w:val="20"/>
          <w:color w:val="auto"/>
        </w:rPr>
      </w:pPr>
    </w:p>
    <w:p>
      <w:pPr>
        <w:ind w:left="920"/>
        <w:spacing w:after="0"/>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w:t>
        </w:r>
      </w:hyperlink>
    </w:p>
    <w:p>
      <w:pPr>
        <w:spacing w:after="0" w:line="252" w:lineRule="exact"/>
        <w:rPr>
          <w:sz w:val="20"/>
          <w:szCs w:val="20"/>
          <w:color w:val="auto"/>
        </w:rPr>
      </w:pPr>
    </w:p>
    <w:p>
      <w:pPr>
        <w:ind w:left="920" w:right="140" w:hanging="911"/>
        <w:spacing w:after="0" w:line="313" w:lineRule="auto"/>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XBRL Document Set for the condensed consolidated financial statements and accompanying notes in Part I, Item 1, “Financial Statements” of this Quarterly Report on Form 10-Q.*</w:t>
      </w:r>
    </w:p>
    <w:p>
      <w:pPr>
        <w:spacing w:after="0" w:line="189" w:lineRule="exact"/>
        <w:rPr>
          <w:sz w:val="20"/>
          <w:szCs w:val="20"/>
          <w:color w:val="auto"/>
        </w:rPr>
      </w:pPr>
    </w:p>
    <w:p>
      <w:pPr>
        <w:ind w:left="920" w:hanging="911"/>
        <w:spacing w:after="0" w:line="313" w:lineRule="auto"/>
        <w:tabs>
          <w:tab w:leader="none" w:pos="9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XBRL for the cover page of this Quarterly Report on Form 10-Q, included in the Exhibit 101 Inline XBRL Document Set.*</w:t>
      </w:r>
    </w:p>
    <w:p>
      <w:pPr>
        <w:spacing w:after="0" w:line="14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Included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-187960</wp:posOffset>
            </wp:positionV>
            <wp:extent cx="15684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05" w:lineRule="exact"/>
        <w:rPr>
          <w:sz w:val="20"/>
          <w:szCs w:val="20"/>
          <w:color w:val="auto"/>
        </w:rPr>
      </w:pPr>
    </w:p>
    <w:p>
      <w:pPr>
        <w:ind w:right="40" w:firstLine="8"/>
        <w:spacing w:after="0" w:line="258" w:lineRule="auto"/>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Securities and Exchange Commission Release No. 33-8238, this certification will be treated as “accompanying” this Quarterly Report on Form 10-Q and not “filed” as part of such report for purposes of Section 18 of the Securities Exchange Act of 1934, or otherwise subject to the liability of Section 18 of the Securities Exchange Act of 1934 and this certification will not be deemed to be incorporated by reference into any filing under the Securities Act of 1933 or the Securities Exchange Act of 1934,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378" w:right="10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and the undersigned also has signed this report in his capacity as the Registrant’s Vice President of Finance (Principal Financial and Accounting Officer).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CITI TRENDS, INC.</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8, 2020</w:t>
      </w:r>
    </w:p>
    <w:p>
      <w:pPr>
        <w:spacing w:after="0" w:line="279" w:lineRule="exact"/>
        <w:rPr>
          <w:sz w:val="20"/>
          <w:szCs w:val="20"/>
          <w:color w:val="auto"/>
        </w:rPr>
      </w:pPr>
    </w:p>
    <w:tbl>
      <w:tblPr>
        <w:tblLayout w:type="fixed"/>
        <w:tblInd w:w="4980" w:type="dxa"/>
        <w:tblCellMar>
          <w:top w:w="0" w:type="dxa"/>
          <w:left w:w="0" w:type="dxa"/>
          <w:bottom w:w="0" w:type="dxa"/>
          <w:right w:w="0" w:type="dxa"/>
        </w:tblCellMar>
      </w:tblPr>
      <w:tr>
        <w:trPr>
          <w:trHeight w:val="24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Jason B. Moschner</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Jason B. Moschner</w:t>
            </w:r>
          </w:p>
        </w:tc>
      </w:t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of Finance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David N. Makuen, certify that:</w:t>
      </w:r>
    </w:p>
    <w:p>
      <w:pPr>
        <w:spacing w:after="0" w:line="198"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October 31, 2020 of Citi Trends, Inc.;</w:t>
      </w:r>
    </w:p>
    <w:p>
      <w:pPr>
        <w:spacing w:after="0" w:line="198" w:lineRule="exact"/>
        <w:rPr>
          <w:rFonts w:ascii="Times New Roman" w:cs="Times New Roman" w:eastAsia="Times New Roman" w:hAnsi="Times New Roman"/>
          <w:sz w:val="18"/>
          <w:szCs w:val="18"/>
          <w:color w:val="auto"/>
        </w:rPr>
      </w:pPr>
    </w:p>
    <w:p>
      <w:pPr>
        <w:ind w:left="660" w:right="200" w:hanging="652"/>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8"/>
          <w:szCs w:val="18"/>
          <w:color w:val="auto"/>
        </w:rPr>
      </w:pPr>
    </w:p>
    <w:p>
      <w:pPr>
        <w:ind w:left="660" w:right="280" w:hanging="652"/>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ind w:left="660" w:right="20" w:hanging="652"/>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Times New Roman" w:cs="Times New Roman" w:eastAsia="Times New Roman" w:hAnsi="Times New Roman"/>
          <w:sz w:val="18"/>
          <w:szCs w:val="18"/>
          <w:color w:val="auto"/>
        </w:rPr>
      </w:pPr>
    </w:p>
    <w:p>
      <w:pPr>
        <w:ind w:left="1300" w:right="180" w:hanging="644"/>
        <w:spacing w:after="0" w:line="245"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Times New Roman" w:cs="Times New Roman" w:eastAsia="Times New Roman" w:hAnsi="Times New Roman"/>
          <w:sz w:val="18"/>
          <w:szCs w:val="18"/>
          <w:color w:val="auto"/>
        </w:rPr>
      </w:pPr>
    </w:p>
    <w:p>
      <w:pPr>
        <w:ind w:left="1300" w:right="100" w:hanging="644"/>
        <w:spacing w:after="0" w:line="272" w:lineRule="auto"/>
        <w:tabs>
          <w:tab w:leader="none" w:pos="130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Times New Roman" w:cs="Times New Roman" w:eastAsia="Times New Roman" w:hAnsi="Times New Roman"/>
          <w:sz w:val="17"/>
          <w:szCs w:val="17"/>
          <w:color w:val="auto"/>
        </w:rPr>
      </w:pPr>
    </w:p>
    <w:p>
      <w:pPr>
        <w:ind w:left="1300" w:right="260" w:hanging="644"/>
        <w:spacing w:after="0" w:line="250"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ind w:left="1300" w:right="80" w:hanging="644"/>
        <w:spacing w:after="0" w:line="245"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Times New Roman" w:cs="Times New Roman" w:eastAsia="Times New Roman" w:hAnsi="Times New Roman"/>
          <w:sz w:val="18"/>
          <w:szCs w:val="18"/>
          <w:color w:val="auto"/>
        </w:rPr>
      </w:pPr>
    </w:p>
    <w:p>
      <w:pPr>
        <w:ind w:left="660" w:right="560" w:hanging="652"/>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1300" w:right="440" w:hanging="644"/>
        <w:spacing w:after="0" w:line="250"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1300" w:right="320" w:hanging="644"/>
        <w:spacing w:after="0" w:line="266"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8, 2020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 David N. Makuen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3775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David N. Makuen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477520</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Jason B. Moschner, certify that:</w:t>
      </w:r>
    </w:p>
    <w:p>
      <w:pPr>
        <w:spacing w:after="0" w:line="198"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October 31, 2020 of Citi Trends, Inc.;</w:t>
      </w:r>
    </w:p>
    <w:p>
      <w:pPr>
        <w:spacing w:after="0" w:line="198" w:lineRule="exact"/>
        <w:rPr>
          <w:rFonts w:ascii="Times New Roman" w:cs="Times New Roman" w:eastAsia="Times New Roman" w:hAnsi="Times New Roman"/>
          <w:sz w:val="18"/>
          <w:szCs w:val="18"/>
          <w:color w:val="auto"/>
        </w:rPr>
      </w:pPr>
    </w:p>
    <w:p>
      <w:pPr>
        <w:ind w:left="660" w:right="200" w:hanging="652"/>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8"/>
          <w:szCs w:val="18"/>
          <w:color w:val="auto"/>
        </w:rPr>
      </w:pPr>
    </w:p>
    <w:p>
      <w:pPr>
        <w:ind w:left="660" w:right="280" w:hanging="652"/>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ind w:left="660" w:right="20" w:hanging="652"/>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Times New Roman" w:cs="Times New Roman" w:eastAsia="Times New Roman" w:hAnsi="Times New Roman"/>
          <w:sz w:val="18"/>
          <w:szCs w:val="18"/>
          <w:color w:val="auto"/>
        </w:rPr>
      </w:pPr>
    </w:p>
    <w:p>
      <w:pPr>
        <w:ind w:left="1300" w:right="180" w:hanging="644"/>
        <w:spacing w:after="0" w:line="245"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Times New Roman" w:cs="Times New Roman" w:eastAsia="Times New Roman" w:hAnsi="Times New Roman"/>
          <w:sz w:val="18"/>
          <w:szCs w:val="18"/>
          <w:color w:val="auto"/>
        </w:rPr>
      </w:pPr>
    </w:p>
    <w:p>
      <w:pPr>
        <w:ind w:left="1300" w:right="100" w:hanging="644"/>
        <w:spacing w:after="0" w:line="272" w:lineRule="auto"/>
        <w:tabs>
          <w:tab w:leader="none" w:pos="130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Times New Roman" w:cs="Times New Roman" w:eastAsia="Times New Roman" w:hAnsi="Times New Roman"/>
          <w:sz w:val="17"/>
          <w:szCs w:val="17"/>
          <w:color w:val="auto"/>
        </w:rPr>
      </w:pPr>
    </w:p>
    <w:p>
      <w:pPr>
        <w:ind w:left="1300" w:right="260" w:hanging="644"/>
        <w:spacing w:after="0" w:line="250"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ind w:left="1300" w:right="80" w:hanging="644"/>
        <w:spacing w:after="0" w:line="245"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Times New Roman" w:cs="Times New Roman" w:eastAsia="Times New Roman" w:hAnsi="Times New Roman"/>
          <w:sz w:val="18"/>
          <w:szCs w:val="18"/>
          <w:color w:val="auto"/>
        </w:rPr>
      </w:pPr>
    </w:p>
    <w:p>
      <w:pPr>
        <w:ind w:left="660" w:right="560" w:hanging="652"/>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1300" w:right="440" w:hanging="644"/>
        <w:spacing w:after="0" w:line="250"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1300" w:right="320" w:hanging="644"/>
        <w:spacing w:after="0" w:line="26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8, 2020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/s/ </w:t>
      </w:r>
      <w:r>
        <w:rPr>
          <w:rFonts w:ascii="Times New Roman" w:cs="Times New Roman" w:eastAsia="Times New Roman" w:hAnsi="Times New Roman"/>
          <w:sz w:val="18"/>
          <w:szCs w:val="18"/>
          <w:color w:val="000000"/>
        </w:rPr>
        <w:t>Jason B. Moschner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3775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Jason B. Moschner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Vice President of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477520</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2" w:name="page23"/>
    <w:bookmarkEnd w:id="2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Certifications pursuant to Section 906 of the Sarbanes-Oxley Act of 2002 (18 U.S.C. § 1350, as adopted).</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David N. Makuen, Chief Executive Officer of Citi Trends, Inc.,</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and</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Jason B. Moschner, Vice President of Finance of Citi Trends, Inc., certify that:</w:t>
      </w:r>
    </w:p>
    <w:p>
      <w:pPr>
        <w:spacing w:after="0" w:line="198" w:lineRule="exact"/>
        <w:rPr>
          <w:sz w:val="20"/>
          <w:szCs w:val="20"/>
          <w:color w:val="auto"/>
        </w:rPr>
      </w:pPr>
    </w:p>
    <w:p>
      <w:pPr>
        <w:ind w:left="220" w:hanging="176"/>
        <w:spacing w:after="0"/>
        <w:tabs>
          <w:tab w:leader="none" w:pos="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reviewed this quarterly report on Form 10-Q of Citi Trends, Inc. for the period ended October 31, 2020;</w:t>
      </w:r>
    </w:p>
    <w:p>
      <w:pPr>
        <w:spacing w:after="0" w:line="198" w:lineRule="exact"/>
        <w:rPr>
          <w:rFonts w:ascii="Times New Roman" w:cs="Times New Roman" w:eastAsia="Times New Roman" w:hAnsi="Times New Roman"/>
          <w:sz w:val="18"/>
          <w:szCs w:val="18"/>
          <w:color w:val="auto"/>
        </w:rPr>
      </w:pPr>
    </w:p>
    <w:p>
      <w:pPr>
        <w:ind w:left="40" w:right="179" w:firstLine="4"/>
        <w:spacing w:after="0" w:line="266" w:lineRule="auto"/>
        <w:tabs>
          <w:tab w:leader="none" w:pos="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our knowledge, this quarterly report fully complies with the requirements of Section 13(a) or Section 15(d) of the Securities Exchange Act of 1934, as amended; and</w:t>
      </w:r>
    </w:p>
    <w:p>
      <w:pPr>
        <w:spacing w:after="0" w:line="148" w:lineRule="exact"/>
        <w:rPr>
          <w:rFonts w:ascii="Times New Roman" w:cs="Times New Roman" w:eastAsia="Times New Roman" w:hAnsi="Times New Roman"/>
          <w:sz w:val="18"/>
          <w:szCs w:val="18"/>
          <w:color w:val="auto"/>
        </w:rPr>
      </w:pPr>
    </w:p>
    <w:p>
      <w:pPr>
        <w:ind w:left="40" w:right="79" w:firstLine="4"/>
        <w:spacing w:after="0" w:line="250" w:lineRule="auto"/>
        <w:tabs>
          <w:tab w:leader="none" w:pos="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our knowledge, the financial statements, and other information included in this quarterly report, fairly present in all material respects the financial condition and results of operations of the registrant as of, and for, the periods presented in this quarterly report.</w:t>
      </w:r>
    </w:p>
    <w:p>
      <w:pPr>
        <w:spacing w:after="0" w:line="3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231F20"/>
        </w:rPr>
        <w:t>Date: December 8, 2020</w:t>
      </w:r>
    </w:p>
    <w:p>
      <w:pPr>
        <w:spacing w:after="0" w:line="200" w:lineRule="exact"/>
        <w:rPr>
          <w:sz w:val="20"/>
          <w:szCs w:val="20"/>
          <w:color w:val="auto"/>
        </w:rPr>
      </w:pPr>
    </w:p>
    <w:p>
      <w:pPr>
        <w:spacing w:after="0" w:line="21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231F20"/>
        </w:rPr>
        <w:t xml:space="preserve">/s/ </w:t>
      </w:r>
      <w:r>
        <w:rPr>
          <w:rFonts w:ascii="Times New Roman" w:cs="Times New Roman" w:eastAsia="Times New Roman" w:hAnsi="Times New Roman"/>
          <w:sz w:val="18"/>
          <w:szCs w:val="18"/>
          <w:color w:val="000000"/>
        </w:rPr>
        <w:t>David N. Makuen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17145</wp:posOffset>
            </wp:positionV>
            <wp:extent cx="29832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David N. Makuen</w:t>
      </w:r>
    </w:p>
    <w:p>
      <w:pPr>
        <w:spacing w:after="0" w:line="2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231F20"/>
        </w:rPr>
        <w:t>Chief Executive Officer</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231F20"/>
        </w:rPr>
        <w:t>(Principal Executive Officer)</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231F20"/>
        </w:rPr>
        <w:t>Date: December 8, 2020</w:t>
      </w:r>
    </w:p>
    <w:p>
      <w:pPr>
        <w:spacing w:after="0" w:line="200" w:lineRule="exact"/>
        <w:rPr>
          <w:sz w:val="20"/>
          <w:szCs w:val="20"/>
          <w:color w:val="auto"/>
        </w:rPr>
      </w:pPr>
    </w:p>
    <w:p>
      <w:pPr>
        <w:spacing w:after="0" w:line="21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231F20"/>
        </w:rPr>
        <w:t xml:space="preserve">/s/ </w:t>
      </w:r>
      <w:r>
        <w:rPr>
          <w:rFonts w:ascii="Times New Roman" w:cs="Times New Roman" w:eastAsia="Times New Roman" w:hAnsi="Times New Roman"/>
          <w:sz w:val="18"/>
          <w:szCs w:val="18"/>
          <w:color w:val="000000"/>
        </w:rPr>
        <w:t>Jason B. Moschner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17145</wp:posOffset>
            </wp:positionV>
            <wp:extent cx="29832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Jason B. Moschner</w:t>
      </w:r>
    </w:p>
    <w:p>
      <w:pPr>
        <w:spacing w:after="0" w:line="2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231F20"/>
        </w:rPr>
        <w:t>Vice President of Finance</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231F20"/>
        </w:rPr>
        <w:t>(Principal Financial and Accounting Officer)</w:t>
      </w:r>
    </w:p>
    <w:p>
      <w:pPr>
        <w:spacing w:after="0" w:line="396" w:lineRule="exact"/>
        <w:rPr>
          <w:sz w:val="20"/>
          <w:szCs w:val="20"/>
          <w:color w:val="auto"/>
        </w:rPr>
      </w:pPr>
    </w:p>
    <w:p>
      <w:pPr>
        <w:ind w:left="40" w:right="559"/>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320675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lowerRoman"/>
      <w:start w:val="4"/>
    </w:lvl>
  </w:abstractNum>
  <w:abstractNum w:abstractNumId="5">
    <w:nsid w:val="7FDCC233"/>
    <w:multiLevelType w:val="hybridMultilevel"/>
    <w:lvl w:ilvl="0">
      <w:lvlJc w:val="left"/>
      <w:lvlText w:val="%1."/>
      <w:numFmt w:val="decimal"/>
      <w:start w:val="3"/>
    </w:lvl>
  </w:abstractNum>
  <w:abstractNum w:abstractNumId="6">
    <w:nsid w:val="1BEFD79F"/>
    <w:multiLevelType w:val="hybridMultilevel"/>
    <w:lvl w:ilvl="0">
      <w:lvlJc w:val="left"/>
      <w:lvlText w:val="%1."/>
      <w:numFmt w:val="decimal"/>
      <w:start w:val="4"/>
    </w:lvl>
  </w:abstractNum>
  <w:abstractNum w:abstractNumId="7">
    <w:nsid w:val="41A7C4C9"/>
    <w:multiLevelType w:val="hybridMultilevel"/>
    <w:lvl w:ilvl="0">
      <w:lvlJc w:val="left"/>
      <w:lvlText w:val="%1."/>
      <w:numFmt w:val="decimal"/>
      <w:start w:val="5"/>
    </w:lvl>
  </w:abstractNum>
  <w:abstractNum w:abstractNumId="8">
    <w:nsid w:val="6B68079A"/>
    <w:multiLevelType w:val="hybridMultilevel"/>
    <w:lvl w:ilvl="0">
      <w:lvlJc w:val="left"/>
      <w:lvlText w:val="%1."/>
      <w:numFmt w:val="decimal"/>
      <w:start w:val="7"/>
    </w:lvl>
  </w:abstractNum>
  <w:abstractNum w:abstractNumId="9">
    <w:nsid w:val="4E6AFB66"/>
    <w:multiLevelType w:val="hybridMultilevel"/>
    <w:lvl w:ilvl="0">
      <w:lvlJc w:val="left"/>
      <w:lvlText w:val="%1."/>
      <w:numFmt w:val="decimal"/>
      <w:start w:val="8"/>
    </w:lvl>
  </w:abstractNum>
  <w:abstractNum w:abstractNumId="10">
    <w:nsid w:val="25E45D32"/>
    <w:multiLevelType w:val="hybridMultilevel"/>
    <w:lvl w:ilvl="0">
      <w:lvlJc w:val="left"/>
      <w:lvlText w:val="%1."/>
      <w:numFmt w:val="decimal"/>
      <w:start w:val="9"/>
    </w:lvl>
  </w:abstractNum>
  <w:abstractNum w:abstractNumId="11">
    <w:nsid w:val="519B500D"/>
    <w:multiLevelType w:val="hybridMultilevel"/>
    <w:lvl w:ilvl="0">
      <w:lvlJc w:val="left"/>
      <w:lvlText w:val="%1."/>
      <w:numFmt w:val="decimal"/>
      <w:start w:val="10"/>
    </w:lvl>
  </w:abstractNum>
  <w:abstractNum w:abstractNumId="12">
    <w:nsid w:val="431BD7B7"/>
    <w:multiLevelType w:val="hybridMultilevel"/>
    <w:lvl w:ilvl="0">
      <w:lvlJc w:val="left"/>
      <w:lvlText w:val="%1."/>
      <w:numFmt w:val="decimal"/>
      <w:start w:val="11"/>
    </w:lvl>
  </w:abstractNum>
  <w:abstractNum w:abstractNumId="13">
    <w:nsid w:val="3F2DBA31"/>
    <w:multiLevelType w:val="hybridMultilevel"/>
    <w:lvl w:ilvl="0">
      <w:lvlJc w:val="left"/>
      <w:lvlText w:val="%1."/>
      <w:numFmt w:val="upperLetter"/>
      <w:start w:val="17"/>
    </w:lvl>
  </w:abstractNum>
  <w:abstractNum w:abstractNumId="14">
    <w:nsid w:val="7C83E458"/>
    <w:multiLevelType w:val="hybridMultilevel"/>
    <w:lvl w:ilvl="0">
      <w:lvlJc w:val="left"/>
      <w:lvlText w:val="(%1)"/>
      <w:numFmt w:val="lowerRoman"/>
      <w:start w:val="4"/>
    </w:lvl>
  </w:abstractNum>
  <w:abstractNum w:abstractNumId="15">
    <w:nsid w:val="257130A3"/>
    <w:multiLevelType w:val="hybridMultilevel"/>
    <w:lvl w:ilvl="0">
      <w:lvlJc w:val="left"/>
      <w:lvlText w:val="(%1)"/>
      <w:numFmt w:val="lowerRoman"/>
      <w:start w:val="2"/>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01"/>
    </w:lvl>
  </w:abstractNum>
  <w:abstractNum w:abstractNumId="18">
    <w:nsid w:val="628C895D"/>
    <w:multiLevelType w:val="hybridMultilevel"/>
    <w:lvl w:ilvl="0">
      <w:lvlJc w:val="left"/>
      <w:lvlText w:val="*"/>
      <w:numFmt w:val="bullet"/>
      <w:start w:val="1"/>
    </w:lvl>
    <w:lvl w:ilvl="1">
      <w:lvlJc w:val="left"/>
      <w:lvlText w:val="%2"/>
      <w:numFmt w:val="decimal"/>
      <w:start w:val="104"/>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31" Type="http://schemas.openxmlformats.org/officeDocument/2006/relationships/hyperlink" Target="http://www.sec.gov/Archives/edgar/data/1318484/000110465918038871/a18-15022_1ex3d1.htm" TargetMode="External"/><Relationship Id="rId32" Type="http://schemas.openxmlformats.org/officeDocument/2006/relationships/hyperlink" Target="https://www.sec.gov/Archives/edgar/data/1318484/000110465920118998/tm2034437d1_ex10-1.htm" TargetMode="External"/><Relationship Id="rId33" Type="http://schemas.openxmlformats.org/officeDocument/2006/relationships/hyperlink" Target="https://www.sec.gov/Archives/edgar/data/1318484/000110465920118998/tm2034437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2020-12-08T06:33:43Z</dcterms:created>
  <dcterms:modified xsi:type="dcterms:W3CDTF">2020-12-08T06:33:43Z</dcterms:modified>
</cp:coreProperties>
</file>