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10-K/A</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(Amendment No. 1)</w:t>
      </w:r>
    </w:p>
    <w:p>
      <w:pPr>
        <w:spacing w:after="0" w:line="63"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-125095</wp:posOffset>
            </wp:positionV>
            <wp:extent cx="118745" cy="91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745" cy="91440"/>
                    </a:xfrm>
                    <a:prstGeom prst="rect">
                      <a:avLst/>
                    </a:prstGeom>
                    <a:noFill/>
                  </pic:spPr>
                </pic:pic>
              </a:graphicData>
            </a:graphic>
          </wp:anchor>
        </w:drawing>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February 1, 2020</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80" w:lineRule="exact"/>
        <w:rPr>
          <w:sz w:val="24"/>
          <w:szCs w:val="24"/>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-121920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2" w:lineRule="exact"/>
        <w:rPr>
          <w:sz w:val="24"/>
          <w:szCs w:val="24"/>
          <w:color w:val="auto"/>
        </w:rPr>
      </w:pPr>
    </w:p>
    <w:p>
      <w:pPr>
        <w:ind w:left="3400"/>
        <w:spacing w:after="0"/>
        <w:tabs>
          <w:tab w:leader="none" w:pos="5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000-51315</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CITI TRENDS, INC.</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416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w w:val="97"/>
              </w:rPr>
              <w:t>Delaware</w:t>
            </w:r>
          </w:p>
        </w:tc>
        <w:tc>
          <w:tcPr>
            <w:tcW w:w="1820" w:type="dxa"/>
            <w:vAlign w:val="bottom"/>
          </w:tcPr>
          <w:p>
            <w:pPr>
              <w:spacing w:after="0"/>
              <w:rPr>
                <w:sz w:val="14"/>
                <w:szCs w:val="14"/>
                <w:color w:val="auto"/>
              </w:rPr>
            </w:pPr>
          </w:p>
        </w:tc>
        <w:tc>
          <w:tcPr>
            <w:tcW w:w="3960" w:type="dxa"/>
            <w:vAlign w:val="bottom"/>
            <w:gridSpan w:val="2"/>
          </w:tcPr>
          <w:p>
            <w:pPr>
              <w:jc w:val="right"/>
              <w:ind w:right="2008"/>
              <w:spacing w:after="0"/>
              <w:rPr>
                <w:sz w:val="20"/>
                <w:szCs w:val="20"/>
                <w:color w:val="auto"/>
              </w:rPr>
            </w:pPr>
            <w:r>
              <w:rPr>
                <w:rFonts w:ascii="Arial" w:cs="Arial" w:eastAsia="Arial" w:hAnsi="Arial"/>
                <w:sz w:val="14"/>
                <w:szCs w:val="14"/>
                <w:b w:val="1"/>
                <w:bCs w:val="1"/>
                <w:color w:val="auto"/>
              </w:rPr>
              <w:t>52-2150697</w:t>
            </w:r>
          </w:p>
        </w:tc>
      </w:tr>
      <w:tr>
        <w:trPr>
          <w:trHeight w:val="148"/>
        </w:trPr>
        <w:tc>
          <w:tcPr>
            <w:tcW w:w="4160" w:type="dxa"/>
            <w:vAlign w:val="bottom"/>
            <w:gridSpan w:val="2"/>
          </w:tcPr>
          <w:p>
            <w:pPr>
              <w:jc w:val="center"/>
              <w:ind w:left="728"/>
              <w:spacing w:after="0" w:line="149" w:lineRule="exact"/>
              <w:rPr>
                <w:sz w:val="20"/>
                <w:szCs w:val="20"/>
                <w:color w:val="auto"/>
              </w:rPr>
            </w:pPr>
            <w:r>
              <w:rPr>
                <w:rFonts w:ascii="Arial" w:cs="Arial" w:eastAsia="Arial" w:hAnsi="Arial"/>
                <w:sz w:val="14"/>
                <w:szCs w:val="14"/>
                <w:color w:val="auto"/>
                <w:w w:val="95"/>
              </w:rPr>
              <w:t>(State or other jurisdiction of</w:t>
            </w:r>
          </w:p>
        </w:tc>
        <w:tc>
          <w:tcPr>
            <w:tcW w:w="1820" w:type="dxa"/>
            <w:vAlign w:val="bottom"/>
          </w:tcPr>
          <w:p>
            <w:pPr>
              <w:spacing w:after="0"/>
              <w:rPr>
                <w:sz w:val="12"/>
                <w:szCs w:val="12"/>
                <w:color w:val="auto"/>
              </w:rPr>
            </w:pPr>
          </w:p>
        </w:tc>
        <w:tc>
          <w:tcPr>
            <w:tcW w:w="3960" w:type="dxa"/>
            <w:vAlign w:val="bottom"/>
            <w:gridSpan w:val="2"/>
          </w:tcPr>
          <w:p>
            <w:pPr>
              <w:jc w:val="center"/>
              <w:ind w:right="808"/>
              <w:spacing w:after="0" w:line="149" w:lineRule="exact"/>
              <w:rPr>
                <w:sz w:val="20"/>
                <w:szCs w:val="20"/>
                <w:color w:val="auto"/>
              </w:rPr>
            </w:pPr>
            <w:r>
              <w:rPr>
                <w:rFonts w:ascii="Arial" w:cs="Arial" w:eastAsia="Arial" w:hAnsi="Arial"/>
                <w:sz w:val="14"/>
                <w:szCs w:val="14"/>
                <w:color w:val="auto"/>
                <w:w w:val="96"/>
              </w:rPr>
              <w:t>(I.R.S. Employer Identification No.)</w:t>
            </w:r>
          </w:p>
        </w:tc>
      </w:tr>
      <w:tr>
        <w:trPr>
          <w:trHeight w:val="182"/>
        </w:trPr>
        <w:tc>
          <w:tcPr>
            <w:tcW w:w="4160" w:type="dxa"/>
            <w:vAlign w:val="bottom"/>
            <w:gridSpan w:val="2"/>
          </w:tcPr>
          <w:p>
            <w:pPr>
              <w:jc w:val="center"/>
              <w:ind w:left="728"/>
              <w:spacing w:after="0"/>
              <w:rPr>
                <w:sz w:val="20"/>
                <w:szCs w:val="20"/>
                <w:color w:val="auto"/>
              </w:rPr>
            </w:pPr>
            <w:r>
              <w:rPr>
                <w:rFonts w:ascii="Arial" w:cs="Arial" w:eastAsia="Arial" w:hAnsi="Arial"/>
                <w:sz w:val="14"/>
                <w:szCs w:val="14"/>
                <w:color w:val="auto"/>
                <w:w w:val="94"/>
              </w:rPr>
              <w:t>incorporation or organization)</w:t>
            </w:r>
          </w:p>
        </w:tc>
        <w:tc>
          <w:tcPr>
            <w:tcW w:w="1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09"/>
        </w:trPr>
        <w:tc>
          <w:tcPr>
            <w:tcW w:w="416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w w:val="92"/>
              </w:rPr>
              <w:t>104 Coleman Boulevard, Savannah, Georgia</w:t>
            </w:r>
          </w:p>
        </w:tc>
        <w:tc>
          <w:tcPr>
            <w:tcW w:w="1820" w:type="dxa"/>
            <w:vAlign w:val="bottom"/>
          </w:tcPr>
          <w:p>
            <w:pPr>
              <w:spacing w:after="0"/>
              <w:rPr>
                <w:sz w:val="18"/>
                <w:szCs w:val="18"/>
                <w:color w:val="auto"/>
              </w:rPr>
            </w:pPr>
          </w:p>
        </w:tc>
        <w:tc>
          <w:tcPr>
            <w:tcW w:w="3960" w:type="dxa"/>
            <w:vAlign w:val="bottom"/>
            <w:gridSpan w:val="2"/>
          </w:tcPr>
          <w:p>
            <w:pPr>
              <w:jc w:val="right"/>
              <w:ind w:right="2168"/>
              <w:spacing w:after="0"/>
              <w:rPr>
                <w:sz w:val="20"/>
                <w:szCs w:val="20"/>
                <w:color w:val="auto"/>
              </w:rPr>
            </w:pPr>
            <w:r>
              <w:rPr>
                <w:rFonts w:ascii="Arial" w:cs="Arial" w:eastAsia="Arial" w:hAnsi="Arial"/>
                <w:sz w:val="14"/>
                <w:szCs w:val="14"/>
                <w:b w:val="1"/>
                <w:bCs w:val="1"/>
                <w:color w:val="auto"/>
              </w:rPr>
              <w:t>31408</w:t>
            </w:r>
          </w:p>
        </w:tc>
      </w:tr>
      <w:tr>
        <w:trPr>
          <w:trHeight w:val="182"/>
        </w:trPr>
        <w:tc>
          <w:tcPr>
            <w:tcW w:w="4160" w:type="dxa"/>
            <w:vAlign w:val="bottom"/>
            <w:gridSpan w:val="2"/>
          </w:tcPr>
          <w:p>
            <w:pPr>
              <w:jc w:val="center"/>
              <w:ind w:left="728"/>
              <w:spacing w:after="0"/>
              <w:rPr>
                <w:sz w:val="20"/>
                <w:szCs w:val="20"/>
                <w:color w:val="auto"/>
              </w:rPr>
            </w:pPr>
            <w:r>
              <w:rPr>
                <w:rFonts w:ascii="Arial" w:cs="Arial" w:eastAsia="Arial" w:hAnsi="Arial"/>
                <w:sz w:val="14"/>
                <w:szCs w:val="14"/>
                <w:color w:val="auto"/>
                <w:w w:val="95"/>
              </w:rPr>
              <w:t>(Address of principal executive offices)</w:t>
            </w:r>
          </w:p>
        </w:tc>
        <w:tc>
          <w:tcPr>
            <w:tcW w:w="1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00" w:type="dxa"/>
            <w:vAlign w:val="bottom"/>
          </w:tcPr>
          <w:p>
            <w:pPr>
              <w:jc w:val="center"/>
              <w:ind w:right="1468"/>
              <w:spacing w:after="0"/>
              <w:rPr>
                <w:sz w:val="20"/>
                <w:szCs w:val="20"/>
                <w:color w:val="auto"/>
              </w:rPr>
            </w:pPr>
            <w:r>
              <w:rPr>
                <w:rFonts w:ascii="Arial" w:cs="Arial" w:eastAsia="Arial" w:hAnsi="Arial"/>
                <w:sz w:val="14"/>
                <w:szCs w:val="14"/>
                <w:color w:val="auto"/>
                <w:w w:val="96"/>
              </w:rPr>
              <w:t>(Zip Code)</w:t>
            </w:r>
          </w:p>
        </w:tc>
      </w:tr>
      <w:tr>
        <w:trPr>
          <w:trHeight w:val="256"/>
        </w:trPr>
        <w:tc>
          <w:tcPr>
            <w:tcW w:w="5980" w:type="dxa"/>
            <w:vAlign w:val="bottom"/>
            <w:gridSpan w:val="3"/>
          </w:tcPr>
          <w:p>
            <w:pPr>
              <w:ind w:left="2980"/>
              <w:spacing w:after="0"/>
              <w:rPr>
                <w:sz w:val="20"/>
                <w:szCs w:val="20"/>
                <w:color w:val="auto"/>
              </w:rPr>
            </w:pPr>
            <w:r>
              <w:rPr>
                <w:rFonts w:ascii="Arial" w:cs="Arial" w:eastAsia="Arial" w:hAnsi="Arial"/>
                <w:sz w:val="14"/>
                <w:szCs w:val="14"/>
                <w:color w:val="auto"/>
                <w:w w:val="93"/>
              </w:rPr>
              <w:t>Registrant’s telephone number, including area code</w:t>
            </w:r>
          </w:p>
        </w:tc>
        <w:tc>
          <w:tcPr>
            <w:tcW w:w="3960" w:type="dxa"/>
            <w:vAlign w:val="bottom"/>
            <w:gridSpan w:val="2"/>
          </w:tcPr>
          <w:p>
            <w:pPr>
              <w:jc w:val="right"/>
              <w:ind w:right="2928"/>
              <w:spacing w:after="0"/>
              <w:rPr>
                <w:sz w:val="20"/>
                <w:szCs w:val="20"/>
                <w:color w:val="auto"/>
              </w:rPr>
            </w:pPr>
            <w:r>
              <w:rPr>
                <w:rFonts w:ascii="Arial" w:cs="Arial" w:eastAsia="Arial" w:hAnsi="Arial"/>
                <w:sz w:val="14"/>
                <w:szCs w:val="14"/>
                <w:b w:val="1"/>
                <w:bCs w:val="1"/>
                <w:color w:val="auto"/>
                <w:w w:val="98"/>
              </w:rPr>
              <w:t>(912) 236-1561</w:t>
            </w:r>
          </w:p>
        </w:tc>
      </w:tr>
      <w:tr>
        <w:trPr>
          <w:trHeight w:val="243"/>
        </w:trPr>
        <w:tc>
          <w:tcPr>
            <w:tcW w:w="994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93"/>
        </w:trPr>
        <w:tc>
          <w:tcPr>
            <w:tcW w:w="3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r>
      <w:tr>
        <w:trPr>
          <w:trHeight w:val="142"/>
        </w:trPr>
        <w:tc>
          <w:tcPr>
            <w:tcW w:w="33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Title of each class</w:t>
            </w:r>
          </w:p>
        </w:tc>
        <w:tc>
          <w:tcPr>
            <w:tcW w:w="8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center"/>
              <w:ind w:right="128"/>
              <w:spacing w:after="0" w:line="142" w:lineRule="exact"/>
              <w:rPr>
                <w:sz w:val="20"/>
                <w:szCs w:val="20"/>
                <w:color w:val="auto"/>
              </w:rPr>
            </w:pPr>
            <w:r>
              <w:rPr>
                <w:rFonts w:ascii="Arial" w:cs="Arial" w:eastAsia="Arial" w:hAnsi="Arial"/>
                <w:sz w:val="14"/>
                <w:szCs w:val="14"/>
                <w:b w:val="1"/>
                <w:bCs w:val="1"/>
                <w:color w:val="auto"/>
                <w:w w:val="92"/>
              </w:rPr>
              <w:t>Trading Symbol</w:t>
            </w:r>
          </w:p>
        </w:tc>
        <w:tc>
          <w:tcPr>
            <w:tcW w:w="660" w:type="dxa"/>
            <w:vAlign w:val="bottom"/>
            <w:tcBorders>
              <w:bottom w:val="single" w:sz="8" w:color="auto"/>
              <w:right w:val="single" w:sz="8" w:color="auto"/>
            </w:tcBorders>
          </w:tcPr>
          <w:p>
            <w:pPr>
              <w:spacing w:after="0"/>
              <w:rPr>
                <w:sz w:val="12"/>
                <w:szCs w:val="12"/>
                <w:color w:val="auto"/>
              </w:rPr>
            </w:pPr>
          </w:p>
        </w:tc>
        <w:tc>
          <w:tcPr>
            <w:tcW w:w="33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42"/>
        </w:trPr>
        <w:tc>
          <w:tcPr>
            <w:tcW w:w="33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Common Stock, $.01 Par Value</w:t>
            </w:r>
          </w:p>
        </w:tc>
        <w:tc>
          <w:tcPr>
            <w:tcW w:w="8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center"/>
              <w:ind w:right="128"/>
              <w:spacing w:after="0" w:line="142" w:lineRule="exact"/>
              <w:rPr>
                <w:sz w:val="20"/>
                <w:szCs w:val="20"/>
                <w:color w:val="auto"/>
              </w:rPr>
            </w:pPr>
            <w:r>
              <w:rPr>
                <w:rFonts w:ascii="Arial" w:cs="Arial" w:eastAsia="Arial" w:hAnsi="Arial"/>
                <w:sz w:val="14"/>
                <w:szCs w:val="14"/>
                <w:color w:val="auto"/>
                <w:w w:val="97"/>
              </w:rPr>
              <w:t>CTRN</w:t>
            </w:r>
          </w:p>
        </w:tc>
        <w:tc>
          <w:tcPr>
            <w:tcW w:w="660" w:type="dxa"/>
            <w:vAlign w:val="bottom"/>
            <w:tcBorders>
              <w:bottom w:val="single" w:sz="8" w:color="auto"/>
              <w:right w:val="single" w:sz="8" w:color="auto"/>
            </w:tcBorders>
          </w:tcPr>
          <w:p>
            <w:pPr>
              <w:spacing w:after="0"/>
              <w:rPr>
                <w:sz w:val="12"/>
                <w:szCs w:val="12"/>
                <w:color w:val="auto"/>
              </w:rPr>
            </w:pPr>
          </w:p>
        </w:tc>
        <w:tc>
          <w:tcPr>
            <w:tcW w:w="33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NASDAQ Stock Market</w:t>
            </w:r>
          </w:p>
        </w:tc>
      </w:tr>
    </w:tbl>
    <w:p>
      <w:pPr>
        <w:spacing w:after="0" w:line="8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registered pursuant to Section 12(g) of the Act:</w:t>
      </w:r>
    </w:p>
    <w:p>
      <w:pPr>
        <w:jc w:val="center"/>
        <w:ind w:right="20"/>
        <w:spacing w:after="0"/>
        <w:rPr>
          <w:sz w:val="20"/>
          <w:szCs w:val="20"/>
          <w:color w:val="auto"/>
        </w:rPr>
      </w:pPr>
      <w:r>
        <w:rPr>
          <w:rFonts w:ascii="Arial" w:cs="Arial" w:eastAsia="Arial" w:hAnsi="Arial"/>
          <w:sz w:val="14"/>
          <w:szCs w:val="14"/>
          <w:b w:val="1"/>
          <w:bCs w:val="1"/>
          <w:color w:val="auto"/>
        </w:rPr>
        <w:t>None</w:t>
      </w:r>
    </w:p>
    <w:p>
      <w:pPr>
        <w:spacing w:after="0" w:line="56" w:lineRule="exact"/>
        <w:rPr>
          <w:sz w:val="24"/>
          <w:szCs w:val="24"/>
          <w:color w:val="auto"/>
        </w:rPr>
      </w:pPr>
    </w:p>
    <w:p>
      <w:pPr>
        <w:ind w:right="1960"/>
        <w:spacing w:after="0" w:line="24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9" w:lineRule="exact"/>
        <w:rPr>
          <w:sz w:val="24"/>
          <w:szCs w:val="24"/>
          <w:color w:val="auto"/>
        </w:rPr>
      </w:pPr>
    </w:p>
    <w:p>
      <w:pPr>
        <w:ind w:right="300"/>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0" w:lineRule="exact"/>
        <w:rPr>
          <w:sz w:val="24"/>
          <w:szCs w:val="24"/>
          <w:color w:val="auto"/>
        </w:rPr>
      </w:pPr>
    </w:p>
    <w:p>
      <w:pPr>
        <w:ind w:right="3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right="6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850" w:right="979" w:bottom="1440" w:gutter="0" w:footer="0" w:header="0"/>
        </w:sectPr>
      </w:pPr>
    </w:p>
    <w:p>
      <w:pPr>
        <w:spacing w:after="0" w:line="88"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6" w:lineRule="exact"/>
        <w:rPr>
          <w:sz w:val="24"/>
          <w:szCs w:val="24"/>
          <w:color w:val="auto"/>
        </w:rPr>
      </w:pPr>
    </w:p>
    <w:p>
      <w:pPr>
        <w:sectPr>
          <w:pgSz w:w="11900" w:h="16838" w:orient="portrait"/>
          <w:cols w:equalWidth="0" w:num="6">
            <w:col w:w="1300" w:space="100"/>
            <w:col w:w="1040" w:space="720"/>
            <w:col w:w="960" w:space="100"/>
            <w:col w:w="420" w:space="720"/>
            <w:col w:w="1220" w:space="80"/>
            <w:col w:w="3280"/>
          </w:cols>
          <w:pgMar w:left="980" w:top="850" w:right="979" w:bottom="1440" w:gutter="0" w:footer="0" w:header="0"/>
          <w:type w:val="continuous"/>
        </w:sectPr>
      </w:pP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72" w:lineRule="exact"/>
        <w:rPr>
          <w:sz w:val="24"/>
          <w:szCs w:val="24"/>
          <w:color w:val="auto"/>
        </w:rPr>
      </w:pPr>
    </w:p>
    <w:p>
      <w:pPr>
        <w:sectPr>
          <w:pgSz w:w="11900" w:h="16838" w:orient="portrait"/>
          <w:cols w:equalWidth="0" w:num="4">
            <w:col w:w="1660" w:space="120"/>
            <w:col w:w="660" w:space="720"/>
            <w:col w:w="1560" w:space="120"/>
            <w:col w:w="5100"/>
          </w:cols>
          <w:pgMar w:left="980" w:top="850" w:right="979" w:bottom="1440" w:gutter="0" w:footer="0" w:header="0"/>
          <w:type w:val="continuous"/>
        </w:sectPr>
      </w:pPr>
    </w:p>
    <w:p>
      <w:pPr>
        <w:ind w:right="48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Arial Unicode MS" w:cs="Arial Unicode MS" w:eastAsia="Arial Unicode MS" w:hAnsi="Arial Unicode MS"/>
          <w:sz w:val="14"/>
          <w:szCs w:val="14"/>
          <w:color w:val="auto"/>
        </w:rPr>
        <w:t>☐</w:t>
      </w:r>
    </w:p>
    <w:p>
      <w:pPr>
        <w:spacing w:after="0" w:line="98" w:lineRule="exact"/>
        <w:rPr>
          <w:sz w:val="24"/>
          <w:szCs w:val="24"/>
          <w:color w:val="auto"/>
        </w:rPr>
      </w:pPr>
    </w:p>
    <w:p>
      <w:pPr>
        <w:spacing w:after="0" w:line="188" w:lineRule="exact"/>
        <w:tabs>
          <w:tab w:leader="none" w:pos="72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ind w:right="200"/>
        <w:spacing w:after="0" w:line="238"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$166,153,095 as of August 3, 2019.</w:t>
      </w:r>
    </w:p>
    <w:p>
      <w:pPr>
        <w:spacing w:after="0" w:line="61" w:lineRule="exact"/>
        <w:rPr>
          <w:sz w:val="24"/>
          <w:szCs w:val="24"/>
          <w:color w:val="auto"/>
        </w:rPr>
      </w:pPr>
    </w:p>
    <w:p>
      <w:pPr>
        <w:ind w:right="260"/>
        <w:spacing w:after="0" w:line="253"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Common Stock, par value $.01 per share, 10,616,546 shares outstanding as of June 29, 2020.</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right="460"/>
        <w:spacing w:after="0" w:line="253" w:lineRule="auto"/>
        <w:rPr>
          <w:sz w:val="20"/>
          <w:szCs w:val="20"/>
          <w:color w:val="auto"/>
        </w:rPr>
      </w:pPr>
      <w:r>
        <w:rPr>
          <w:rFonts w:ascii="Arial" w:cs="Arial" w:eastAsia="Arial" w:hAnsi="Arial"/>
          <w:sz w:val="14"/>
          <w:szCs w:val="14"/>
          <w:color w:val="auto"/>
        </w:rPr>
        <w:t>Part III incorporates information from the registrant’s definitive proxy statement filed pursuant to Regulation 14A under the Securities Exchange Act of 1934 for the Annual Meeting of Stockholders to be held on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542290</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70485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53340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40"/>
          </w:cols>
          <w:pgMar w:left="980" w:top="850" w:right="9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Reason for this Amendment</w:t>
      </w:r>
    </w:p>
    <w:p>
      <w:pPr>
        <w:spacing w:after="0" w:line="22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This Amendment No. 1 on Form 10-K/A (the “Amendment”) amends the Annual Report on Form 10-K of Citi Trends, Inc. (the “Company,” “we” or “our”) for the fiscal year ended February 1, 2020, which was originally filed with the Securities and Exchange Commission (the “SEC”) on May 14, 2020 (the “Original Form 10-K”). This Amendment is being filed to include the disclosure below in accordance with the SEC’s Order under Section 36 of the Securities Exchange Act of 1934, as amended (the “Exchange Act”) Granting Exemptions from Specified Provisions of the Exchange Act and Certain Rules Thereunder, dated March 4, 2020 (Release No. 34-88318), as modified and superseded by a new SEC order under Section 36 of the Exchange Act Modifying Exemptions from the Reporting and Proxy Delivery Requirements for Public Companies, dated March 25, 2020 (Release No. 34-88465) (collectively, the “Order”), which was inadvertently omitted from the Original Form 10-K.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Reliance on SEC Relief from Filing Requirements</w:t>
      </w:r>
    </w:p>
    <w:p>
      <w:pPr>
        <w:spacing w:after="0" w:line="229"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On April 3, 2020, the Company filed a Current Report on Form 8-K (the “Form 8-K”) to indicate its intention to rely on the Order for such extension. Specifically, the Company disclosed that the Company’s operations and business have experienced disruptions due to the unprecedented conditions surrounding the spread of COVID-19 throughout the United States. These disruptions include office closures and the availability of key Company personnel required to prepare the Annual Report due to suggested, and mandated, social quarantining and work from home orders. Due to COVID-19’s disruption in the Company’s operations, the Company was unable to file the Original Form 10-K prior to the due date.</w:t>
      </w:r>
    </w:p>
    <w:p>
      <w:pPr>
        <w:spacing w:after="0" w:line="164"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Consistent with the Company’s statements made in the Form 8-K, the Company was unable to file the Original Form 10-K in a timely manner, and therefore relied on the Order due to circumstances related to COVID-19. The Company filed its Original Form 10-K on May 14, 2020 (which was within the permitted timeframe of the Order).</w:t>
      </w:r>
    </w:p>
    <w:p>
      <w:pPr>
        <w:spacing w:after="0" w:line="165"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In addition, in accordance with Rules 12b-15 and 13a-14 under the Exchange Act the Company has also amended Part IV, Item 15 to include currently dated certifications pursuant to Section 302 of the Sarbanes-Oxley Act of 2002 from the Company’s principal executive officer and principal financial officer. Because no financial statements have been included in this Amendment, and this Amendment does not contain or amend any disclosure with respect to Items 307 and 308 of Regulation S-K, paragraphs 3, 4 and 5 of the certifications have been omitted. Similarly, because no financial statements have been included in this Amendment, certifications pursuant to Section 906 of the Sarbanes-Oxley Act of 2002 have been omitted.</w:t>
      </w:r>
    </w:p>
    <w:p>
      <w:pPr>
        <w:spacing w:after="0" w:line="195"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Except as described above, this Amendment does not amend, modify or update the information in, or exhibits to, the Original Form 10-K, and we have not updated disclosures included therein to reflect any subsequent developments or events. This Amendment should be read in conjunction with the Original Form 10-K and with our other filings made with the SEC subsequent to the filing of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744855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u w:val="single" w:color="auto"/>
          <w:color w:val="auto"/>
        </w:rPr>
        <w:t>EXHIBITS, FINANCIAL STATEMENT SCHEDULES</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Part IV of our Original Report is hereby amended solely to add the following exhibits required to be filed in connection with this Amendment:</w:t>
      </w:r>
    </w:p>
    <w:p>
      <w:pPr>
        <w:spacing w:after="0" w:line="170"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(a)(3)</w:t>
        <w:tab/>
        <w:t>The following exhibits are filed with this Amendment: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80" w:type="dxa"/>
            <w:vAlign w:val="bottom"/>
            <w:gridSpan w:val="5"/>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7880" w:type="dxa"/>
            <w:vAlign w:val="bottom"/>
            <w:gridSpan w:val="5"/>
          </w:tcPr>
          <w:p>
            <w:pPr>
              <w:ind w:left="358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8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4"/>
                <w:szCs w:val="14"/>
                <w:color w:val="auto"/>
              </w:rPr>
            </w:pPr>
          </w:p>
        </w:tc>
        <w:tc>
          <w:tcPr>
            <w:tcW w:w="7860" w:type="dxa"/>
            <w:vAlign w:val="bottom"/>
            <w:tcBorders>
              <w:top w:val="single" w:sz="8" w:color="auto"/>
            </w:tcBorders>
            <w:gridSpan w:val="4"/>
          </w:tcPr>
          <w:p>
            <w:pPr>
              <w:spacing w:after="0" w:line="169"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Certification of Principal Executive Officer, pursuant to Exchange Act Rule 13a-14(a) or 15d-14(a), as</w:t>
              </w:r>
            </w:hyperlink>
          </w:p>
        </w:tc>
        <w:tc>
          <w:tcPr>
            <w:tcW w:w="20" w:type="dxa"/>
            <w:vAlign w:val="bottom"/>
          </w:tcPr>
          <w:p>
            <w:pPr>
              <w:spacing w:after="0"/>
              <w:rPr>
                <w:sz w:val="14"/>
                <w:szCs w:val="1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adopted pursuant to Section 302 of the Sarbanes-Oxley Act of 2002.</w:t>
              </w:r>
            </w:hyperlink>
          </w:p>
        </w:tc>
        <w:tc>
          <w:tcPr>
            <w:tcW w:w="2460" w:type="dxa"/>
            <w:vAlign w:val="bottom"/>
            <w:tcBorders>
              <w:top w:val="single" w:sz="8" w:color="0000EE"/>
            </w:tcBorders>
            <w:gridSpan w:val="2"/>
          </w:tcPr>
          <w:p>
            <w:pPr>
              <w:spacing w:after="0"/>
              <w:rPr>
                <w:sz w:val="17"/>
                <w:szCs w:val="17"/>
                <w:color w:val="auto"/>
              </w:rPr>
            </w:pPr>
          </w:p>
        </w:tc>
        <w:tc>
          <w:tcPr>
            <w:tcW w:w="500" w:type="dxa"/>
            <w:vAlign w:val="bottom"/>
            <w:gridSpan w:val="2"/>
          </w:tcPr>
          <w:p>
            <w:pPr>
              <w:spacing w:after="0"/>
              <w:rPr>
                <w:sz w:val="17"/>
                <w:szCs w:val="17"/>
                <w:color w:val="auto"/>
              </w:rPr>
            </w:pPr>
          </w:p>
        </w:tc>
      </w:tr>
      <w:tr>
        <w:trPr>
          <w:trHeight w:val="412"/>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73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Certification of Principal Financial Officer, pursuant to Exchange Act Rule 13a-14(a) or 15d-14(a), as</w:t>
              </w:r>
            </w:hyperlink>
          </w:p>
        </w:tc>
        <w:tc>
          <w:tcPr>
            <w:tcW w:w="54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80" w:type="dxa"/>
            <w:vAlign w:val="bottom"/>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adopted pursuant to Section 302 of the Sarbanes-Oxley Act of 2002.</w:t>
              </w:r>
            </w:hyperlink>
          </w:p>
        </w:tc>
      </w:tr>
      <w:tr>
        <w:trPr>
          <w:trHeight w:val="1216"/>
        </w:trPr>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920" w:type="dxa"/>
            <w:vAlign w:val="bottom"/>
            <w:tcBorders>
              <w:top w:val="single" w:sz="8" w:color="0000EE"/>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29"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CITI TRENDS, INC.</w:t>
            </w:r>
          </w:p>
        </w:tc>
      </w:tr>
      <w:tr>
        <w:trPr>
          <w:trHeight w:val="432"/>
        </w:trPr>
        <w:tc>
          <w:tcPr>
            <w:tcW w:w="4480" w:type="dxa"/>
            <w:vAlign w:val="bottom"/>
          </w:tcPr>
          <w:p>
            <w:pPr>
              <w:ind w:left="20"/>
              <w:spacing w:after="0"/>
              <w:rPr>
                <w:sz w:val="20"/>
                <w:szCs w:val="20"/>
                <w:color w:val="auto"/>
              </w:rPr>
            </w:pPr>
            <w:r>
              <w:rPr>
                <w:rFonts w:ascii="Arial" w:cs="Arial" w:eastAsia="Arial" w:hAnsi="Arial"/>
                <w:sz w:val="18"/>
                <w:szCs w:val="18"/>
                <w:color w:val="auto"/>
              </w:rPr>
              <w:t>Date:  July 2,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B. Moschner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Jason B. Moschner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979"/>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29" w:right="1440" w:bottom="1440" w:gutter="0" w:footer="0" w:header="0"/>
        </w:sectPr>
      </w:pPr>
    </w:p>
    <w:bookmarkStart w:id="4" w:name="page5"/>
    <w:bookmarkEnd w:id="4"/>
    <w:p>
      <w:pPr>
        <w:ind w:left="802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PRINCIPAL FINANCIAL OFFICER PURSUANT TO 17 CFR 240.13a-14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PROMULGATED UNDER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David N. Makuen, certify that:</w:t>
      </w:r>
    </w:p>
    <w:p>
      <w:pPr>
        <w:spacing w:after="0" w:line="225" w:lineRule="exact"/>
        <w:rPr>
          <w:sz w:val="20"/>
          <w:szCs w:val="20"/>
          <w:color w:val="auto"/>
        </w:rPr>
      </w:pPr>
    </w:p>
    <w:p>
      <w:pPr>
        <w:ind w:left="700" w:right="419" w:hanging="650"/>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Citi Trends, Inc. for the period ended February 1, 2020; and</w:t>
      </w:r>
    </w:p>
    <w:p>
      <w:pPr>
        <w:spacing w:after="0" w:line="170"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 2020</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8120" w:type="dxa"/>
            <w:vAlign w:val="bottom"/>
            <w:gridSpan w:val="2"/>
          </w:tcPr>
          <w:p>
            <w:pPr>
              <w:spacing w:after="0"/>
              <w:rPr>
                <w:sz w:val="20"/>
                <w:szCs w:val="20"/>
                <w:color w:val="auto"/>
              </w:rPr>
            </w:pPr>
            <w:r>
              <w:rPr>
                <w:rFonts w:ascii="Arial" w:cs="Arial" w:eastAsia="Arial" w:hAnsi="Arial"/>
                <w:sz w:val="18"/>
                <w:szCs w:val="18"/>
                <w:color w:val="auto"/>
              </w:rPr>
              <w:t>/s/ David N. Makuen</w:t>
            </w: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3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N. Makuen</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Title:</w:t>
            </w:r>
          </w:p>
        </w:tc>
        <w:tc>
          <w:tcPr>
            <w:tcW w:w="81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776"/>
        </w:trPr>
        <w:tc>
          <w:tcPr>
            <w:tcW w:w="8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5" w:name="page6"/>
    <w:bookmarkEnd w:id="5"/>
    <w:p>
      <w:pPr>
        <w:ind w:left="802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PRINCIPAL EXECUTIVE OFFICER PURSUANT TO 17 CFR 240.13a-14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PROMULGATED UNDER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Jason B. Moschner, certify that:</w:t>
      </w:r>
    </w:p>
    <w:p>
      <w:pPr>
        <w:spacing w:after="0" w:line="225" w:lineRule="exact"/>
        <w:rPr>
          <w:sz w:val="20"/>
          <w:szCs w:val="20"/>
          <w:color w:val="auto"/>
        </w:rPr>
      </w:pPr>
    </w:p>
    <w:p>
      <w:pPr>
        <w:ind w:left="700" w:right="419" w:hanging="650"/>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Citi Trends, Inc. for the period ended February 1, 2020; and</w:t>
      </w:r>
    </w:p>
    <w:p>
      <w:pPr>
        <w:spacing w:after="0" w:line="170"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 2020</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8120" w:type="dxa"/>
            <w:vAlign w:val="bottom"/>
            <w:gridSpan w:val="2"/>
          </w:tcPr>
          <w:p>
            <w:pPr>
              <w:spacing w:after="0"/>
              <w:rPr>
                <w:sz w:val="20"/>
                <w:szCs w:val="20"/>
                <w:color w:val="auto"/>
              </w:rPr>
            </w:pPr>
            <w:r>
              <w:rPr>
                <w:rFonts w:ascii="Arial" w:cs="Arial" w:eastAsia="Arial" w:hAnsi="Arial"/>
                <w:sz w:val="18"/>
                <w:szCs w:val="18"/>
                <w:color w:val="auto"/>
              </w:rPr>
              <w:t>/s/ Jason B. Moschner</w:t>
            </w: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3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Jason B. Moschner</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Title:</w:t>
            </w:r>
          </w:p>
        </w:tc>
        <w:tc>
          <w:tcPr>
            <w:tcW w:w="8120" w:type="dxa"/>
            <w:vAlign w:val="bottom"/>
            <w:gridSpan w:val="2"/>
          </w:tcPr>
          <w:p>
            <w:pPr>
              <w:spacing w:after="0"/>
              <w:rPr>
                <w:sz w:val="20"/>
                <w:szCs w:val="20"/>
                <w:color w:val="auto"/>
              </w:rPr>
            </w:pPr>
            <w:r>
              <w:rPr>
                <w:rFonts w:ascii="Arial" w:cs="Arial" w:eastAsia="Arial" w:hAnsi="Arial"/>
                <w:sz w:val="18"/>
                <w:szCs w:val="18"/>
                <w:color w:val="auto"/>
              </w:rPr>
              <w:t>Vice President of Finance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776"/>
        </w:trPr>
        <w:tc>
          <w:tcPr>
            <w:tcW w:w="8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2020-07-02T12:44:39Z</dcterms:created>
  <dcterms:modified xsi:type="dcterms:W3CDTF">2020-07-02T12:44:39Z</dcterms:modified>
</cp:coreProperties>
</file>