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0"/>
          <w:szCs w:val="20"/>
          <w:u w:val="single" w:color="auto"/>
          <w:color w:val="2E74B5"/>
        </w:rPr>
      </w:pPr>
      <w:hyperlink w:anchor="page2">
        <w:r>
          <w:rPr>
            <w:rFonts w:ascii="Arial" w:cs="Arial" w:eastAsia="Arial" w:hAnsi="Arial"/>
            <w:sz w:val="20"/>
            <w:szCs w:val="20"/>
            <w:u w:val="single" w:color="auto"/>
            <w:color w:val="2E74B5"/>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379095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28" w:lineRule="exact"/>
        <w:rPr>
          <w:sz w:val="24"/>
          <w:szCs w:val="24"/>
          <w:color w:val="auto"/>
        </w:rPr>
      </w:pPr>
    </w:p>
    <w:p>
      <w:pPr>
        <w:ind w:left="3340" w:right="240" w:hanging="3080"/>
        <w:spacing w:after="0" w:line="391" w:lineRule="auto"/>
        <w:tabs>
          <w:tab w:leader="none" w:pos="66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May 5, 2018</w:t>
      </w:r>
    </w:p>
    <w:p>
      <w:pPr>
        <w:ind w:left="49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347" w:lineRule="exact"/>
        <w:rPr>
          <w:sz w:val="24"/>
          <w:szCs w:val="24"/>
          <w:color w:val="auto"/>
        </w:rPr>
      </w:pPr>
    </w:p>
    <w:p>
      <w:pPr>
        <w:ind w:left="3620" w:right="220" w:hanging="3360"/>
        <w:spacing w:after="0" w:line="391" w:lineRule="auto"/>
        <w:tabs>
          <w:tab w:leader="none" w:pos="68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Number 000-51315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28" w:lineRule="exact"/>
        <w:rPr>
          <w:sz w:val="24"/>
          <w:szCs w:val="24"/>
          <w:color w:val="auto"/>
        </w:rPr>
      </w:pPr>
    </w:p>
    <w:tbl>
      <w:tblPr>
        <w:tblLayout w:type="fixed"/>
        <w:tblInd w:w="1040" w:type="dxa"/>
        <w:tblCellMar>
          <w:top w:w="0" w:type="dxa"/>
          <w:left w:w="0" w:type="dxa"/>
          <w:bottom w:w="0" w:type="dxa"/>
          <w:right w:w="0" w:type="dxa"/>
        </w:tblCellMar>
      </w:tblPr>
      <w:tr>
        <w:trPr>
          <w:trHeight w:val="220"/>
        </w:trPr>
        <w:tc>
          <w:tcPr>
            <w:tcW w:w="43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8"/>
              </w:rPr>
              <w:t>DELAWARE</w:t>
            </w:r>
          </w:p>
        </w:tc>
        <w:tc>
          <w:tcPr>
            <w:tcW w:w="2840" w:type="dxa"/>
            <w:vAlign w:val="bottom"/>
          </w:tcPr>
          <w:p>
            <w:pPr>
              <w:jc w:val="right"/>
              <w:ind w:right="130"/>
              <w:spacing w:after="0"/>
              <w:rPr>
                <w:sz w:val="20"/>
                <w:szCs w:val="20"/>
                <w:color w:val="auto"/>
              </w:rPr>
            </w:pPr>
            <w:r>
              <w:rPr>
                <w:rFonts w:ascii="Arial" w:cs="Arial" w:eastAsia="Arial" w:hAnsi="Arial"/>
                <w:sz w:val="18"/>
                <w:szCs w:val="18"/>
                <w:b w:val="1"/>
                <w:bCs w:val="1"/>
                <w:color w:val="auto"/>
              </w:rPr>
              <w:t>52-2150697</w:t>
            </w:r>
          </w:p>
        </w:tc>
      </w:tr>
      <w:tr>
        <w:trPr>
          <w:trHeight w:val="216"/>
        </w:trPr>
        <w:tc>
          <w:tcPr>
            <w:tcW w:w="4380" w:type="dxa"/>
            <w:vAlign w:val="bottom"/>
          </w:tcPr>
          <w:p>
            <w:pPr>
              <w:jc w:val="center"/>
              <w:ind w:right="1410"/>
              <w:spacing w:after="0"/>
              <w:rPr>
                <w:sz w:val="20"/>
                <w:szCs w:val="20"/>
                <w:color w:val="auto"/>
              </w:rPr>
            </w:pPr>
            <w:r>
              <w:rPr>
                <w:rFonts w:ascii="Arial" w:cs="Arial" w:eastAsia="Arial" w:hAnsi="Arial"/>
                <w:sz w:val="18"/>
                <w:szCs w:val="18"/>
                <w:color w:val="auto"/>
                <w:w w:val="92"/>
              </w:rPr>
              <w:t>(State or other jurisdiction of</w:t>
            </w:r>
          </w:p>
        </w:tc>
        <w:tc>
          <w:tcPr>
            <w:tcW w:w="2840" w:type="dxa"/>
            <w:vAlign w:val="bottom"/>
          </w:tcPr>
          <w:p>
            <w:pPr>
              <w:jc w:val="center"/>
              <w:ind w:left="1430"/>
              <w:spacing w:after="0"/>
              <w:rPr>
                <w:sz w:val="20"/>
                <w:szCs w:val="20"/>
                <w:color w:val="auto"/>
              </w:rPr>
            </w:pPr>
            <w:r>
              <w:rPr>
                <w:rFonts w:ascii="Arial" w:cs="Arial" w:eastAsia="Arial" w:hAnsi="Arial"/>
                <w:sz w:val="18"/>
                <w:szCs w:val="18"/>
                <w:color w:val="auto"/>
                <w:w w:val="93"/>
              </w:rPr>
              <w:t>(I.R.S. Employer</w:t>
            </w:r>
          </w:p>
        </w:tc>
      </w:tr>
      <w:tr>
        <w:trPr>
          <w:trHeight w:val="230"/>
        </w:trPr>
        <w:tc>
          <w:tcPr>
            <w:tcW w:w="4380" w:type="dxa"/>
            <w:vAlign w:val="bottom"/>
          </w:tcPr>
          <w:p>
            <w:pPr>
              <w:jc w:val="center"/>
              <w:ind w:right="1410"/>
              <w:spacing w:after="0"/>
              <w:rPr>
                <w:sz w:val="20"/>
                <w:szCs w:val="20"/>
                <w:color w:val="auto"/>
              </w:rPr>
            </w:pPr>
            <w:r>
              <w:rPr>
                <w:rFonts w:ascii="Arial" w:cs="Arial" w:eastAsia="Arial" w:hAnsi="Arial"/>
                <w:sz w:val="18"/>
                <w:szCs w:val="18"/>
                <w:color w:val="auto"/>
                <w:w w:val="92"/>
              </w:rPr>
              <w:t>incorporation or organization)</w:t>
            </w:r>
          </w:p>
        </w:tc>
        <w:tc>
          <w:tcPr>
            <w:tcW w:w="2840" w:type="dxa"/>
            <w:vAlign w:val="bottom"/>
          </w:tcPr>
          <w:p>
            <w:pPr>
              <w:jc w:val="center"/>
              <w:ind w:left="1430"/>
              <w:spacing w:after="0"/>
              <w:rPr>
                <w:sz w:val="20"/>
                <w:szCs w:val="20"/>
                <w:color w:val="auto"/>
              </w:rPr>
            </w:pPr>
            <w:r>
              <w:rPr>
                <w:rFonts w:ascii="Arial" w:cs="Arial" w:eastAsia="Arial" w:hAnsi="Arial"/>
                <w:sz w:val="18"/>
                <w:szCs w:val="18"/>
                <w:color w:val="auto"/>
                <w:w w:val="94"/>
              </w:rPr>
              <w:t>Identification No.)</w:t>
            </w:r>
          </w:p>
        </w:tc>
      </w:tr>
      <w:tr>
        <w:trPr>
          <w:trHeight w:val="535"/>
        </w:trPr>
        <w:tc>
          <w:tcPr>
            <w:tcW w:w="43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1"/>
              </w:rPr>
              <w:t>104 Coleman Boulevard</w:t>
            </w:r>
          </w:p>
        </w:tc>
        <w:tc>
          <w:tcPr>
            <w:tcW w:w="2840" w:type="dxa"/>
            <w:vAlign w:val="bottom"/>
          </w:tcPr>
          <w:p>
            <w:pPr>
              <w:spacing w:after="0"/>
              <w:rPr>
                <w:sz w:val="24"/>
                <w:szCs w:val="24"/>
                <w:color w:val="auto"/>
              </w:rPr>
            </w:pPr>
          </w:p>
        </w:tc>
      </w:tr>
      <w:tr>
        <w:trPr>
          <w:trHeight w:val="220"/>
        </w:trPr>
        <w:tc>
          <w:tcPr>
            <w:tcW w:w="4380" w:type="dxa"/>
            <w:vAlign w:val="bottom"/>
          </w:tcPr>
          <w:p>
            <w:pPr>
              <w:jc w:val="center"/>
              <w:ind w:right="1430"/>
              <w:spacing w:after="0"/>
              <w:rPr>
                <w:sz w:val="20"/>
                <w:szCs w:val="20"/>
                <w:color w:val="auto"/>
              </w:rPr>
            </w:pPr>
            <w:r>
              <w:rPr>
                <w:rFonts w:ascii="Arial" w:cs="Arial" w:eastAsia="Arial" w:hAnsi="Arial"/>
                <w:sz w:val="18"/>
                <w:szCs w:val="18"/>
                <w:b w:val="1"/>
                <w:bCs w:val="1"/>
                <w:color w:val="auto"/>
                <w:w w:val="89"/>
              </w:rPr>
              <w:t>Savannah, Georgia</w:t>
            </w:r>
          </w:p>
        </w:tc>
        <w:tc>
          <w:tcPr>
            <w:tcW w:w="2840" w:type="dxa"/>
            <w:vAlign w:val="bottom"/>
          </w:tcPr>
          <w:p>
            <w:pPr>
              <w:jc w:val="right"/>
              <w:ind w:right="350"/>
              <w:spacing w:after="0"/>
              <w:rPr>
                <w:sz w:val="20"/>
                <w:szCs w:val="20"/>
                <w:color w:val="auto"/>
              </w:rPr>
            </w:pPr>
            <w:r>
              <w:rPr>
                <w:rFonts w:ascii="Arial" w:cs="Arial" w:eastAsia="Arial" w:hAnsi="Arial"/>
                <w:sz w:val="18"/>
                <w:szCs w:val="18"/>
                <w:b w:val="1"/>
                <w:bCs w:val="1"/>
                <w:color w:val="auto"/>
              </w:rPr>
              <w:t>31408</w:t>
            </w:r>
          </w:p>
        </w:tc>
      </w:tr>
      <w:tr>
        <w:trPr>
          <w:trHeight w:val="230"/>
        </w:trPr>
        <w:tc>
          <w:tcPr>
            <w:tcW w:w="4380" w:type="dxa"/>
            <w:vAlign w:val="bottom"/>
          </w:tcPr>
          <w:p>
            <w:pPr>
              <w:jc w:val="center"/>
              <w:ind w:right="1430"/>
              <w:spacing w:after="0"/>
              <w:rPr>
                <w:sz w:val="20"/>
                <w:szCs w:val="20"/>
                <w:color w:val="auto"/>
              </w:rPr>
            </w:pPr>
            <w:r>
              <w:rPr>
                <w:rFonts w:ascii="Arial" w:cs="Arial" w:eastAsia="Arial" w:hAnsi="Arial"/>
                <w:sz w:val="18"/>
                <w:szCs w:val="18"/>
                <w:color w:val="auto"/>
                <w:w w:val="92"/>
              </w:rPr>
              <w:t>(Address of principal executive offices)</w:t>
            </w:r>
          </w:p>
        </w:tc>
        <w:tc>
          <w:tcPr>
            <w:tcW w:w="2840" w:type="dxa"/>
            <w:vAlign w:val="bottom"/>
          </w:tcPr>
          <w:p>
            <w:pPr>
              <w:jc w:val="center"/>
              <w:ind w:left="1430"/>
              <w:spacing w:after="0"/>
              <w:rPr>
                <w:sz w:val="20"/>
                <w:szCs w:val="20"/>
                <w:color w:val="auto"/>
              </w:rPr>
            </w:pPr>
            <w:r>
              <w:rPr>
                <w:rFonts w:ascii="Arial" w:cs="Arial" w:eastAsia="Arial" w:hAnsi="Arial"/>
                <w:sz w:val="18"/>
                <w:szCs w:val="18"/>
                <w:color w:val="auto"/>
                <w:w w:val="94"/>
              </w:rPr>
              <w:t>(Zip Code)</w:t>
            </w:r>
          </w:p>
        </w:tc>
      </w:tr>
    </w:tbl>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912) 236-1561</w:t>
      </w:r>
    </w:p>
    <w:p>
      <w:pPr>
        <w:spacing w:after="0" w:line="135"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060"/>
          </w:cols>
          <w:pgMar w:left="920" w:top="231" w:right="919" w:bottom="1440" w:gutter="0" w:footer="0" w:header="0"/>
        </w:sectPr>
      </w:pPr>
    </w:p>
    <w:p>
      <w:pPr>
        <w:spacing w:after="0" w:line="2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0" w:lineRule="exact"/>
        <w:rPr>
          <w:sz w:val="24"/>
          <w:szCs w:val="24"/>
          <w:color w:val="auto"/>
        </w:rPr>
      </w:pPr>
    </w:p>
    <w:p>
      <w:pPr>
        <w:sectPr>
          <w:pgSz w:w="11900" w:h="16838" w:orient="portrait"/>
          <w:cols w:equalWidth="0" w:num="4">
            <w:col w:w="1920" w:space="480"/>
            <w:col w:w="1460" w:space="580"/>
            <w:col w:w="1820" w:space="60"/>
            <w:col w:w="3740"/>
          </w:cols>
          <w:pgMar w:left="920" w:top="231" w:right="919" w:bottom="1440" w:gutter="0" w:footer="0" w:header="0"/>
          <w:type w:val="continuous"/>
        </w:sectPr>
      </w:pPr>
    </w:p>
    <w:p>
      <w:pPr>
        <w:spacing w:after="0" w:line="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0"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6" w:lineRule="exact"/>
        <w:rPr>
          <w:sz w:val="24"/>
          <w:szCs w:val="24"/>
          <w:color w:val="auto"/>
        </w:rPr>
      </w:pPr>
    </w:p>
    <w:p>
      <w:pPr>
        <w:sectPr>
          <w:pgSz w:w="11900" w:h="16838" w:orient="portrait"/>
          <w:cols w:equalWidth="0" w:num="2">
            <w:col w:w="3720" w:space="720"/>
            <w:col w:w="5620"/>
          </w:cols>
          <w:pgMar w:left="920" w:top="231" w:right="919" w:bottom="1440" w:gutter="0" w:footer="0" w:header="0"/>
          <w:type w:val="continuous"/>
        </w:sectPr>
      </w:pPr>
    </w:p>
    <w:p>
      <w:pPr>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5" w:lineRule="exact"/>
        <w:rPr>
          <w:sz w:val="24"/>
          <w:szCs w:val="24"/>
          <w:color w:val="auto"/>
        </w:rPr>
      </w:pPr>
    </w:p>
    <w:p>
      <w:pPr>
        <w:ind w:right="760"/>
        <w:spacing w:after="0" w:line="30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registrant’s classes of common stock, as of the latest practicable date.</w:t>
      </w:r>
    </w:p>
    <w:p>
      <w:pPr>
        <w:spacing w:after="0" w:line="200" w:lineRule="exact"/>
        <w:rPr>
          <w:sz w:val="24"/>
          <w:szCs w:val="24"/>
          <w:color w:val="auto"/>
        </w:rPr>
      </w:pP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Class</w:t>
            </w:r>
          </w:p>
        </w:tc>
        <w:tc>
          <w:tcPr>
            <w:tcW w:w="492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 as of May 21, 2018</w:t>
            </w:r>
          </w:p>
        </w:tc>
      </w:tr>
      <w:tr>
        <w:trPr>
          <w:trHeight w:val="224"/>
        </w:trPr>
        <w:tc>
          <w:tcPr>
            <w:tcW w:w="4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$.01 par value</w:t>
            </w:r>
          </w:p>
        </w:tc>
        <w:tc>
          <w:tcPr>
            <w:tcW w:w="200" w:type="dxa"/>
            <w:vAlign w:val="bottom"/>
          </w:tcPr>
          <w:p>
            <w:pPr>
              <w:spacing w:after="0"/>
              <w:rPr>
                <w:sz w:val="19"/>
                <w:szCs w:val="19"/>
                <w:color w:val="auto"/>
              </w:rPr>
            </w:pPr>
          </w:p>
        </w:tc>
        <w:tc>
          <w:tcPr>
            <w:tcW w:w="4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13,676,910 shares</w:t>
            </w:r>
          </w:p>
        </w:tc>
      </w:tr>
      <w:tr>
        <w:trPr>
          <w:trHeight w:val="634"/>
        </w:trPr>
        <w:tc>
          <w:tcPr>
            <w:tcW w:w="4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r>
        <w:trPr>
          <w:trHeight w:val="21"/>
        </w:trPr>
        <w:tc>
          <w:tcPr>
            <w:tcW w:w="4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r>
      <w:tr>
        <w:trPr>
          <w:trHeight w:val="230"/>
        </w:trPr>
        <w:tc>
          <w:tcPr>
            <w:tcW w:w="4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920" w:type="dxa"/>
            <w:vAlign w:val="bottom"/>
            <w:tcBorders>
              <w:bottom w:val="single" w:sz="8" w:color="auto"/>
            </w:tcBorders>
          </w:tcPr>
          <w:p>
            <w:pPr>
              <w:spacing w:after="0"/>
              <w:rPr>
                <w:sz w:val="20"/>
                <w:szCs w:val="20"/>
                <w:color w:val="auto"/>
              </w:rPr>
            </w:pPr>
          </w:p>
        </w:tc>
      </w:tr>
    </w:tbl>
    <w:p>
      <w:pPr>
        <w:sectPr>
          <w:pgSz w:w="11900" w:h="16838" w:orient="portrait"/>
          <w:cols w:equalWidth="0" w:num="1">
            <w:col w:w="10060"/>
          </w:cols>
          <w:pgMar w:left="920" w:top="231" w:right="919" w:bottom="1440" w:gutter="0" w:footer="0" w:header="0"/>
          <w:type w:val="continuous"/>
        </w:sectPr>
      </w:pPr>
    </w:p>
    <w:bookmarkStart w:id="1" w:name="page2"/>
    <w:bookmarkEnd w:id="1"/>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040"/>
        <w:spacing w:after="0"/>
        <w:rPr>
          <w:sz w:val="20"/>
          <w:szCs w:val="20"/>
          <w:color w:val="auto"/>
        </w:rPr>
      </w:pPr>
      <w:r>
        <w:rPr>
          <w:rFonts w:ascii="Arial" w:cs="Arial" w:eastAsia="Arial" w:hAnsi="Arial"/>
          <w:sz w:val="18"/>
          <w:szCs w:val="18"/>
          <w:b w:val="1"/>
          <w:bCs w:val="1"/>
          <w:u w:val="single" w:color="auto"/>
          <w:color w:val="auto"/>
        </w:rPr>
        <w:t>CITI TRENDS, INC.</w:t>
      </w:r>
    </w:p>
    <w:p>
      <w:pPr>
        <w:spacing w:after="0" w:line="27" w:lineRule="exact"/>
        <w:rPr>
          <w:sz w:val="20"/>
          <w:szCs w:val="20"/>
          <w:color w:val="auto"/>
        </w:rPr>
      </w:pPr>
    </w:p>
    <w:p>
      <w:pPr>
        <w:jc w:val="center"/>
        <w:ind w:left="1040"/>
        <w:spacing w:after="0"/>
        <w:rPr>
          <w:sz w:val="20"/>
          <w:szCs w:val="20"/>
          <w:color w:val="auto"/>
        </w:rPr>
      </w:pPr>
      <w:r>
        <w:rPr>
          <w:rFonts w:ascii="Arial" w:cs="Arial" w:eastAsia="Arial" w:hAnsi="Arial"/>
          <w:sz w:val="18"/>
          <w:szCs w:val="18"/>
          <w:b w:val="1"/>
          <w:bCs w:val="1"/>
          <w:u w:val="single" w:color="auto"/>
          <w:color w:val="auto"/>
        </w:rPr>
        <w:t>FORM 10-Q</w:t>
      </w:r>
    </w:p>
    <w:p>
      <w:pPr>
        <w:spacing w:after="0" w:line="9" w:lineRule="exact"/>
        <w:rPr>
          <w:sz w:val="20"/>
          <w:szCs w:val="20"/>
          <w:color w:val="auto"/>
        </w:rPr>
      </w:pPr>
    </w:p>
    <w:p>
      <w:pPr>
        <w:jc w:val="center"/>
        <w:ind w:left="104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gridSpan w:val="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320" w:type="dxa"/>
            <w:vAlign w:val="bottom"/>
            <w:gridSpan w:val="2"/>
          </w:tcPr>
          <w:p>
            <w:pPr>
              <w:spacing w:after="0"/>
              <w:rPr>
                <w:sz w:val="17"/>
                <w:szCs w:val="17"/>
                <w:color w:val="auto"/>
              </w:rPr>
            </w:pPr>
          </w:p>
        </w:tc>
        <w:tc>
          <w:tcPr>
            <w:tcW w:w="720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r>
      <w:tr>
        <w:trPr>
          <w:trHeight w:val="385"/>
        </w:trPr>
        <w:tc>
          <w:tcPr>
            <w:tcW w:w="540" w:type="dxa"/>
            <w:vAlign w:val="bottom"/>
            <w:tcBorders>
              <w:top w:val="single" w:sz="8" w:color="0000EE"/>
            </w:tcBorders>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320" w:type="dxa"/>
            <w:vAlign w:val="bottom"/>
            <w:gridSpan w:val="2"/>
          </w:tcPr>
          <w:p>
            <w:pPr>
              <w:spacing w:after="0"/>
              <w:rPr>
                <w:sz w:val="24"/>
                <w:szCs w:val="24"/>
                <w:color w:val="auto"/>
              </w:rPr>
            </w:pPr>
          </w:p>
        </w:tc>
        <w:tc>
          <w:tcPr>
            <w:tcW w:w="2240" w:type="dxa"/>
            <w:vAlign w:val="bottom"/>
            <w:tcBorders>
              <w:top w:val="single" w:sz="8" w:color="0000EE"/>
            </w:tcBorders>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960" w:type="dxa"/>
            <w:vAlign w:val="bottom"/>
            <w:gridSpan w:val="9"/>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 May 5, 2018 and February 3, 2018</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0" w:type="dxa"/>
            <w:vAlign w:val="bottom"/>
            <w:gridSpan w:val="2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(unaudited) Thirteen weeks ended May 5, 2018 and</w:t>
              </w:r>
            </w:hyperlink>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6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April 29, 2017</w:t>
              </w:r>
            </w:hyperlink>
          </w:p>
        </w:tc>
        <w:tc>
          <w:tcPr>
            <w:tcW w:w="5980" w:type="dxa"/>
            <w:vAlign w:val="bottom"/>
            <w:tcBorders>
              <w:top w:val="single" w:sz="8" w:color="0000EE"/>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0" w:type="dxa"/>
            <w:vAlign w:val="bottom"/>
            <w:gridSpan w:val="2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(unaudited) Thirteen weeks ended May 5, 2018</w:t>
              </w:r>
            </w:hyperlink>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and April 29, 2017</w:t>
              </w:r>
            </w:hyperlink>
          </w:p>
        </w:tc>
        <w:tc>
          <w:tcPr>
            <w:tcW w:w="5820" w:type="dxa"/>
            <w:vAlign w:val="bottom"/>
            <w:tcBorders>
              <w:top w:val="single" w:sz="8" w:color="0000EE"/>
            </w:tcBorders>
            <w:gridSpan w:val="12"/>
          </w:tcPr>
          <w:p>
            <w:pPr>
              <w:spacing w:after="0"/>
              <w:rPr>
                <w:sz w:val="15"/>
                <w:szCs w:val="15"/>
                <w:color w:val="auto"/>
              </w:rPr>
            </w:pPr>
          </w:p>
        </w:tc>
        <w:tc>
          <w:tcPr>
            <w:tcW w:w="20" w:type="dxa"/>
            <w:vAlign w:val="bottom"/>
          </w:tcPr>
          <w:p>
            <w:pPr>
              <w:spacing w:after="0"/>
              <w:rPr>
                <w:sz w:val="15"/>
                <w:szCs w:val="15"/>
                <w:color w:val="auto"/>
              </w:rPr>
            </w:pPr>
          </w:p>
        </w:tc>
      </w:tr>
      <w:tr>
        <w:trPr>
          <w:trHeight w:val="399"/>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the Condensed Consolidated Financial Statements (unaudited)</w:t>
              </w:r>
            </w:hyperlink>
          </w:p>
        </w:tc>
      </w:tr>
      <w:tr>
        <w:trPr>
          <w:trHeight w:val="20"/>
        </w:trPr>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399"/>
        </w:trPr>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Item 2</w:t>
              </w:r>
            </w:hyperlink>
          </w:p>
        </w:tc>
        <w:tc>
          <w:tcPr>
            <w:tcW w:w="380" w:type="dxa"/>
            <w:vAlign w:val="bottom"/>
            <w:gridSpan w:val="3"/>
          </w:tcPr>
          <w:p>
            <w:pPr>
              <w:spacing w:after="0"/>
              <w:rPr>
                <w:sz w:val="24"/>
                <w:szCs w:val="24"/>
                <w:color w:val="auto"/>
              </w:rPr>
            </w:pP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Management’s Discussion and Analysis of Financial Condition and Results of Operations</w:t>
              </w:r>
            </w:hyperlink>
          </w:p>
        </w:tc>
        <w:tc>
          <w:tcPr>
            <w:tcW w:w="740" w:type="dxa"/>
            <w:vAlign w:val="bottom"/>
            <w:gridSpan w:val="3"/>
          </w:tcPr>
          <w:p>
            <w:pPr>
              <w:spacing w:after="0"/>
              <w:rPr>
                <w:sz w:val="24"/>
                <w:szCs w:val="24"/>
                <w:color w:val="auto"/>
              </w:rPr>
            </w:pPr>
          </w:p>
        </w:tc>
      </w:tr>
      <w:tr>
        <w:trPr>
          <w:trHeight w:val="399"/>
        </w:trPr>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Item 3</w:t>
              </w:r>
            </w:hyperlink>
          </w:p>
        </w:tc>
        <w:tc>
          <w:tcPr>
            <w:tcW w:w="380" w:type="dxa"/>
            <w:vAlign w:val="bottom"/>
            <w:gridSpan w:val="3"/>
          </w:tcPr>
          <w:p>
            <w:pPr>
              <w:spacing w:after="0"/>
              <w:rPr>
                <w:sz w:val="24"/>
                <w:szCs w:val="24"/>
                <w:color w:val="auto"/>
              </w:rPr>
            </w:pP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Quantitative and Qualitative Disclosures About Market Risk</w:t>
              </w:r>
            </w:hyperlink>
          </w:p>
        </w:tc>
        <w:tc>
          <w:tcPr>
            <w:tcW w:w="2840" w:type="dxa"/>
            <w:vAlign w:val="bottom"/>
            <w:gridSpan w:val="6"/>
          </w:tcPr>
          <w:p>
            <w:pPr>
              <w:spacing w:after="0"/>
              <w:rPr>
                <w:sz w:val="24"/>
                <w:szCs w:val="24"/>
                <w:color w:val="auto"/>
              </w:rPr>
            </w:pPr>
          </w:p>
        </w:tc>
      </w:tr>
      <w:tr>
        <w:trPr>
          <w:trHeight w:val="399"/>
        </w:trPr>
        <w:tc>
          <w:tcPr>
            <w:tcW w:w="860" w:type="dxa"/>
            <w:vAlign w:val="bottom"/>
            <w:gridSpan w:val="5"/>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4</w:t>
              </w:r>
            </w:hyperlink>
          </w:p>
        </w:tc>
        <w:tc>
          <w:tcPr>
            <w:tcW w:w="720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Controls and Procedures</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r>
      <w:tr>
        <w:trPr>
          <w:trHeight w:val="385"/>
        </w:trPr>
        <w:tc>
          <w:tcPr>
            <w:tcW w:w="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PART II</w:t>
              </w:r>
            </w:hyperlink>
          </w:p>
        </w:tc>
        <w:tc>
          <w:tcPr>
            <w:tcW w:w="260" w:type="dxa"/>
            <w:vAlign w:val="bottom"/>
          </w:tcPr>
          <w:p>
            <w:pPr>
              <w:spacing w:after="0"/>
              <w:rPr>
                <w:sz w:val="24"/>
                <w:szCs w:val="24"/>
                <w:color w:val="auto"/>
              </w:rPr>
            </w:pPr>
          </w:p>
        </w:tc>
        <w:tc>
          <w:tcPr>
            <w:tcW w:w="188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17">
              <w:r>
                <w:rPr>
                  <w:rFonts w:ascii="Arial" w:cs="Arial" w:eastAsia="Arial" w:hAnsi="Arial"/>
                  <w:sz w:val="18"/>
                  <w:szCs w:val="18"/>
                  <w:color w:val="0000EE"/>
                  <w:w w:val="95"/>
                </w:rPr>
                <w:t>OTHER INFORMATION</w:t>
              </w:r>
            </w:hyperlink>
          </w:p>
        </w:tc>
        <w:tc>
          <w:tcPr>
            <w:tcW w:w="5320" w:type="dxa"/>
            <w:vAlign w:val="bottom"/>
            <w:gridSpan w:val="10"/>
          </w:tcPr>
          <w:p>
            <w:pPr>
              <w:spacing w:after="0"/>
              <w:rPr>
                <w:sz w:val="24"/>
                <w:szCs w:val="24"/>
                <w:color w:val="auto"/>
              </w:rPr>
            </w:pPr>
          </w:p>
        </w:tc>
      </w:tr>
      <w:tr>
        <w:trPr>
          <w:trHeight w:val="399"/>
        </w:trPr>
        <w:tc>
          <w:tcPr>
            <w:tcW w:w="480" w:type="dxa"/>
            <w:vAlign w:val="bottom"/>
            <w:gridSpan w:val="2"/>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Item 1</w:t>
              </w:r>
            </w:hyperlink>
          </w:p>
        </w:tc>
        <w:tc>
          <w:tcPr>
            <w:tcW w:w="380" w:type="dxa"/>
            <w:vAlign w:val="bottom"/>
            <w:gridSpan w:val="3"/>
          </w:tcPr>
          <w:p>
            <w:pPr>
              <w:spacing w:after="0"/>
              <w:rPr>
                <w:sz w:val="24"/>
                <w:szCs w:val="24"/>
                <w:color w:val="auto"/>
              </w:rPr>
            </w:pPr>
          </w:p>
        </w:tc>
        <w:tc>
          <w:tcPr>
            <w:tcW w:w="7200" w:type="dxa"/>
            <w:vAlign w:val="bottom"/>
            <w:gridSpan w:val="2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Legal Proceedings</w:t>
              </w:r>
            </w:hyperlink>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r>
      <w:tr>
        <w:trPr>
          <w:trHeight w:val="399"/>
        </w:trPr>
        <w:tc>
          <w:tcPr>
            <w:tcW w:w="60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17">
              <w:r>
                <w:rPr>
                  <w:rFonts w:ascii="Arial" w:cs="Arial" w:eastAsia="Arial" w:hAnsi="Arial"/>
                  <w:sz w:val="18"/>
                  <w:szCs w:val="18"/>
                  <w:color w:val="0000EE"/>
                  <w:w w:val="93"/>
                </w:rPr>
                <w:t>Item 1A</w:t>
              </w:r>
            </w:hyperlink>
          </w:p>
        </w:tc>
        <w:tc>
          <w:tcPr>
            <w:tcW w:w="260" w:type="dxa"/>
            <w:vAlign w:val="bottom"/>
          </w:tcPr>
          <w:p>
            <w:pPr>
              <w:spacing w:after="0"/>
              <w:rPr>
                <w:sz w:val="24"/>
                <w:szCs w:val="24"/>
                <w:color w:val="auto"/>
              </w:rPr>
            </w:pP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Risk Factors</w:t>
              </w:r>
            </w:hyperlink>
          </w:p>
        </w:tc>
        <w:tc>
          <w:tcPr>
            <w:tcW w:w="6300" w:type="dxa"/>
            <w:vAlign w:val="bottom"/>
            <w:gridSpan w:val="17"/>
          </w:tcPr>
          <w:p>
            <w:pPr>
              <w:spacing w:after="0"/>
              <w:rPr>
                <w:sz w:val="24"/>
                <w:szCs w:val="24"/>
                <w:color w:val="auto"/>
              </w:rPr>
            </w:pPr>
          </w:p>
        </w:tc>
      </w:tr>
      <w:tr>
        <w:trPr>
          <w:trHeight w:val="399"/>
        </w:trPr>
        <w:tc>
          <w:tcPr>
            <w:tcW w:w="480" w:type="dxa"/>
            <w:vAlign w:val="bottom"/>
            <w:gridSpan w:val="2"/>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Item 2</w:t>
              </w:r>
            </w:hyperlink>
          </w:p>
        </w:tc>
        <w:tc>
          <w:tcPr>
            <w:tcW w:w="380" w:type="dxa"/>
            <w:vAlign w:val="bottom"/>
            <w:gridSpan w:val="3"/>
          </w:tcPr>
          <w:p>
            <w:pPr>
              <w:spacing w:after="0"/>
              <w:rPr>
                <w:sz w:val="24"/>
                <w:szCs w:val="24"/>
                <w:color w:val="auto"/>
              </w:rPr>
            </w:pPr>
          </w:p>
        </w:tc>
        <w:tc>
          <w:tcPr>
            <w:tcW w:w="7200" w:type="dxa"/>
            <w:vAlign w:val="bottom"/>
            <w:gridSpan w:val="2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Unregistered Sales of Equity Securities and Use of Proceeds</w:t>
              </w:r>
            </w:hyperlink>
          </w:p>
        </w:tc>
      </w:tr>
      <w:tr>
        <w:trPr>
          <w:trHeight w:val="399"/>
        </w:trPr>
        <w:tc>
          <w:tcPr>
            <w:tcW w:w="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Item 3</w:t>
              </w:r>
            </w:hyperlink>
          </w:p>
        </w:tc>
        <w:tc>
          <w:tcPr>
            <w:tcW w:w="380" w:type="dxa"/>
            <w:vAlign w:val="bottom"/>
            <w:gridSpan w:val="3"/>
          </w:tcPr>
          <w:p>
            <w:pPr>
              <w:spacing w:after="0"/>
              <w:rPr>
                <w:sz w:val="24"/>
                <w:szCs w:val="24"/>
                <w:color w:val="auto"/>
              </w:rPr>
            </w:pPr>
          </w:p>
        </w:tc>
        <w:tc>
          <w:tcPr>
            <w:tcW w:w="2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tcPr>
          <w:p>
            <w:pPr>
              <w:spacing w:after="0"/>
              <w:rPr>
                <w:sz w:val="24"/>
                <w:szCs w:val="24"/>
                <w:color w:val="auto"/>
              </w:rPr>
            </w:pPr>
          </w:p>
        </w:tc>
        <w:tc>
          <w:tcPr>
            <w:tcW w:w="2860" w:type="dxa"/>
            <w:vAlign w:val="bottom"/>
            <w:gridSpan w:val="7"/>
          </w:tcPr>
          <w:p>
            <w:pPr>
              <w:spacing w:after="0"/>
              <w:rPr>
                <w:sz w:val="24"/>
                <w:szCs w:val="24"/>
                <w:color w:val="auto"/>
              </w:rPr>
            </w:pPr>
          </w:p>
        </w:tc>
      </w:tr>
      <w:tr>
        <w:trPr>
          <w:trHeight w:val="399"/>
        </w:trPr>
        <w:tc>
          <w:tcPr>
            <w:tcW w:w="480" w:type="dxa"/>
            <w:vAlign w:val="bottom"/>
            <w:gridSpan w:val="2"/>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Item 4</w:t>
              </w:r>
            </w:hyperlink>
          </w:p>
        </w:tc>
        <w:tc>
          <w:tcPr>
            <w:tcW w:w="380" w:type="dxa"/>
            <w:vAlign w:val="bottom"/>
            <w:gridSpan w:val="3"/>
          </w:tcPr>
          <w:p>
            <w:pPr>
              <w:spacing w:after="0"/>
              <w:rPr>
                <w:sz w:val="24"/>
                <w:szCs w:val="24"/>
                <w:color w:val="auto"/>
              </w:rPr>
            </w:pPr>
          </w:p>
        </w:tc>
        <w:tc>
          <w:tcPr>
            <w:tcW w:w="7200" w:type="dxa"/>
            <w:vAlign w:val="bottom"/>
            <w:gridSpan w:val="2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Mine Safety Disclosures</w:t>
              </w:r>
            </w:hyperlink>
          </w:p>
        </w:tc>
      </w:tr>
      <w:tr>
        <w:trPr>
          <w:trHeight w:val="399"/>
        </w:trPr>
        <w:tc>
          <w:tcPr>
            <w:tcW w:w="480" w:type="dxa"/>
            <w:vAlign w:val="bottom"/>
            <w:tcBorders>
              <w:top w:val="single" w:sz="8" w:color="0000EE"/>
            </w:tcBorders>
            <w:gridSpan w:val="2"/>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Item 5</w:t>
              </w:r>
            </w:hyperlink>
          </w:p>
        </w:tc>
        <w:tc>
          <w:tcPr>
            <w:tcW w:w="380" w:type="dxa"/>
            <w:vAlign w:val="bottom"/>
            <w:gridSpan w:val="3"/>
          </w:tcPr>
          <w:p>
            <w:pPr>
              <w:spacing w:after="0"/>
              <w:rPr>
                <w:sz w:val="24"/>
                <w:szCs w:val="24"/>
                <w:color w:val="auto"/>
              </w:rPr>
            </w:pPr>
          </w:p>
        </w:tc>
        <w:tc>
          <w:tcPr>
            <w:tcW w:w="1760" w:type="dxa"/>
            <w:vAlign w:val="bottom"/>
            <w:tcBorders>
              <w:top w:val="single" w:sz="8" w:color="0000EE"/>
            </w:tcBorders>
            <w:gridSpan w:val="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Other Information</w:t>
              </w:r>
            </w:hyperlink>
          </w:p>
        </w:tc>
        <w:tc>
          <w:tcPr>
            <w:tcW w:w="5440" w:type="dxa"/>
            <w:vAlign w:val="bottom"/>
            <w:gridSpan w:val="11"/>
          </w:tcPr>
          <w:p>
            <w:pPr>
              <w:spacing w:after="0"/>
              <w:rPr>
                <w:sz w:val="24"/>
                <w:szCs w:val="24"/>
                <w:color w:val="auto"/>
              </w:rPr>
            </w:pPr>
          </w:p>
        </w:tc>
      </w:tr>
      <w:tr>
        <w:trPr>
          <w:trHeight w:val="399"/>
        </w:trPr>
        <w:tc>
          <w:tcPr>
            <w:tcW w:w="480" w:type="dxa"/>
            <w:vAlign w:val="bottom"/>
            <w:tcBorders>
              <w:top w:val="single" w:sz="8" w:color="0000EE"/>
            </w:tcBorders>
            <w:gridSpan w:val="2"/>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Item 6</w:t>
              </w:r>
            </w:hyperlink>
          </w:p>
        </w:tc>
        <w:tc>
          <w:tcPr>
            <w:tcW w:w="380" w:type="dxa"/>
            <w:vAlign w:val="bottom"/>
            <w:gridSpan w:val="3"/>
          </w:tcPr>
          <w:p>
            <w:pPr>
              <w:spacing w:after="0"/>
              <w:rPr>
                <w:sz w:val="24"/>
                <w:szCs w:val="24"/>
                <w:color w:val="auto"/>
              </w:rPr>
            </w:pPr>
          </w:p>
        </w:tc>
        <w:tc>
          <w:tcPr>
            <w:tcW w:w="1320" w:type="dxa"/>
            <w:vAlign w:val="bottom"/>
            <w:tcBorders>
              <w:top w:val="single" w:sz="8" w:color="0000EE"/>
            </w:tcBorders>
            <w:gridSpan w:val="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Exhibits</w:t>
              </w:r>
            </w:hyperlink>
          </w:p>
        </w:tc>
        <w:tc>
          <w:tcPr>
            <w:tcW w:w="5880" w:type="dxa"/>
            <w:vAlign w:val="bottom"/>
            <w:gridSpan w:val="14"/>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100" w:type="dxa"/>
            <w:vAlign w:val="bottom"/>
            <w:gridSpan w:val="16"/>
          </w:tcPr>
          <w:p>
            <w:pPr>
              <w:spacing w:after="0" w:line="20" w:lineRule="exact"/>
              <w:rPr>
                <w:sz w:val="1"/>
                <w:szCs w:val="1"/>
                <w:color w:val="auto"/>
              </w:rPr>
            </w:pPr>
          </w:p>
        </w:tc>
      </w:tr>
      <w:tr>
        <w:trPr>
          <w:trHeight w:val="399"/>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SIGNATURES</w:t>
              </w:r>
            </w:hyperlink>
          </w:p>
        </w:tc>
        <w:tc>
          <w:tcPr>
            <w:tcW w:w="6100" w:type="dxa"/>
            <w:vAlign w:val="bottom"/>
            <w:gridSpan w:val="16"/>
          </w:tcPr>
          <w:p>
            <w:pPr>
              <w:spacing w:after="0"/>
              <w:rPr>
                <w:sz w:val="24"/>
                <w:szCs w:val="24"/>
                <w:color w:val="auto"/>
              </w:rPr>
            </w:pPr>
          </w:p>
        </w:tc>
      </w:tr>
      <w:tr>
        <w:trPr>
          <w:trHeight w:val="871"/>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40" w:type="dxa"/>
            <w:vAlign w:val="bottom"/>
            <w:gridSpan w:val="13"/>
          </w:tcPr>
          <w:p>
            <w:pPr>
              <w:ind w:left="36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16</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17</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17</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17</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17</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17</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17</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18</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19</w:t>
      </w:r>
    </w:p>
    <w:p>
      <w:pPr>
        <w:sectPr>
          <w:pgSz w:w="11900" w:h="16838" w:orient="portrait"/>
          <w:cols w:equalWidth="0" w:num="2">
            <w:col w:w="8020" w:space="220"/>
            <w:col w:w="82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5, 2018 and February 3,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11"/>
              <w:spacing w:after="0"/>
              <w:rPr>
                <w:sz w:val="20"/>
                <w:szCs w:val="20"/>
                <w:color w:val="auto"/>
              </w:rPr>
            </w:pPr>
            <w:r>
              <w:rPr>
                <w:rFonts w:ascii="Arial" w:cs="Arial" w:eastAsia="Arial" w:hAnsi="Arial"/>
                <w:sz w:val="14"/>
                <w:szCs w:val="14"/>
                <w:b w:val="1"/>
                <w:bCs w:val="1"/>
                <w:color w:val="auto"/>
              </w:rPr>
              <w:t>May 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February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ind w:left="306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48,451</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Short-term investment securities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33,504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125,331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137,701</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15,694</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229,185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233,346</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tcPr>
          <w:p>
            <w:pPr>
              <w:ind w:left="200"/>
              <w:spacing w:after="0" w:line="201" w:lineRule="exact"/>
              <w:rPr>
                <w:sz w:val="20"/>
                <w:szCs w:val="20"/>
                <w:color w:val="auto"/>
              </w:rPr>
            </w:pPr>
            <w:r>
              <w:rPr>
                <w:rFonts w:ascii="Arial" w:cs="Arial" w:eastAsia="Arial" w:hAnsi="Arial"/>
                <w:sz w:val="18"/>
                <w:szCs w:val="18"/>
                <w:color w:val="auto"/>
                <w:w w:val="92"/>
              </w:rPr>
              <w:t>Property and equipment, net of accumulated depreciation of $234,555 and $229,699 as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of May 5, 2018 and February 3, 2018, respectively</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59,156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61,777</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investment securities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25,451</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Deferred tax asset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5,777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316,251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327,071</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9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63,814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75,947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13,762</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17,013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payable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Layaway deposits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109,170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8,433</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99,640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117,603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tcPr>
          <w:p>
            <w:pPr>
              <w:ind w:left="200"/>
              <w:spacing w:after="0" w:line="201" w:lineRule="exact"/>
              <w:rPr>
                <w:sz w:val="20"/>
                <w:szCs w:val="20"/>
                <w:color w:val="auto"/>
              </w:rPr>
            </w:pPr>
            <w:r>
              <w:rPr>
                <w:rFonts w:ascii="Arial" w:cs="Arial" w:eastAsia="Arial" w:hAnsi="Arial"/>
                <w:sz w:val="18"/>
                <w:szCs w:val="18"/>
                <w:color w:val="auto"/>
                <w:w w:val="96"/>
              </w:rPr>
              <w:t>Common stock, $0.01 par value. Authorized 32,000,000 shares; 15,815,851 shares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issued as of May 5, 2018 and 15,777,946 shares issued as of February 3, 2018;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w w:val="90"/>
              </w:rPr>
              <w:t>13,696,144 shares outstanding as of May 5, 2018 and 13,743,776 shares outstanding as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of February 3, 2018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 in capital</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90,605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169,139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158,927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Treasury stock, at cost; 2,119,707 shares held as of May 5, 2018 and 2,034,170 shares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held as of February 3, 2018</w:t>
            </w:r>
          </w:p>
        </w:tc>
        <w:tc>
          <w:tcPr>
            <w:tcW w:w="1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(42,892)</w:t>
            </w:r>
          </w:p>
        </w:tc>
        <w:tc>
          <w:tcPr>
            <w:tcW w:w="2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(40,220)</w:t>
            </w: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216,611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209,468</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316,251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327,071</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Thirteen Weeks Ended May 5, 2018 and April 29,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Thirteen Weeks Ended</w:t>
            </w:r>
          </w:p>
        </w:tc>
      </w:tr>
      <w:tr>
        <w:trPr>
          <w:trHeight w:val="119"/>
        </w:trPr>
        <w:tc>
          <w:tcPr>
            <w:tcW w:w="6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May 5,</w:t>
            </w: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92"/>
              <w:spacing w:after="0" w:line="119" w:lineRule="exact"/>
              <w:rPr>
                <w:sz w:val="20"/>
                <w:szCs w:val="20"/>
                <w:color w:val="auto"/>
              </w:rPr>
            </w:pPr>
            <w:r>
              <w:rPr>
                <w:rFonts w:ascii="Arial" w:cs="Arial" w:eastAsia="Arial" w:hAnsi="Arial"/>
                <w:sz w:val="13"/>
                <w:szCs w:val="13"/>
                <w:b w:val="1"/>
                <w:bCs w:val="1"/>
                <w:color w:val="auto"/>
              </w:rPr>
              <w:t>April 29,</w:t>
            </w:r>
          </w:p>
        </w:tc>
        <w:tc>
          <w:tcPr>
            <w:tcW w:w="40" w:type="dxa"/>
            <w:vAlign w:val="bottom"/>
          </w:tcPr>
          <w:p>
            <w:pPr>
              <w:spacing w:after="0"/>
              <w:rPr>
                <w:sz w:val="10"/>
                <w:szCs w:val="10"/>
                <w:color w:val="auto"/>
              </w:rPr>
            </w:pPr>
          </w:p>
        </w:tc>
      </w:tr>
      <w:tr>
        <w:trPr>
          <w:trHeight w:val="171"/>
        </w:trPr>
        <w:tc>
          <w:tcPr>
            <w:tcW w:w="67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199,955</w:t>
            </w:r>
          </w:p>
        </w:tc>
        <w:tc>
          <w:tcPr>
            <w:tcW w:w="4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Cost of sales (exclusive of depreciation shown separately below)</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(129,413)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(122,390)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(63,005)</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(60,487)</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(4,298)</w:t>
            </w:r>
          </w:p>
        </w:tc>
      </w:tr>
      <w:tr>
        <w:trPr>
          <w:trHeight w:val="210"/>
        </w:trPr>
        <w:tc>
          <w:tcPr>
            <w:tcW w:w="6740" w:type="dxa"/>
            <w:vAlign w:val="bottom"/>
          </w:tcPr>
          <w:p>
            <w:pPr>
              <w:ind w:left="32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13,640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12,780</w:t>
            </w:r>
          </w:p>
        </w:tc>
        <w:tc>
          <w:tcPr>
            <w:tcW w:w="4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4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r>
      <w:tr>
        <w:trPr>
          <w:trHeight w:val="210"/>
        </w:trPr>
        <w:tc>
          <w:tcPr>
            <w:tcW w:w="67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(2,601)</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(4,039)</w:t>
            </w:r>
          </w:p>
        </w:tc>
      </w:tr>
      <w:tr>
        <w:trPr>
          <w:trHeight w:val="217"/>
        </w:trPr>
        <w:tc>
          <w:tcPr>
            <w:tcW w:w="67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40" w:type="dxa"/>
            <w:vAlign w:val="bottom"/>
            <w:shd w:val="clear" w:color="auto" w:fill="CCEEFF"/>
          </w:tcPr>
          <w:p>
            <w:pPr>
              <w:spacing w:after="0"/>
              <w:rPr>
                <w:sz w:val="20"/>
                <w:szCs w:val="20"/>
                <w:color w:val="auto"/>
              </w:rPr>
            </w:pPr>
          </w:p>
        </w:tc>
      </w:tr>
      <w:tr>
        <w:trPr>
          <w:trHeight w:val="210"/>
        </w:trPr>
        <w:tc>
          <w:tcPr>
            <w:tcW w:w="67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Diluted net income per common share</w:t>
            </w:r>
          </w:p>
        </w:tc>
        <w:tc>
          <w:tcPr>
            <w:tcW w:w="3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0.83</w:t>
            </w:r>
          </w:p>
        </w:tc>
        <w:tc>
          <w:tcPr>
            <w:tcW w:w="1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0.60</w:t>
            </w:r>
          </w:p>
        </w:tc>
        <w:tc>
          <w:tcPr>
            <w:tcW w:w="40" w:type="dxa"/>
            <w:vAlign w:val="bottom"/>
            <w:tcBorders>
              <w:top w:val="single" w:sz="8" w:color="CCEEFF"/>
              <w:bottom w:val="single" w:sz="8" w:color="CCEEFF"/>
            </w:tcBorders>
          </w:tcPr>
          <w:p>
            <w:pPr>
              <w:spacing w:after="0"/>
              <w:rPr>
                <w:sz w:val="18"/>
                <w:szCs w:val="18"/>
                <w:color w:val="auto"/>
              </w:rPr>
            </w:pPr>
          </w:p>
        </w:tc>
      </w:tr>
      <w:tr>
        <w:trPr>
          <w:trHeight w:val="216"/>
        </w:trPr>
        <w:tc>
          <w:tcPr>
            <w:tcW w:w="6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6"/>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13,578</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14,719</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6740" w:type="dxa"/>
            <w:vAlign w:val="bottom"/>
            <w:tcBorders>
              <w:bottom w:val="single" w:sz="8" w:color="CCEEFF"/>
            </w:tcBorders>
          </w:tcPr>
          <w:p>
            <w:pPr>
              <w:ind w:left="220"/>
              <w:spacing w:after="0" w:line="203"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13,631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14,780</w:t>
            </w:r>
          </w:p>
        </w:tc>
        <w:tc>
          <w:tcPr>
            <w:tcW w:w="40" w:type="dxa"/>
            <w:vAlign w:val="bottom"/>
            <w:tcBorders>
              <w:bottom w:val="single" w:sz="8" w:color="CCEEFF"/>
            </w:tcBorders>
          </w:tcPr>
          <w:p>
            <w:pPr>
              <w:spacing w:after="0"/>
              <w:rPr>
                <w:sz w:val="18"/>
                <w:szCs w:val="18"/>
                <w:color w:val="auto"/>
              </w:rPr>
            </w:pPr>
          </w:p>
        </w:tc>
      </w:tr>
      <w:tr>
        <w:trPr>
          <w:trHeight w:val="216"/>
        </w:trPr>
        <w:tc>
          <w:tcPr>
            <w:tcW w:w="6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Cash dividends declared per share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0.06</w:t>
            </w:r>
          </w:p>
        </w:tc>
        <w:tc>
          <w:tcPr>
            <w:tcW w:w="40" w:type="dxa"/>
            <w:vAlign w:val="bottom"/>
          </w:tcPr>
          <w:p>
            <w:pPr>
              <w:spacing w:after="0"/>
              <w:rPr>
                <w:sz w:val="19"/>
                <w:szCs w:val="19"/>
                <w:color w:val="auto"/>
              </w:rPr>
            </w:pPr>
          </w:p>
        </w:tc>
      </w:tr>
      <w:tr>
        <w:trPr>
          <w:trHeight w:val="419"/>
        </w:trPr>
        <w:tc>
          <w:tcPr>
            <w:tcW w:w="6740" w:type="dxa"/>
            <w:vAlign w:val="bottom"/>
          </w:tcPr>
          <w:p>
            <w:pPr>
              <w:spacing w:after="0"/>
              <w:rPr>
                <w:sz w:val="20"/>
                <w:szCs w:val="20"/>
                <w:color w:val="auto"/>
              </w:rPr>
            </w:pPr>
            <w:r>
              <w:rPr>
                <w:rFonts w:ascii="Arial" w:cs="Arial" w:eastAsia="Arial" w:hAnsi="Arial"/>
                <w:sz w:val="18"/>
                <w:szCs w:val="18"/>
                <w:color w:val="auto"/>
                <w:w w:val="93"/>
              </w:rPr>
              <w:t>See accompanying notes to the condensed consolidated financial statements (unaudited).</w:t>
            </w: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648"/>
        </w:trPr>
        <w:tc>
          <w:tcPr>
            <w:tcW w:w="6740" w:type="dxa"/>
            <w:vAlign w:val="bottom"/>
          </w:tcPr>
          <w:p>
            <w:pPr>
              <w:ind w:left="448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67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Thirteen Weeks Ended May 5, 2018 and April 29,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Thirteen Weeks Ended</w:t>
            </w:r>
          </w:p>
        </w:tc>
      </w:tr>
      <w:tr>
        <w:trPr>
          <w:trHeight w:val="119"/>
        </w:trPr>
        <w:tc>
          <w:tcPr>
            <w:tcW w:w="69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May 5,</w:t>
            </w: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31"/>
              <w:spacing w:after="0" w:line="119" w:lineRule="exact"/>
              <w:rPr>
                <w:sz w:val="20"/>
                <w:szCs w:val="20"/>
                <w:color w:val="auto"/>
              </w:rPr>
            </w:pPr>
            <w:r>
              <w:rPr>
                <w:rFonts w:ascii="Arial" w:cs="Arial" w:eastAsia="Arial" w:hAnsi="Arial"/>
                <w:sz w:val="13"/>
                <w:szCs w:val="13"/>
                <w:b w:val="1"/>
                <w:bCs w:val="1"/>
                <w:color w:val="auto"/>
              </w:rPr>
              <w:t>April 29,</w:t>
            </w:r>
          </w:p>
        </w:tc>
        <w:tc>
          <w:tcPr>
            <w:tcW w:w="40" w:type="dxa"/>
            <w:vAlign w:val="bottom"/>
          </w:tcPr>
          <w:p>
            <w:pPr>
              <w:spacing w:after="0"/>
              <w:rPr>
                <w:sz w:val="10"/>
                <w:szCs w:val="10"/>
                <w:color w:val="auto"/>
              </w:rPr>
            </w:pPr>
          </w:p>
        </w:tc>
      </w:tr>
      <w:tr>
        <w:trPr>
          <w:trHeight w:val="171"/>
        </w:trPr>
        <w:tc>
          <w:tcPr>
            <w:tcW w:w="69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11,297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8,890</w:t>
            </w:r>
          </w:p>
        </w:tc>
        <w:tc>
          <w:tcPr>
            <w:tcW w:w="40" w:type="dxa"/>
            <w:vAlign w:val="bottom"/>
          </w:tcPr>
          <w:p>
            <w:pPr>
              <w:spacing w:after="0"/>
              <w:rPr>
                <w:sz w:val="18"/>
                <w:szCs w:val="18"/>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90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4,298</w:t>
            </w:r>
          </w:p>
        </w:tc>
        <w:tc>
          <w:tcPr>
            <w:tcW w:w="40" w:type="dxa"/>
            <w:vAlign w:val="bottom"/>
          </w:tcPr>
          <w:p>
            <w:pPr>
              <w:spacing w:after="0"/>
              <w:rPr>
                <w:sz w:val="18"/>
                <w:szCs w:val="18"/>
                <w:color w:val="auto"/>
              </w:rPr>
            </w:pPr>
          </w:p>
        </w:tc>
      </w:tr>
      <w:tr>
        <w:trPr>
          <w:trHeight w:val="216"/>
        </w:trPr>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disposal of property and equipment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1,469</w:t>
            </w:r>
          </w:p>
        </w:tc>
        <w:tc>
          <w:tcPr>
            <w:tcW w:w="40" w:type="dxa"/>
            <w:vAlign w:val="bottom"/>
          </w:tcPr>
          <w:p>
            <w:pPr>
              <w:spacing w:after="0"/>
              <w:rPr>
                <w:sz w:val="18"/>
                <w:szCs w:val="18"/>
                <w:color w:val="auto"/>
              </w:rPr>
            </w:pPr>
          </w:p>
        </w:tc>
      </w:tr>
      <w:tr>
        <w:trPr>
          <w:trHeight w:val="216"/>
        </w:trPr>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Noncash stock-based compensation expense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40" w:type="dxa"/>
            <w:vAlign w:val="bottom"/>
            <w:shd w:val="clear" w:color="auto" w:fill="CCEEFF"/>
          </w:tcPr>
          <w:p>
            <w:pPr>
              <w:spacing w:after="0"/>
              <w:rPr>
                <w:sz w:val="18"/>
                <w:szCs w:val="18"/>
                <w:color w:val="auto"/>
              </w:rPr>
            </w:pPr>
          </w:p>
        </w:tc>
      </w:tr>
      <w:tr>
        <w:trPr>
          <w:trHeight w:val="216"/>
        </w:trPr>
        <w:tc>
          <w:tcPr>
            <w:tcW w:w="690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10,116</w:t>
            </w:r>
          </w:p>
        </w:tc>
        <w:tc>
          <w:tcPr>
            <w:tcW w:w="40" w:type="dxa"/>
            <w:vAlign w:val="bottom"/>
            <w:shd w:val="clear" w:color="auto" w:fill="CCEEFF"/>
          </w:tcPr>
          <w:p>
            <w:pPr>
              <w:spacing w:after="0"/>
              <w:rPr>
                <w:sz w:val="18"/>
                <w:szCs w:val="18"/>
                <w:color w:val="auto"/>
              </w:rPr>
            </w:pPr>
          </w:p>
        </w:tc>
      </w:tr>
      <w:tr>
        <w:trPr>
          <w:trHeight w:val="216"/>
        </w:trPr>
        <w:tc>
          <w:tcPr>
            <w:tcW w:w="6900" w:type="dxa"/>
            <w:vAlign w:val="bottom"/>
          </w:tcPr>
          <w:p>
            <w:pPr>
              <w:ind w:left="44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(678)</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r>
      <w:tr>
        <w:trPr>
          <w:trHeight w:val="216"/>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r>
      <w:tr>
        <w:trPr>
          <w:trHeight w:val="216"/>
        </w:trPr>
        <w:tc>
          <w:tcPr>
            <w:tcW w:w="690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(12,166)</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(4,022)</w:t>
            </w:r>
          </w:p>
        </w:tc>
      </w:tr>
      <w:tr>
        <w:trPr>
          <w:trHeight w:val="216"/>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 and other long-term liabilities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r>
      <w:tr>
        <w:trPr>
          <w:trHeight w:val="216"/>
        </w:trPr>
        <w:tc>
          <w:tcPr>
            <w:tcW w:w="6900" w:type="dxa"/>
            <w:vAlign w:val="bottom"/>
          </w:tcPr>
          <w:p>
            <w:pPr>
              <w:ind w:left="440"/>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(7,910)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1,516</w:t>
            </w:r>
          </w:p>
        </w:tc>
        <w:tc>
          <w:tcPr>
            <w:tcW w:w="40" w:type="dxa"/>
            <w:vAlign w:val="bottom"/>
          </w:tcPr>
          <w:p>
            <w:pPr>
              <w:spacing w:after="0"/>
              <w:rPr>
                <w:sz w:val="18"/>
                <w:szCs w:val="18"/>
                <w:color w:val="auto"/>
              </w:rPr>
            </w:pPr>
          </w:p>
        </w:tc>
      </w:tr>
      <w:tr>
        <w:trPr>
          <w:trHeight w:val="216"/>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payable/receivable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40" w:type="dxa"/>
            <w:vAlign w:val="bottom"/>
            <w:shd w:val="clear" w:color="auto" w:fill="CCEEFF"/>
          </w:tcPr>
          <w:p>
            <w:pPr>
              <w:spacing w:after="0"/>
              <w:rPr>
                <w:sz w:val="18"/>
                <w:szCs w:val="18"/>
                <w:color w:val="auto"/>
              </w:rPr>
            </w:pPr>
          </w:p>
        </w:tc>
      </w:tr>
      <w:tr>
        <w:trPr>
          <w:trHeight w:val="216"/>
        </w:trPr>
        <w:tc>
          <w:tcPr>
            <w:tcW w:w="69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Layaway deposits</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40" w:type="dxa"/>
            <w:vAlign w:val="bottom"/>
            <w:tcBorders>
              <w:bottom w:val="single" w:sz="8" w:color="CCEEFF"/>
            </w:tcBorders>
          </w:tcPr>
          <w:p>
            <w:pPr>
              <w:spacing w:after="0"/>
              <w:rPr>
                <w:sz w:val="18"/>
                <w:szCs w:val="18"/>
                <w:color w:val="auto"/>
              </w:rPr>
            </w:pPr>
          </w:p>
        </w:tc>
      </w:tr>
      <w:tr>
        <w:trPr>
          <w:trHeight w:val="210"/>
        </w:trPr>
        <w:tc>
          <w:tcPr>
            <w:tcW w:w="6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10,503</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25,659</w:t>
            </w:r>
          </w:p>
        </w:tc>
        <w:tc>
          <w:tcPr>
            <w:tcW w:w="40" w:type="dxa"/>
            <w:vAlign w:val="bottom"/>
            <w:shd w:val="clear" w:color="auto" w:fill="CCEEFF"/>
          </w:tcPr>
          <w:p>
            <w:pPr>
              <w:spacing w:after="0"/>
              <w:rPr>
                <w:sz w:val="18"/>
                <w:szCs w:val="18"/>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Sales/redemptions of investment securities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16,640</w:t>
            </w:r>
          </w:p>
        </w:tc>
        <w:tc>
          <w:tcPr>
            <w:tcW w:w="40" w:type="dxa"/>
            <w:vAlign w:val="bottom"/>
            <w:shd w:val="clear" w:color="auto" w:fill="CCEEFF"/>
          </w:tcPr>
          <w:p>
            <w:pPr>
              <w:spacing w:after="0"/>
              <w:rPr>
                <w:sz w:val="18"/>
                <w:szCs w:val="18"/>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Purchases of investment securities</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(11,928)</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(12,026)</w:t>
            </w: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(4,758)</w:t>
            </w:r>
          </w:p>
        </w:tc>
      </w:tr>
      <w:tr>
        <w:trPr>
          <w:trHeight w:val="210"/>
        </w:trPr>
        <w:tc>
          <w:tcPr>
            <w:tcW w:w="69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40" w:type="dxa"/>
            <w:vAlign w:val="bottom"/>
            <w:tcBorders>
              <w:bottom w:val="single" w:sz="8" w:color="CCEEFF"/>
            </w:tcBorders>
          </w:tcPr>
          <w:p>
            <w:pPr>
              <w:spacing w:after="0"/>
              <w:rPr>
                <w:sz w:val="18"/>
                <w:szCs w:val="18"/>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Cash used to settle withholding taxes on the vesting of nonvested restricted stock</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(981)</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(850)</w:t>
            </w: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paid to stockholders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(881)</w:t>
            </w: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(2,672)</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90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6900" w:type="dxa"/>
            <w:vAlign w:val="bottom"/>
          </w:tcPr>
          <w:p>
            <w:pPr>
              <w:ind w:left="660"/>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23,784</w:t>
            </w:r>
          </w:p>
        </w:tc>
        <w:tc>
          <w:tcPr>
            <w:tcW w:w="4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Beginning of period</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48,451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49,253</w:t>
            </w:r>
          </w:p>
        </w:tc>
        <w:tc>
          <w:tcPr>
            <w:tcW w:w="40" w:type="dxa"/>
            <w:vAlign w:val="bottom"/>
            <w:tcBorders>
              <w:bottom w:val="single" w:sz="8" w:color="CCEEFF"/>
            </w:tcBorders>
          </w:tcPr>
          <w:p>
            <w:pPr>
              <w:spacing w:after="0"/>
              <w:rPr>
                <w:sz w:val="18"/>
                <w:szCs w:val="18"/>
                <w:color w:val="auto"/>
              </w:rPr>
            </w:pPr>
          </w:p>
        </w:tc>
      </w:tr>
      <w:tr>
        <w:trPr>
          <w:trHeight w:val="217"/>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53,978</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73,037</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16"/>
        </w:trPr>
        <w:tc>
          <w:tcPr>
            <w:tcW w:w="6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69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Cash paid for interest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tcPr>
          <w:p>
            <w:pPr>
              <w:spacing w:after="0"/>
              <w:rPr>
                <w:sz w:val="19"/>
                <w:szCs w:val="19"/>
                <w:color w:val="auto"/>
              </w:rPr>
            </w:pPr>
          </w:p>
        </w:tc>
      </w:tr>
      <w:tr>
        <w:trPr>
          <w:trHeight w:val="236"/>
        </w:trPr>
        <w:tc>
          <w:tcPr>
            <w:tcW w:w="69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Cash refunds of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03"/>
        </w:trPr>
        <w:tc>
          <w:tcPr>
            <w:tcW w:w="6900" w:type="dxa"/>
            <w:vAlign w:val="bottom"/>
          </w:tcPr>
          <w:p>
            <w:pPr>
              <w:spacing w:after="0" w:line="203" w:lineRule="exact"/>
              <w:rPr>
                <w:sz w:val="20"/>
                <w:szCs w:val="20"/>
                <w:color w:val="auto"/>
              </w:rPr>
            </w:pPr>
            <w:r>
              <w:rPr>
                <w:rFonts w:ascii="Arial" w:cs="Arial" w:eastAsia="Arial" w:hAnsi="Arial"/>
                <w:sz w:val="18"/>
                <w:szCs w:val="18"/>
                <w:color w:val="auto"/>
              </w:rPr>
              <w:t>Supplemental disclosures of noncash investing activities: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3"/>
        </w:trPr>
        <w:tc>
          <w:tcPr>
            <w:tcW w:w="69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Accrual for purchases of property and equipment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4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Citi Trends,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the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May 5, 2018</w:t>
      </w:r>
    </w:p>
    <w:p>
      <w:pPr>
        <w:spacing w:after="0" w:line="211" w:lineRule="exact"/>
        <w:rPr>
          <w:sz w:val="20"/>
          <w:szCs w:val="20"/>
          <w:color w:val="auto"/>
        </w:rPr>
      </w:pPr>
    </w:p>
    <w:p>
      <w:pPr>
        <w:ind w:left="180" w:hanging="177"/>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Citi Trends, Inc. and its subsidiary (the “Company”) operate as a value-priced retailer of urban fashion apparel and accessories for the entire family. As of May 5, 2018, the Company operated 553 stores in 31 states.</w:t>
      </w:r>
    </w:p>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condensed consolidated balance sheet as of May 5, 2018 and the condensed consolidated statements of income and cash flows for the thirteen week periods ended May 5, 2018 and April 29, 2017 have been prepared by the Company without audit. The condensed consolidated balance sheet as of February 3, 2018 has been derived from the audited financial statements as of that date, but does not include all required year-end disclosures. In the opinion of management, such statements include all adjustments considered necessary to present fairly the Company’s financial position as of May 5, 2018 and February 3, 2018, and its results of operations and cash flows for all periods presented. These condensed consolidated financial statements should be read in conjunction with the consolidated financial statements and the notes thereto included in the Company’s latest Annual Report on Form 10-K for the year ended February 3, 2018.</w:t>
      </w:r>
    </w:p>
    <w:p>
      <w:pPr>
        <w:spacing w:after="0" w:line="166"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accompanying unaudited condensed consolidated financial statements are prepared in accordance with U.S. generally accepted accounting principles (U.S. GAAP) for interim financial information and with the instructions to Form 10-Q and Article 10 of Regulation S-X. Accordingly, they do not include all information and footnotes required by U.S. GAAP for complete financial statements. Operating results for the thirteen weeks ended May 5, 2018 are not necessarily indicative of the results that may be expected for the fiscal year ending February 2, 2019.</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contains references to fiscal years 2018 and 2017, which represent fiscal years ending or ended on February 2, 2019 and February 3, 2018, respectively. Fiscal 2018 has a 52-week accounting period and fiscal 2017 had a 53-week accounting period.</w:t>
      </w:r>
    </w:p>
    <w:p>
      <w:pPr>
        <w:spacing w:after="0" w:line="181" w:lineRule="exact"/>
        <w:rPr>
          <w:sz w:val="20"/>
          <w:szCs w:val="20"/>
          <w:color w:val="auto"/>
        </w:rPr>
      </w:pPr>
    </w:p>
    <w:p>
      <w:pPr>
        <w:ind w:left="180" w:hanging="177"/>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use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7"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The most significant estimates made by management include those used in the valuation of inventory, property and equipment, self-insurance liabilities, leases and income taxes. Management periodically evaluates estimates used in the preparation of the consolidated financial statements for continued reasonableness. Appropriate adjustments, if any, to the estimates used are made prospectively based on such periodic evaluations.</w:t>
      </w:r>
    </w:p>
    <w:p>
      <w:pPr>
        <w:spacing w:after="0" w:line="171" w:lineRule="exact"/>
        <w:rPr>
          <w:sz w:val="20"/>
          <w:szCs w:val="20"/>
          <w:color w:val="auto"/>
        </w:rPr>
      </w:pPr>
    </w:p>
    <w:p>
      <w:pPr>
        <w:ind w:left="180" w:hanging="177"/>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Cash and Cash Equivalents/Concentration of Credit Risk</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For purposes of the condensed consolidated balance sheets and condensed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158" w:lineRule="exact"/>
        <w:rPr>
          <w:sz w:val="20"/>
          <w:szCs w:val="20"/>
          <w:color w:val="auto"/>
        </w:rPr>
      </w:pPr>
    </w:p>
    <w:p>
      <w:pPr>
        <w:ind w:left="180" w:hanging="177"/>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Basic earnings per common share amounts are calculated using the weighted average number of common shares outstanding for the period. Diluted earnings per common share amounts are calculated using the weighted average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spacing w:after="0" w:line="166"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dilutive effect of stock-based compensation arrangements is accounted for using the treasury stock method. The Company includes as assumed proceeds the amount of compensation cost attributed to future services and not yet recognized. For the thirteen weeks ended May 5, 2018 and April 29, 2017, there were 108,000 and 145,000 shares of nonvested restricted stock, respectively, excluded from the calculation of diluted earnings per share because of antidilution.</w:t>
      </w:r>
    </w:p>
    <w:p>
      <w:pPr>
        <w:spacing w:after="0" w:line="154"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The following table provides a reconciliation of the average number of common shares outstanding used to calculate basic earnings per share to the number of common shares and common stock equivalents outstanding used in calculating diluted earnings per share for the thirteen week periods ended May 5, 2018 and April 29, 2017: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80" w:type="dxa"/>
            <w:vAlign w:val="bottom"/>
          </w:tcPr>
          <w:p>
            <w:pPr>
              <w:spacing w:after="0"/>
              <w:rPr>
                <w:sz w:val="15"/>
                <w:szCs w:val="15"/>
                <w:color w:val="auto"/>
              </w:rPr>
            </w:pPr>
          </w:p>
        </w:tc>
        <w:tc>
          <w:tcPr>
            <w:tcW w:w="2380" w:type="dxa"/>
            <w:vAlign w:val="bottom"/>
            <w:tcBorders>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Thirteen Weeks Ended</w:t>
            </w:r>
          </w:p>
        </w:tc>
      </w:tr>
      <w:tr>
        <w:trPr>
          <w:trHeight w:val="156"/>
        </w:trPr>
        <w:tc>
          <w:tcPr>
            <w:tcW w:w="6680" w:type="dxa"/>
            <w:vAlign w:val="bottom"/>
          </w:tcPr>
          <w:p>
            <w:pPr>
              <w:spacing w:after="0"/>
              <w:rPr>
                <w:sz w:val="13"/>
                <w:szCs w:val="13"/>
                <w:color w:val="auto"/>
              </w:rPr>
            </w:pPr>
          </w:p>
        </w:tc>
        <w:tc>
          <w:tcPr>
            <w:tcW w:w="13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May 5, 2018</w:t>
            </w:r>
          </w:p>
        </w:tc>
        <w:tc>
          <w:tcPr>
            <w:tcW w:w="1080" w:type="dxa"/>
            <w:vAlign w:val="bottom"/>
          </w:tcPr>
          <w:p>
            <w:pPr>
              <w:jc w:val="right"/>
              <w:ind w:right="21"/>
              <w:spacing w:after="0" w:line="149" w:lineRule="exact"/>
              <w:rPr>
                <w:sz w:val="20"/>
                <w:szCs w:val="20"/>
                <w:color w:val="auto"/>
              </w:rPr>
            </w:pPr>
            <w:r>
              <w:rPr>
                <w:rFonts w:ascii="Arial" w:cs="Arial" w:eastAsia="Arial" w:hAnsi="Arial"/>
                <w:sz w:val="14"/>
                <w:szCs w:val="14"/>
                <w:b w:val="1"/>
                <w:bCs w:val="1"/>
                <w:color w:val="auto"/>
              </w:rPr>
              <w:t>April 29, 2017</w:t>
            </w:r>
          </w:p>
        </w:tc>
      </w:tr>
      <w:tr>
        <w:trPr>
          <w:trHeight w:val="203"/>
        </w:trPr>
        <w:tc>
          <w:tcPr>
            <w:tcW w:w="6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Average number of common shares outstanding</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13,578,100</w:t>
            </w: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14,719,130</w:t>
            </w:r>
          </w:p>
        </w:tc>
      </w:tr>
      <w:tr>
        <w:trPr>
          <w:trHeight w:val="216"/>
        </w:trPr>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Incremental shares from assumed vesting of nonvested restricted stock</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53,166</w:t>
            </w: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60,800</w:t>
            </w:r>
          </w:p>
        </w:tc>
      </w:tr>
      <w:tr>
        <w:trPr>
          <w:trHeight w:val="203"/>
        </w:trPr>
        <w:tc>
          <w:tcPr>
            <w:tcW w:w="66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number of common shares and common stock equivalents outstanding</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13,631,266</w:t>
            </w:r>
          </w:p>
        </w:tc>
        <w:tc>
          <w:tcPr>
            <w:tcW w:w="2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14,779,930</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Fair Value Measurement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in the principal or most advantageous market at the measurement date. Fair value is established according to a hierarchy that prioritizes observable and unobservable inputs used to measure fair value into three broad levels, which are described below:</w:t>
      </w:r>
    </w:p>
    <w:p>
      <w:pPr>
        <w:spacing w:after="0" w:line="187" w:lineRule="exact"/>
        <w:rPr>
          <w:sz w:val="20"/>
          <w:szCs w:val="20"/>
          <w:color w:val="auto"/>
        </w:rPr>
      </w:pPr>
    </w:p>
    <w:p>
      <w:pPr>
        <w:ind w:left="660" w:right="560"/>
        <w:spacing w:after="0" w:line="277" w:lineRule="auto"/>
        <w:rPr>
          <w:sz w:val="20"/>
          <w:szCs w:val="20"/>
          <w:color w:val="auto"/>
        </w:rPr>
      </w:pPr>
      <w:r>
        <w:rPr>
          <w:rFonts w:ascii="Arial" w:cs="Arial" w:eastAsia="Arial" w:hAnsi="Arial"/>
          <w:sz w:val="18"/>
          <w:szCs w:val="18"/>
          <w:color w:val="auto"/>
        </w:rPr>
        <w:t>Level 1: Unadjusted quoted prices in active markets that are accessible at the measurement date for assets or liabilities. The fair value hierarchy gives the highest priority to Level 1 inputs.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2: Observable prices that are based on inputs not quoted on active markets, but corroborated by market data.</w:t>
      </w:r>
    </w:p>
    <w:p>
      <w:pPr>
        <w:spacing w:after="0" w:line="248" w:lineRule="exact"/>
        <w:rPr>
          <w:sz w:val="20"/>
          <w:szCs w:val="20"/>
          <w:color w:val="auto"/>
        </w:rPr>
      </w:pPr>
    </w:p>
    <w:p>
      <w:pPr>
        <w:ind w:left="660" w:right="20" w:firstLine="1"/>
        <w:spacing w:after="0" w:line="277" w:lineRule="auto"/>
        <w:rPr>
          <w:sz w:val="20"/>
          <w:szCs w:val="20"/>
          <w:color w:val="auto"/>
        </w:rPr>
      </w:pPr>
      <w:r>
        <w:rPr>
          <w:rFonts w:ascii="Arial" w:cs="Arial" w:eastAsia="Arial" w:hAnsi="Arial"/>
          <w:sz w:val="18"/>
          <w:szCs w:val="18"/>
          <w:color w:val="auto"/>
        </w:rPr>
        <w:t>Level 3: Unobservable inputs are used when little or no market data is available. Level 3 inputs are given the lowest priority in the fair value hierarchy.</w:t>
      </w:r>
    </w:p>
    <w:p>
      <w:pPr>
        <w:spacing w:after="0" w:line="17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As of May 5, 2018, the Company’s investment securities are classified as held-to-maturity since the Company has the intent and ability to hold the investments to maturity. Such securities are carried at amortized cost plus accrued interest and consist of the following (in thousands):</w:t>
      </w:r>
    </w:p>
    <w:tbl>
      <w:tblPr>
        <w:tblLayout w:type="fixed"/>
        <w:tblInd w:w="0" w:type="dxa"/>
        <w:tblCellMar>
          <w:top w:w="0" w:type="dxa"/>
          <w:left w:w="0" w:type="dxa"/>
          <w:bottom w:w="0" w:type="dxa"/>
          <w:right w:w="0" w:type="dxa"/>
        </w:tblCellMar>
      </w:tblPr>
      <w:tr>
        <w:trPr>
          <w:trHeight w:val="140"/>
        </w:trPr>
        <w:tc>
          <w:tcPr>
            <w:tcW w:w="5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60"/>
              <w:spacing w:after="0" w:line="140" w:lineRule="exact"/>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2"/>
                <w:szCs w:val="12"/>
                <w:color w:val="auto"/>
              </w:rPr>
            </w:pPr>
          </w:p>
        </w:tc>
        <w:tc>
          <w:tcPr>
            <w:tcW w:w="70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2"/>
                <w:szCs w:val="12"/>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Unrealized</w:t>
            </w:r>
          </w:p>
        </w:tc>
        <w:tc>
          <w:tcPr>
            <w:tcW w:w="8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6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40" w:type="dxa"/>
            <w:vAlign w:val="bottom"/>
          </w:tcPr>
          <w:p>
            <w:pPr>
              <w:ind w:left="220"/>
              <w:spacing w:after="0" w:line="201" w:lineRule="exact"/>
              <w:rPr>
                <w:sz w:val="20"/>
                <w:szCs w:val="20"/>
                <w:color w:val="auto"/>
              </w:rPr>
            </w:pPr>
            <w:r>
              <w:rPr>
                <w:rFonts w:ascii="Arial" w:cs="Arial" w:eastAsia="Arial" w:hAnsi="Arial"/>
                <w:sz w:val="18"/>
                <w:szCs w:val="18"/>
                <w:color w:val="auto"/>
                <w:w w:val="96"/>
              </w:rPr>
              <w:t>Obligations of the U.S. Treasury and U.S. government agencies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(Level 1)</w:t>
            </w:r>
          </w:p>
        </w:tc>
        <w:tc>
          <w:tcPr>
            <w:tcW w:w="50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11,000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(77)</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10,923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states and municipalities (Level 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Bank certificates of deposit (Level 2)</w:t>
            </w: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12,052</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12,052</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33,504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33,417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1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Long-term:</w:t>
            </w:r>
          </w:p>
        </w:tc>
        <w:tc>
          <w:tcPr>
            <w:tcW w:w="3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the U. S. Treasury (Level 1)</w:t>
            </w:r>
          </w:p>
        </w:tc>
        <w:tc>
          <w:tcPr>
            <w:tcW w:w="5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(85)</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Bank certificates of deposit (Level 2)</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11,810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11,810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21,622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5140" w:type="dxa"/>
            <w:vAlign w:val="bottom"/>
            <w:tcBorders>
              <w:top w:val="single" w:sz="8" w:color="CCEEFF"/>
            </w:tcBorders>
          </w:tcPr>
          <w:p>
            <w:pPr>
              <w:ind w:left="4480"/>
              <w:spacing w:after="0"/>
              <w:rPr>
                <w:sz w:val="20"/>
                <w:szCs w:val="20"/>
                <w:color w:val="auto"/>
              </w:rPr>
            </w:pPr>
            <w:r>
              <w:rPr>
                <w:rFonts w:ascii="Arial" w:cs="Arial" w:eastAsia="Arial" w:hAnsi="Arial"/>
                <w:sz w:val="18"/>
                <w:szCs w:val="18"/>
                <w:color w:val="auto"/>
              </w:rPr>
              <w:t>7</w:t>
            </w:r>
          </w:p>
        </w:tc>
        <w:tc>
          <w:tcPr>
            <w:tcW w:w="3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amortized cost and fair market value of investment securities as of May 5, 2018 by contractual maturity are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Mature in one year or less</w:t>
            </w:r>
          </w:p>
        </w:tc>
        <w:tc>
          <w:tcPr>
            <w:tcW w:w="1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8"/>
              </w:rPr>
              <w:t>33,504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4"/>
              </w:rPr>
              <w:t>33,417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Mature after one year through five years</w:t>
            </w:r>
          </w:p>
        </w:tc>
        <w:tc>
          <w:tcPr>
            <w:tcW w:w="1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8"/>
              </w:rPr>
              <w:t>21,707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4"/>
              </w:rPr>
              <w:t>21,622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4"/>
              </w:rPr>
              <w:t>55,211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4"/>
              </w:rPr>
              <w:t>55,039</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of February 3, 2018, the Company’s investment securities were classified as held-to-maturity and consisted of the following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Amortized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8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8"/>
                <w:szCs w:val="18"/>
                <w:color w:val="auto"/>
              </w:rPr>
              <w:t>Obligations of the U. S. Treasury (Level 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10,162</w:t>
            </w: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10,137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states and municipalities (Level 2)</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Bank certificates of deposit (Level 2)</w:t>
            </w: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31,500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31,474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Long-term:</w:t>
            </w: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the U. S. Treasury (Level 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8"/>
                <w:szCs w:val="18"/>
                <w:color w:val="auto"/>
              </w:rPr>
              <w:t>Bank certificates of deposit (Level 2)</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15,484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15,484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25,451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25,335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60"/>
        <w:spacing w:after="0" w:line="277" w:lineRule="auto"/>
        <w:rPr>
          <w:sz w:val="20"/>
          <w:szCs w:val="20"/>
          <w:color w:val="auto"/>
        </w:rPr>
      </w:pPr>
      <w:r>
        <w:rPr>
          <w:rFonts w:ascii="Arial" w:cs="Arial" w:eastAsia="Arial" w:hAnsi="Arial"/>
          <w:sz w:val="18"/>
          <w:szCs w:val="18"/>
          <w:color w:val="auto"/>
        </w:rPr>
        <w:t>The amortized cost and fair market value of investment securities as of February 3, 2018 by contractual maturity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Mature in one year or less</w:t>
            </w:r>
          </w:p>
        </w:tc>
        <w:tc>
          <w:tcPr>
            <w:tcW w:w="1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8"/>
              </w:rPr>
              <w:t>31,500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4"/>
              </w:rPr>
              <w:t>31,474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Mature after one year through five years</w:t>
            </w:r>
          </w:p>
        </w:tc>
        <w:tc>
          <w:tcPr>
            <w:tcW w:w="1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8"/>
              </w:rPr>
              <w:t>25,451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4"/>
              </w:rPr>
              <w:t>25,335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8"/>
              </w:rPr>
              <w:t>56,951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4"/>
              </w:rPr>
              <w:t>56,809</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among the levels in the thirteen weeks ended May 5, 2018.</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Fair market values of Level 2 investments are determined by management with the assistance of a third party pricing service. Because quoted prices in active markets for identical assets are not available, these prices are determined by the third party pricing service using observable market information such as quotes from less active markets and quoted prices of similar securities.</w:t>
      </w:r>
    </w:p>
    <w:p>
      <w:pPr>
        <w:spacing w:after="0" w:line="187" w:lineRule="exact"/>
        <w:rPr>
          <w:sz w:val="20"/>
          <w:szCs w:val="20"/>
          <w:color w:val="auto"/>
        </w:rPr>
      </w:pPr>
    </w:p>
    <w:p>
      <w:pPr>
        <w:ind w:left="180" w:hanging="177"/>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Revolving Line of Credit</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October 27, 2011, the Company entered into a five-year, $50 million credit facility with Bank of America. The facility was amended on August 18, 2015, extending the maturity date to August 18, 2020. The amended facility provides a $50 million credit commitment and a $25 million uncommitted “accordion” feature that under certain circumstances could allow the Company to increase the size of the facility to $75 million. Borrowings, if any, under the facility will bear interest (a) for LIBOR Rate Loans, at LIBOR plus either 1.25% or 1.5%, or (b) for Base Rate Loans, at a rate equal to the highest of (i) the prime rate plus either 0.25% or 0.5%, (ii) the Federal Funds Rate plus either 0.75% or 1.0%, or (iii) LIBOR plus either 1.25% or 1.5%, based in any such case on the average daily availability for borrowings under the facility. The facility continues to be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0.25% and permits the payment of cash dividends subject to certain limitations, including a requirement that there were no</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borrowings outstanding in the 30 days prior to the dividend payment and no borrowings are expected in the 30 days subsequent to the payment. The Company has had no borrowings under the credit facility.</w:t>
      </w:r>
    </w:p>
    <w:p>
      <w:pPr>
        <w:spacing w:after="0" w:line="170" w:lineRule="exact"/>
        <w:rPr>
          <w:sz w:val="20"/>
          <w:szCs w:val="20"/>
          <w:color w:val="auto"/>
        </w:rPr>
      </w:pPr>
    </w:p>
    <w:p>
      <w:pPr>
        <w:ind w:left="220" w:hanging="217"/>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ASC 740-270, </w:t>
      </w:r>
      <w:r>
        <w:rPr>
          <w:rFonts w:ascii="Arial" w:cs="Arial" w:eastAsia="Arial" w:hAnsi="Arial"/>
          <w:sz w:val="18"/>
          <w:szCs w:val="18"/>
          <w:i w:val="1"/>
          <w:iCs w:val="1"/>
          <w:color w:val="auto"/>
        </w:rPr>
        <w:t>Income Taxes – Interim Reporting</w:t>
      </w:r>
      <w:r>
        <w:rPr>
          <w:rFonts w:ascii="Arial" w:cs="Arial" w:eastAsia="Arial" w:hAnsi="Arial"/>
          <w:sz w:val="18"/>
          <w:szCs w:val="18"/>
          <w:color w:val="auto"/>
        </w:rPr>
        <w:t>, requires companies to calculate income taxes by applying their estimated full-year tax rate in each interim period unless the estimated full-year tax rate is not reliably predictable. For the thirteen weeks ended May 5, 2018 and April 29, 2017, the Company utilized this annual effective tax rate method to calculate income taxes.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three months ended May 5, 2018, the effective income tax rate was 18.7%. This compares with a rate of 31.2% for the three months ended April 29, 2017. The decrease in the effective income tax rate was due primarily to the decrease in the federal income tax rate from 35% to 21% which was the result of the Tax Cuts and Jobs Act tax reform legislation that was effective January 1, 2018.</w:t>
      </w:r>
    </w:p>
    <w:p>
      <w:pPr>
        <w:spacing w:after="0" w:line="187" w:lineRule="exact"/>
        <w:rPr>
          <w:sz w:val="20"/>
          <w:szCs w:val="20"/>
          <w:color w:val="auto"/>
        </w:rPr>
      </w:pPr>
    </w:p>
    <w:p>
      <w:pPr>
        <w:ind w:left="180" w:hanging="177"/>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Other Long-Term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other long-term liabilities as of May 5, 2018 and February 3, 2018 are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May 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3,</w:t>
            </w:r>
          </w:p>
        </w:tc>
      </w:tr>
      <w:tr>
        <w:trPr>
          <w:trHeight w:val="171"/>
        </w:trPr>
        <w:tc>
          <w:tcPr>
            <w:tcW w:w="66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4"/>
                <w:szCs w:val="14"/>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4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Tenant improvement allowances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4,172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4,325</w:t>
            </w:r>
          </w:p>
        </w:tc>
        <w:tc>
          <w:tcPr>
            <w:tcW w:w="4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40" w:type="dxa"/>
            <w:vAlign w:val="bottom"/>
            <w:shd w:val="clear" w:color="auto" w:fill="CCEEFF"/>
          </w:tcPr>
          <w:p>
            <w:pPr>
              <w:spacing w:after="0"/>
              <w:rPr>
                <w:sz w:val="18"/>
                <w:szCs w:val="18"/>
                <w:color w:val="auto"/>
              </w:rPr>
            </w:pPr>
          </w:p>
        </w:tc>
      </w:tr>
      <w:tr>
        <w:trPr>
          <w:trHeight w:val="217"/>
        </w:trPr>
        <w:tc>
          <w:tcPr>
            <w:tcW w:w="668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8,433</w:t>
            </w:r>
          </w:p>
        </w:tc>
        <w:tc>
          <w:tcPr>
            <w:tcW w:w="40" w:type="dxa"/>
            <w:vAlign w:val="bottom"/>
          </w:tcPr>
          <w:p>
            <w:pPr>
              <w:spacing w:after="0"/>
              <w:rPr>
                <w:sz w:val="18"/>
                <w:szCs w:val="18"/>
                <w:color w:val="auto"/>
              </w:rPr>
            </w:pPr>
          </w:p>
        </w:tc>
      </w:tr>
    </w:tbl>
    <w:p>
      <w:pPr>
        <w:spacing w:after="0" w:line="200" w:lineRule="exact"/>
        <w:rPr>
          <w:sz w:val="20"/>
          <w:szCs w:val="20"/>
          <w:color w:val="auto"/>
        </w:rPr>
      </w:pPr>
    </w:p>
    <w:p>
      <w:pPr>
        <w:spacing w:after="0" w:line="231" w:lineRule="exact"/>
        <w:rPr>
          <w:sz w:val="20"/>
          <w:szCs w:val="20"/>
          <w:color w:val="auto"/>
        </w:rPr>
      </w:pPr>
    </w:p>
    <w:p>
      <w:pPr>
        <w:ind w:left="180" w:hanging="177"/>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Commitments and Contingencies</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Company from time to time is involved in various legal proceedings incidental to the conduct of its business, including claims by customers, employees or former employees. Once it becomes probable that the Company will incur costs in connection with a legal proceeding and such costs can be reasonably estimated, it establishes appropriate reserves. While legal proceedings are subject to 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spacing w:after="0" w:line="178" w:lineRule="exact"/>
        <w:rPr>
          <w:sz w:val="20"/>
          <w:szCs w:val="20"/>
          <w:color w:val="auto"/>
        </w:rPr>
      </w:pPr>
    </w:p>
    <w:p>
      <w:pPr>
        <w:ind w:left="280" w:hanging="277"/>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Stock Repurchase Program and Cash 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Repurchases of Common Stock</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March 16, 2018, the Company’s Board of Directors approved a program that authorized the purchase of up to $25.0 million in shares of the Company’s common stock. During the thirteen weeks ended May 5, 2018, the Company repurchased 85,537 shares of its common stock at an aggregate cost of $2.7 million. At May 5, 2018, $22.3 million remained available for purchase under this program.</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3" w:lineRule="exact"/>
        <w:rPr>
          <w:sz w:val="20"/>
          <w:szCs w:val="20"/>
          <w:color w:val="auto"/>
        </w:rPr>
      </w:pPr>
    </w:p>
    <w:p>
      <w:pPr>
        <w:ind w:right="99"/>
        <w:spacing w:after="0" w:line="295" w:lineRule="auto"/>
        <w:rPr>
          <w:sz w:val="20"/>
          <w:szCs w:val="20"/>
          <w:color w:val="auto"/>
        </w:rPr>
      </w:pPr>
      <w:r>
        <w:rPr>
          <w:rFonts w:ascii="Arial" w:cs="Arial" w:eastAsia="Arial" w:hAnsi="Arial"/>
          <w:sz w:val="16"/>
          <w:szCs w:val="16"/>
          <w:color w:val="auto"/>
        </w:rPr>
        <w:t>On February 13, 2018, the Company’s Board of Directors declared a dividend of $0.08 per common share, which was paid on March 20, 2018 to stockholders of record as of March 6, 2018. On May 22, 2018, the Company’s Board of Directors declared a dividend of $0.08 per common share payable on June 19, 2018 to stockholders of record as of June 5, 2018. Any determination to declare and pay cash dividends for future quarters will be made by the Board of Directors.</w:t>
      </w:r>
    </w:p>
    <w:p>
      <w:pPr>
        <w:spacing w:after="0" w:line="162" w:lineRule="exact"/>
        <w:rPr>
          <w:sz w:val="20"/>
          <w:szCs w:val="20"/>
          <w:color w:val="auto"/>
        </w:rPr>
      </w:pPr>
    </w:p>
    <w:p>
      <w:pPr>
        <w:ind w:left="320" w:hanging="317"/>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23" w:lineRule="exact"/>
        <w:rPr>
          <w:sz w:val="20"/>
          <w:szCs w:val="20"/>
          <w:color w:val="auto"/>
        </w:rPr>
      </w:pPr>
    </w:p>
    <w:p>
      <w:pPr>
        <w:ind w:right="19"/>
        <w:spacing w:after="0" w:line="285" w:lineRule="auto"/>
        <w:rPr>
          <w:sz w:val="20"/>
          <w:szCs w:val="20"/>
          <w:color w:val="auto"/>
        </w:rPr>
      </w:pPr>
      <w:r>
        <w:rPr>
          <w:rFonts w:ascii="Arial" w:cs="Arial" w:eastAsia="Arial" w:hAnsi="Arial"/>
          <w:sz w:val="16"/>
          <w:szCs w:val="16"/>
          <w:color w:val="auto"/>
        </w:rPr>
        <w:t>In May 2014, the Financial Accounting Standards Board (“FASB”) issued Accounting Standard Update (“ASU”) No. 2014-09, Revenue from Contracts with Customers (Topic 606) (“ASU 2014-09”). The guidance requires an entity to recognize revenue on contracts with customers relating to the transfer of promised goods or services in an amount that reflects the consideration to which the entity expects to be entitled in exchange for those goods or services. To achieve this, an entity is required to identify the contract with a customer; identify the separate performance obligations in the contract; determine the transaction price; allocate the transaction price to the separate performance obligations in the contract; and recognize revenue when (or as) the entity satisfies each performance obligation. In August of 2015, the FASB issued ASU 2015-14 which deferred the effective date of ASU 2014-09 to annual reporting periods beginning after December 15, 2017 and interim periods in the year of adoption. The Company adopted ASU 2014-09 in fiscal 2018 beginning February 4, 2018 using the modified retrospective approach. The Company’s primary source of revenue is derived from the sale of clothing and accessories to its customers with the Company’s performance obligations satisfied immediately when the customer pays for their purchase and receives the merchandise. As such, adoption of the new standard did not have a material impact on the Company’s consolidated balance sheet, results of operations or cash flows. Additionally, adoption of the ASU did not result in significant changes to the Company’s business processes, controls or systems.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23" w:lineRule="exact"/>
        <w:rPr>
          <w:sz w:val="20"/>
          <w:szCs w:val="20"/>
          <w:color w:val="auto"/>
        </w:rPr>
      </w:pPr>
    </w:p>
    <w:p>
      <w:pPr>
        <w:ind w:right="19"/>
        <w:spacing w:after="0" w:line="286" w:lineRule="auto"/>
        <w:rPr>
          <w:sz w:val="20"/>
          <w:szCs w:val="20"/>
          <w:color w:val="auto"/>
        </w:rPr>
      </w:pPr>
      <w:r>
        <w:rPr>
          <w:rFonts w:ascii="Arial" w:cs="Arial" w:eastAsia="Arial" w:hAnsi="Arial"/>
          <w:sz w:val="16"/>
          <w:szCs w:val="16"/>
          <w:color w:val="auto"/>
        </w:rPr>
        <w:t>In February 2016, the FASB issued ASU No. 2016-02, Leases (“ASU 2016–02”) which replaces the existing guidance in ASC 840, Leases. The new standard establishes a right-of-use model that requires a lessee to record a right-of-use asset and a lease liability on the balance sheet for all leases with terms longer than 12 months. Leases will be classified as either finance or operating, with classification affecting the pattern of expense recognition in the statement of operations. The guidance is effective for fiscal years beginning after December 15, 2018, including interim periods within those fiscal years, and requires a modified retrospective transition approach. The Company will adopt ASU 2016-02 in fiscal 2019. The Company is currently in the process of evaluating the new lease guidance to determine the ultimate impact, but anticipates the new standard will result in significant right of use assets and related liabilities associated with its operating leases. All of the Company’s retail store locations are subject to operating lease arrangements. Being party to 553 leases for individual retail locations with an average remaining contractual rent period of 3.0 years, the Company has determined that the adoption of the new lease standard will have a significant impact on the Company’s consolidated balance sheet and disclosures.</w:t>
      </w:r>
    </w:p>
    <w:p>
      <w:pPr>
        <w:spacing w:after="0" w:line="167" w:lineRule="exact"/>
        <w:rPr>
          <w:sz w:val="20"/>
          <w:szCs w:val="20"/>
          <w:color w:val="auto"/>
        </w:rPr>
      </w:pPr>
    </w:p>
    <w:p>
      <w:pPr>
        <w:ind w:left="320" w:hanging="317"/>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ind w:right="59"/>
        <w:spacing w:after="0" w:line="288" w:lineRule="auto"/>
        <w:rPr>
          <w:sz w:val="20"/>
          <w:szCs w:val="20"/>
          <w:color w:val="auto"/>
        </w:rPr>
      </w:pPr>
      <w:r>
        <w:rPr>
          <w:rFonts w:ascii="Arial" w:cs="Arial" w:eastAsia="Arial" w:hAnsi="Arial"/>
          <w:sz w:val="16"/>
          <w:szCs w:val="16"/>
          <w:color w:val="auto"/>
        </w:rPr>
        <w:t>The Company’s primary source of revenue is derived from the sale of clothing and accessories to its customers with the Company’s performance obligations satisfied immediately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Non-refundable layaway service fees are recognized in revenue when collected by the Company from customers. The Company defers revenue from the sale of gift cards and recognizes the associated revenue upon the redemption of the cards by customers to purchase merchandise.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23" w:lineRule="exact"/>
        <w:rPr>
          <w:sz w:val="20"/>
          <w:szCs w:val="20"/>
          <w:color w:val="auto"/>
        </w:rPr>
      </w:pPr>
    </w:p>
    <w:p>
      <w:pPr>
        <w:ind w:right="559"/>
        <w:spacing w:after="0" w:line="323" w:lineRule="auto"/>
        <w:rPr>
          <w:sz w:val="20"/>
          <w:szCs w:val="20"/>
          <w:color w:val="auto"/>
        </w:rPr>
      </w:pPr>
      <w:r>
        <w:rPr>
          <w:rFonts w:ascii="Arial" w:cs="Arial" w:eastAsia="Arial" w:hAnsi="Arial"/>
          <w:sz w:val="16"/>
          <w:szCs w:val="16"/>
          <w:color w:val="auto"/>
        </w:rPr>
        <w:t>The Company allows customers to return merchandise for up to thirty days after the date of sale. Expected refunds to customers are recorded based on estimated margin using historical return information. Under ASU 2014-09, the</w:t>
      </w: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0" w:name="page11"/>
    <w:bookmarkEnd w:id="10"/>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right="39"/>
        <w:spacing w:after="0" w:line="257" w:lineRule="auto"/>
        <w:rPr>
          <w:sz w:val="20"/>
          <w:szCs w:val="20"/>
          <w:color w:val="auto"/>
        </w:rPr>
      </w:pPr>
      <w:r>
        <w:rPr>
          <w:rFonts w:ascii="Arial" w:cs="Arial" w:eastAsia="Arial" w:hAnsi="Arial"/>
          <w:sz w:val="18"/>
          <w:szCs w:val="18"/>
          <w:color w:val="auto"/>
        </w:rPr>
        <w:t>Company recorded an estimated refund liability of $0.4 million, included in the line item “Accrued expenses”, and the carrying value of a return asset of $0.2 million, presented separately from inventory, included in the line item “Prepaid and other current assets” on the Condensed Consolidated Balance Sheets. The cumulative effect of the changes made to the May 5, 2018 Condensed Consolidated Balance Sheet from the modified retrospective adoption of ASU 2014-09 on retained earnings was immaterial.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ind w:right="399"/>
        <w:spacing w:after="0" w:line="273" w:lineRule="auto"/>
        <w:rPr>
          <w:sz w:val="20"/>
          <w:szCs w:val="20"/>
          <w:color w:val="auto"/>
        </w:rPr>
      </w:pPr>
      <w:r>
        <w:rPr>
          <w:rFonts w:ascii="Arial" w:cs="Arial" w:eastAsia="Arial" w:hAnsi="Arial"/>
          <w:sz w:val="17"/>
          <w:szCs w:val="17"/>
          <w:color w:val="auto"/>
        </w:rPr>
        <w:t>The Company’s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w:t>
      </w:r>
    </w:p>
    <w:p>
      <w:pPr>
        <w:spacing w:after="0" w:line="177" w:lineRule="exact"/>
        <w:rPr>
          <w:sz w:val="20"/>
          <w:szCs w:val="20"/>
          <w:color w:val="auto"/>
        </w:rPr>
      </w:pPr>
    </w:p>
    <w:p>
      <w:pPr>
        <w:ind w:right="239"/>
        <w:spacing w:after="0" w:line="264" w:lineRule="auto"/>
        <w:rPr>
          <w:sz w:val="20"/>
          <w:szCs w:val="20"/>
          <w:color w:val="auto"/>
        </w:rPr>
      </w:pPr>
      <w:r>
        <w:rPr>
          <w:rFonts w:ascii="Arial" w:cs="Arial" w:eastAsia="Arial" w:hAnsi="Arial"/>
          <w:sz w:val="18"/>
          <w:szCs w:val="18"/>
          <w:color w:val="auto"/>
        </w:rPr>
        <w:t>In the following table, the Company’s revenue from contracts with customers is disaggregated by major product line. The percentage of net sales related to each classification of its merchandise assortment for the first quarter of fiscal 2018 and 2017 was approximately:</w:t>
      </w:r>
    </w:p>
    <w:p>
      <w:pPr>
        <w:spacing w:after="0" w:line="11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920" w:type="dxa"/>
            <w:vAlign w:val="bottom"/>
            <w:gridSpan w:val="4"/>
          </w:tcPr>
          <w:p>
            <w:pPr>
              <w:ind w:left="200"/>
              <w:spacing w:after="0"/>
              <w:rPr>
                <w:sz w:val="20"/>
                <w:szCs w:val="20"/>
                <w:color w:val="auto"/>
              </w:rPr>
            </w:pPr>
            <w:r>
              <w:rPr>
                <w:rFonts w:ascii="Arial" w:cs="Arial" w:eastAsia="Arial" w:hAnsi="Arial"/>
                <w:sz w:val="14"/>
                <w:szCs w:val="14"/>
                <w:b w:val="1"/>
                <w:bCs w:val="1"/>
                <w:color w:val="auto"/>
              </w:rPr>
              <w:t>Percentage of Net Sales</w:t>
            </w:r>
          </w:p>
        </w:tc>
        <w:tc>
          <w:tcPr>
            <w:tcW w:w="0" w:type="dxa"/>
            <w:vAlign w:val="bottom"/>
          </w:tcPr>
          <w:p>
            <w:pPr>
              <w:spacing w:after="0"/>
              <w:rPr>
                <w:sz w:val="1"/>
                <w:szCs w:val="1"/>
                <w:color w:val="auto"/>
              </w:rPr>
            </w:pPr>
          </w:p>
        </w:tc>
      </w:tr>
      <w:tr>
        <w:trPr>
          <w:trHeight w:val="119"/>
        </w:trPr>
        <w:tc>
          <w:tcPr>
            <w:tcW w:w="4880" w:type="dxa"/>
            <w:vAlign w:val="bottom"/>
          </w:tcPr>
          <w:p>
            <w:pPr>
              <w:spacing w:after="0"/>
              <w:rPr>
                <w:sz w:val="10"/>
                <w:szCs w:val="10"/>
                <w:color w:val="auto"/>
              </w:rPr>
            </w:pPr>
          </w:p>
        </w:tc>
        <w:tc>
          <w:tcPr>
            <w:tcW w:w="1040" w:type="dxa"/>
            <w:vAlign w:val="bottom"/>
            <w:tcBorders>
              <w:top w:val="single" w:sz="8" w:color="auto"/>
            </w:tcBorders>
            <w:gridSpan w:val="2"/>
          </w:tcPr>
          <w:p>
            <w:pPr>
              <w:ind w:left="200"/>
              <w:spacing w:after="0" w:line="119" w:lineRule="exact"/>
              <w:rPr>
                <w:sz w:val="20"/>
                <w:szCs w:val="20"/>
                <w:color w:val="auto"/>
              </w:rPr>
            </w:pPr>
            <w:r>
              <w:rPr>
                <w:rFonts w:ascii="Arial" w:cs="Arial" w:eastAsia="Arial" w:hAnsi="Arial"/>
                <w:sz w:val="13"/>
                <w:szCs w:val="13"/>
                <w:b w:val="1"/>
                <w:bCs w:val="1"/>
                <w:color w:val="auto"/>
              </w:rPr>
              <w:t>May 5,</w:t>
            </w:r>
          </w:p>
        </w:tc>
        <w:tc>
          <w:tcPr>
            <w:tcW w:w="800" w:type="dxa"/>
            <w:vAlign w:val="bottom"/>
            <w:tcBorders>
              <w:top w:val="single" w:sz="8" w:color="auto"/>
            </w:tcBorders>
          </w:tcPr>
          <w:p>
            <w:pPr>
              <w:jc w:val="right"/>
              <w:ind w:right="56"/>
              <w:spacing w:after="0" w:line="119" w:lineRule="exact"/>
              <w:rPr>
                <w:sz w:val="20"/>
                <w:szCs w:val="20"/>
                <w:color w:val="auto"/>
              </w:rPr>
            </w:pPr>
            <w:r>
              <w:rPr>
                <w:rFonts w:ascii="Arial" w:cs="Arial" w:eastAsia="Arial" w:hAnsi="Arial"/>
                <w:sz w:val="13"/>
                <w:szCs w:val="13"/>
                <w:b w:val="1"/>
                <w:bCs w:val="1"/>
                <w:color w:val="auto"/>
              </w:rPr>
              <w:t>April 29,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80" w:type="dxa"/>
            <w:vAlign w:val="bottom"/>
            <w:vMerge w:val="restart"/>
          </w:tcPr>
          <w:p>
            <w:pPr>
              <w:spacing w:after="0"/>
              <w:rPr>
                <w:sz w:val="20"/>
                <w:szCs w:val="20"/>
                <w:color w:val="auto"/>
              </w:rPr>
            </w:pPr>
            <w:r>
              <w:rPr>
                <w:rFonts w:ascii="Arial" w:cs="Arial" w:eastAsia="Arial" w:hAnsi="Arial"/>
                <w:sz w:val="18"/>
                <w:szCs w:val="18"/>
                <w:color w:val="auto"/>
              </w:rPr>
              <w:t>Accessories</w:t>
            </w: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32 %</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Ladies'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Children's</w:t>
            </w:r>
          </w:p>
        </w:tc>
        <w:tc>
          <w:tcPr>
            <w:tcW w:w="800" w:type="dxa"/>
            <w:vAlign w:val="bottom"/>
          </w:tcPr>
          <w:p>
            <w:pPr>
              <w:jc w:val="right"/>
              <w:spacing w:after="0"/>
              <w:rPr>
                <w:sz w:val="20"/>
                <w:szCs w:val="20"/>
                <w:color w:val="auto"/>
              </w:rPr>
            </w:pPr>
            <w:r>
              <w:rPr>
                <w:rFonts w:ascii="Arial" w:cs="Arial" w:eastAsia="Arial" w:hAnsi="Arial"/>
                <w:sz w:val="18"/>
                <w:szCs w:val="18"/>
                <w:color w:val="auto"/>
              </w:rPr>
              <w:t>22 %</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Men's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Home</w:t>
            </w:r>
          </w:p>
        </w:tc>
        <w:tc>
          <w:tcPr>
            <w:tcW w:w="800" w:type="dxa"/>
            <w:vAlign w:val="bottom"/>
          </w:tcPr>
          <w:p>
            <w:pPr>
              <w:jc w:val="right"/>
              <w:spacing w:after="0"/>
              <w:rPr>
                <w:sz w:val="20"/>
                <w:szCs w:val="20"/>
                <w:color w:val="auto"/>
              </w:rPr>
            </w:pPr>
            <w:r>
              <w:rPr>
                <w:rFonts w:ascii="Arial" w:cs="Arial" w:eastAsia="Arial" w:hAnsi="Arial"/>
                <w:sz w:val="18"/>
                <w:szCs w:val="18"/>
                <w:color w:val="auto"/>
              </w:rPr>
              <w:t>5 %</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1" w:name="page12"/>
    <w:bookmarkEnd w:id="11"/>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Except for specific historical information, many of the matters discussed in this Form 10-Q may express or imply projections of revenues or expenditures, statements of plans and objectives for future operations, growth or initiatives, statements of future economic performance, capital allocation expectations or statements regarding the outcome or impact of pending or threatened litigation. These, and similar statements, are forward-looking statements concerning matters that involve risks, uncertainties and other factors that may cause the actual performance of the Company to differ materially from those expressed or implied by these statements. All forward-looking information should be evaluated in the context of these risks, uncertainties and other factors. The words “believe,” “anticipate,” “project,” “plan,” “expect,” “estimate,” “objective,” “forecast,” “goal,” “intend,” “could,” “will likely result,” or “will continue” and similar words and expressions generally identify forward-looking statements, although not all forward-looking statements contain such language. The Company believes the assumptions underlying these forward-looking statements are reasonable; however, any of the assumptions could be inaccurate, and therefore, actual results may differ materially from those projected in the forward-looking statements.</w:t>
      </w:r>
    </w:p>
    <w:p>
      <w:pPr>
        <w:spacing w:after="0" w:line="1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factors that may result in actual results differing from such forward-looking information include, but are not limited to: transportation and distribution delays or interruptions; changes in freight rates; the Company’s ability to negotiate effectively the cost and purchase of merchandise; inventory risks due to shifts in market demand; the Company’s ability to gauge fashion trends and changing consumer preferences; changes in consumer spending on apparel; changes in product mix; interruptions in suppliers’ businesses; a deterioration in general economic conditions caused by acts of war or terrorism or other factors; the results of pending or threatened litigation; temporary changes in demand due to weather patterns; seasonality of the Company’s business; delays associated with building, opening and operating new stores; delays associated with building, opening or expanding new or existing distribution centers; and other factors described in the section titled “Item 1A. Risk Factors” and elsewhere in the Company’s Annual Report on Form 10-K for the fiscal year ended February 3, 2018 and in Part II, “Item 1A. Risk Factors” and elsewhere in the Company’s Quarterly Reports on Form 10-Q and any amendments thereto and in the other documents the Company files with the SEC, including reports on Form 8-K.</w:t>
      </w:r>
    </w:p>
    <w:p>
      <w:pPr>
        <w:spacing w:after="0" w:line="17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Readers are cautioned not to place undue reliance on these forward-looking statements, which speak only as of the date of this Form 10-Q. Except as may be required by law, the Company undertakes no obligation to update or revise publicly any forward-looking statements contained herein to reflect events or circumstances occurring after the date of this Form 10-Q or to reflect the occurrence of unanticipated events. Readers are advised, however, to read any further disclosures the Company may make on related subjects in its public disclosures or documents filed with the SEC, including reports on Form 8-K.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are a value-priced retailer of urban fashion apparel and accessories for the entire family. Our merchandise offerings are designed to appeal to the fashion preferences of value-conscious consumers, particularly African-Americans. We operated 553 stores in both urban and rural markets in 31 states as of May 5,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Periods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discussion contains references to fiscal years 2018 and 2017, which represent fiscal years ending or ended on February 2, 2019 and February 3, 2018, respectively. Fiscal 2018 has a 52-week accounting period and fiscal 2017 had a 53-week accounting period. This discussion and analysis should be read with the unaudited condensed consolidated financial statements and the notes thereto.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following discussion of the Company’s financial performance is based on the unaudited condensed consolidated financial statements set forth herein. The nature of the Company’s business is seasonal. Historically, sales in the first and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fourth quarters have been higher than sales achieved in the second and third quarters of the fiscal year. Expenses and, to a greater extent, operating income, vary by quarter. Results of a period shorter than a full year may not be indicative of results expected for the entire year. Furthermore, the seasonal nature of the Company’s business may affect comparisons between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Statistics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measure performance using key operating statistics. One of the main performance measures we use is comparable store sales growth. We define a comparable store as a store that has been opened for an entire fiscal year. Therefore, a store will not be considered a comparable store until its 13th month of operation at the earliest or until its 24th month at the latest. As an example, stores opened in fiscal 2017 and fiscal 2018 are not considered comparable stores in fiscal 2018. Relocated and expanded stores are included in the comparable store sales results. 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w:t>
      </w:r>
    </w:p>
    <w:p>
      <w:pPr>
        <w:spacing w:after="0" w:line="17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to sales, we measure cost of sales as a percentage of sales and store operating expenses, with a particular focus on labor, as a percentage of sales. These results translate into store level contribution, which we use to evaluate overall performance of each individual store. Finally, we monitor corporate expenses against budgeted amounts. All of the statistics discussed above are critical components of earnings before interest, taxes, depreciation and amortization (“EBITDA”) and Adjusted EBITDA (comprised of EBITDA, as adjusted for non-cash asset impairment expense and expenses related to our proxy contest), which are considered our most important operating statistics. We believe that excluding proxy contest expenses from our financial results reflects operating results that are more indicative of our ongoing operating performance while improving comparability to prior and future periods, and as such, provides an enhanced understanding of our past financial performance and prospects for the future.</w:t>
      </w:r>
    </w:p>
    <w:p>
      <w:pPr>
        <w:spacing w:after="0" w:line="18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Although non-GAAP measures such as EBITDA and Adjusted EBITDA provide useful information on an operating cash flow basis, they are limited measures in that they exclude the impact of cash requirements for capital expenditures, income taxes and interest expense. Therefore, EBITDA and Adjusted EBITDA should be used as supplements to results of operations and cash flows as reported under U.S. GAAP and should not be used as a singular measure of operating performance or as a substitute for U.S. GAAP results. Furthermore, such non-GAAP measures may not be comparable to similarly titled measures of other companies.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Provided below is a reconciliation of net income to EBITDA and to Adjusted EBITDA for the thirteen week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May 5, 2018 and April 29, 2017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6"/>
          </w:tcPr>
          <w:p>
            <w:pPr>
              <w:ind w:left="340"/>
              <w:spacing w:after="0"/>
              <w:rPr>
                <w:sz w:val="20"/>
                <w:szCs w:val="20"/>
                <w:color w:val="auto"/>
              </w:rPr>
            </w:pPr>
            <w:r>
              <w:rPr>
                <w:rFonts w:ascii="Arial" w:cs="Arial" w:eastAsia="Arial" w:hAnsi="Arial"/>
                <w:sz w:val="14"/>
                <w:szCs w:val="14"/>
                <w:b w:val="1"/>
                <w:bCs w:val="1"/>
                <w:color w:val="auto"/>
              </w:rPr>
              <w:t>Thirteen Weeks Ended</w:t>
            </w:r>
          </w:p>
        </w:tc>
      </w:tr>
      <w:tr>
        <w:trPr>
          <w:trHeight w:val="142"/>
        </w:trPr>
        <w:tc>
          <w:tcPr>
            <w:tcW w:w="31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7"/>
              </w:rPr>
              <w:t>May 5, 2018</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5"/>
              </w:rPr>
              <w:t>April 29, 2017</w:t>
            </w:r>
          </w:p>
        </w:tc>
        <w:tc>
          <w:tcPr>
            <w:tcW w:w="40" w:type="dxa"/>
            <w:vAlign w:val="bottom"/>
          </w:tcPr>
          <w:p>
            <w:pPr>
              <w:spacing w:after="0"/>
              <w:rPr>
                <w:sz w:val="12"/>
                <w:szCs w:val="12"/>
                <w:color w:val="auto"/>
              </w:rPr>
            </w:pPr>
          </w:p>
        </w:tc>
      </w:tr>
      <w:tr>
        <w:trPr>
          <w:trHeight w:val="210"/>
        </w:trPr>
        <w:tc>
          <w:tcPr>
            <w:tcW w:w="31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40" w:type="dxa"/>
            <w:vAlign w:val="bottom"/>
            <w:shd w:val="clear" w:color="auto" w:fill="CCEEFF"/>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r>
      <w:tr>
        <w:trPr>
          <w:trHeight w:val="216"/>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w:t>
            </w:r>
          </w:p>
        </w:tc>
        <w:tc>
          <w:tcPr>
            <w:tcW w:w="40" w:type="dxa"/>
            <w:vAlign w:val="bottom"/>
            <w:shd w:val="clear" w:color="auto" w:fill="CCEEFF"/>
          </w:tcPr>
          <w:p>
            <w:pPr>
              <w:spacing w:after="0"/>
              <w:rPr>
                <w:sz w:val="18"/>
                <w:szCs w:val="18"/>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4,298</w:t>
            </w:r>
          </w:p>
        </w:tc>
        <w:tc>
          <w:tcPr>
            <w:tcW w:w="4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Less:</w:t>
            </w: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r>
      <w:tr>
        <w:trPr>
          <w:trHeight w:val="210"/>
        </w:trPr>
        <w:tc>
          <w:tcPr>
            <w:tcW w:w="3180" w:type="dxa"/>
            <w:vAlign w:val="bottom"/>
          </w:tcPr>
          <w:p>
            <w:pPr>
              <w:spacing w:after="0"/>
              <w:rPr>
                <w:sz w:val="20"/>
                <w:szCs w:val="20"/>
                <w:color w:val="auto"/>
              </w:rPr>
            </w:pPr>
            <w:r>
              <w:rPr>
                <w:rFonts w:ascii="Arial" w:cs="Arial" w:eastAsia="Arial" w:hAnsi="Arial"/>
                <w:sz w:val="18"/>
                <w:szCs w:val="18"/>
                <w:color w:val="auto"/>
              </w:rPr>
              <w:t>EBITDA</w:t>
            </w:r>
          </w:p>
        </w:tc>
        <w:tc>
          <w:tcPr>
            <w:tcW w:w="3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17,078</w:t>
            </w:r>
          </w:p>
        </w:tc>
        <w:tc>
          <w:tcPr>
            <w:tcW w:w="4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8"/>
                <w:szCs w:val="18"/>
                <w:color w:val="auto"/>
              </w:rPr>
              <w:t>Asset impairment</w:t>
            </w: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Proxy contest expenses</w:t>
            </w: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40" w:type="dxa"/>
            <w:vAlign w:val="bottom"/>
            <w:shd w:val="clear" w:color="auto" w:fill="CCEEFF"/>
          </w:tcPr>
          <w:p>
            <w:pPr>
              <w:spacing w:after="0"/>
              <w:rPr>
                <w:sz w:val="18"/>
                <w:szCs w:val="18"/>
                <w:color w:val="auto"/>
              </w:rPr>
            </w:pPr>
          </w:p>
        </w:tc>
      </w:tr>
      <w:tr>
        <w:trPr>
          <w:trHeight w:val="210"/>
        </w:trPr>
        <w:tc>
          <w:tcPr>
            <w:tcW w:w="31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18,614</w:t>
            </w: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18,668</w:t>
            </w:r>
          </w:p>
        </w:tc>
        <w:tc>
          <w:tcPr>
            <w:tcW w:w="40" w:type="dxa"/>
            <w:vAlign w:val="bottom"/>
            <w:shd w:val="clear" w:color="auto" w:fill="CCEEFF"/>
          </w:tcPr>
          <w:p>
            <w:pPr>
              <w:spacing w:after="0"/>
              <w:rPr>
                <w:sz w:val="20"/>
                <w:szCs w:val="20"/>
                <w:color w:val="auto"/>
              </w:rPr>
            </w:pPr>
          </w:p>
        </w:tc>
      </w:tr>
      <w:tr>
        <w:trPr>
          <w:trHeight w:val="851"/>
        </w:trPr>
        <w:tc>
          <w:tcPr>
            <w:tcW w:w="318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jc w:val="right"/>
              <w:ind w:right="1970"/>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r>
        <w:trPr>
          <w:trHeight w:val="129"/>
        </w:trPr>
        <w:tc>
          <w:tcPr>
            <w:tcW w:w="3180" w:type="dxa"/>
            <w:vAlign w:val="bottom"/>
            <w:tcBorders>
              <w:bottom w:val="single" w:sz="8" w:color="auto"/>
            </w:tcBorders>
          </w:tcPr>
          <w:p>
            <w:pPr>
              <w:spacing w:after="0"/>
              <w:rPr>
                <w:sz w:val="11"/>
                <w:szCs w:val="11"/>
                <w:color w:val="auto"/>
              </w:rPr>
            </w:pPr>
          </w:p>
        </w:tc>
        <w:tc>
          <w:tcPr>
            <w:tcW w:w="3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Thirteen Weeks Ended May 5, 2018 and April 29, 2017</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increased $11.0 million, or 5.5%, to $211.0 million in the thirteen weeks ended May 5, 2018 from</w:t>
      </w:r>
    </w:p>
    <w:p>
      <w:pPr>
        <w:spacing w:after="0" w:line="3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$200.0 million in the thirteen weeks ended April 29, 2017. Sales comparisons to the prior year for each quarter of fiscal 2018 are affected by the calendar shift caused by last year having 53 weeks. Each of the first three quarters in fiscal 2018 begins and ends one week later than the same quarter of fiscal 2017, which can have an impact on quarterly sales comparisons if the beginning and ending weeks of the quarter have different levels of sales volumes. The increase in sales was due to the opening of 19 new stores since last year’s first quarter and a 3.3% increase in comparable store sales (2.1% increase on a comparable weeks basis), partially offset by the impact of closing four stores since last year’s first quarter. The increase in comparable store sales on a comparable weeks basis was reflected in a 3% increase in the average number of items per transaction, partially offset by a decrease in customer transactions of less than 1%, while the average unit sale remained flat. Comparable store sales changes by major merchandise class were as follows in the first quarter of 2018: Home +19%; Ladies’ +3%; Accessories +2%; Men’s +2%; and Children’s -1%.</w:t>
      </w:r>
    </w:p>
    <w:p>
      <w:pPr>
        <w:spacing w:after="0" w:line="18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Store opening and closing activity resulted in a net sales increase of $4.7 million, the 2.1% increase in comparable store sales on a comparable weeks basis totaled $4.2 million, and the aforementioned calendar shift contributed $2.1 million to the sales increase.</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Cost of sales (exclusive of depreciation). </w:t>
      </w:r>
      <w:r>
        <w:rPr>
          <w:rFonts w:ascii="Arial" w:cs="Arial" w:eastAsia="Arial" w:hAnsi="Arial"/>
          <w:sz w:val="18"/>
          <w:szCs w:val="18"/>
          <w:color w:val="auto"/>
        </w:rPr>
        <w:t>Cost of sales (exclusive of depreciation) increased $7.0 million, or 5.7%, to $129.4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first quarter of 2018 from $122.4 million in last year’s first quarter. Cost of sales as a percentage of sales increased to 61.3% in the first quarter of 2018 from 61.2% in last year’s first quarter, due primarily to an increase in freight costs.</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increased $2.5 million, or 4.2%,</w:t>
      </w:r>
      <w:r>
        <w:rPr>
          <w:rFonts w:ascii="Arial" w:cs="Arial" w:eastAsia="Arial" w:hAnsi="Arial"/>
          <w:sz w:val="17"/>
          <w:szCs w:val="17"/>
          <w:i w:val="1"/>
          <w:iCs w:val="1"/>
          <w:color w:val="auto"/>
        </w:rPr>
        <w:t xml:space="preserve"> </w:t>
      </w:r>
      <w:r>
        <w:rPr>
          <w:rFonts w:ascii="Arial" w:cs="Arial" w:eastAsia="Arial" w:hAnsi="Arial"/>
          <w:sz w:val="17"/>
          <w:szCs w:val="17"/>
          <w:color w:val="auto"/>
        </w:rPr>
        <w:t>to $63.0 million in the first quarter of 2018 from $60.5 million in last year’s first quarter due primarily to normal inflationary pressure on expenses such as rent and payroll, the impact on expenses of opening 19 new stores since last year’s first quarter, and a $0.5 million increase in stock compensation expense, partially offset by $1.6 million of expenses incurred last year in connection with our proxy contest. As a percentage of sales, selling, general and administrative expenses decreased to 29.9% in the first quarter of 2018 from 30.3% in the first quarter of 2017.</w:t>
      </w:r>
    </w:p>
    <w:p>
      <w:pPr>
        <w:spacing w:after="0" w:line="17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Depreciation expense increased $0.7 million, or 15.7%, to $5.0 million in the first quarter of 2018 from $4.3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first quarter of 2017, due to the acceleration of our store opening pace in relation to previous years, along with the completion of an expansion of our Roland, Oklahoma distribution center.</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decreased $1.4 million, or 35.6%, to $2.6 million in this year’s first quarter from</w:t>
      </w:r>
      <w:r>
        <w:rPr>
          <w:rFonts w:ascii="Arial" w:cs="Arial" w:eastAsia="Arial" w:hAnsi="Arial"/>
          <w:sz w:val="18"/>
          <w:szCs w:val="18"/>
          <w:i w:val="1"/>
          <w:iCs w:val="1"/>
          <w:color w:val="auto"/>
        </w:rPr>
        <w:t xml:space="preserve"> </w:t>
      </w:r>
      <w:r>
        <w:rPr>
          <w:rFonts w:ascii="Arial" w:cs="Arial" w:eastAsia="Arial" w:hAnsi="Arial"/>
          <w:sz w:val="18"/>
          <w:szCs w:val="18"/>
          <w:color w:val="auto"/>
        </w:rPr>
        <w:t>$4.0 million in the first quarter of 2017 due to a decrease in the effective income tax rate from 31.2% to 18.7%. This decrease was a result of the reduction in the federal income tax rate from 35% to 21% included in the Tax Cuts and Jobs Act enacted in December 2017.</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$2.4 million, or 27.1%, to $11.3 million in the first quarter of 2018 from $8.9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quarter of 2017 due to the factors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cash requirements are primarily for working capital and capital expenditures for new and existing stores, distribution infrastructure and information systems. In addition, in the first quarter of 2018, we initiated a share repurchase program of up to $25 million and repurchased shares of our common stock at an aggregate cost of $2.7 million. In recent years, we have met these cash requirements using cash flow from operations and short-term trade credit. We expect to be able to meet future cash requirements with cash flow from operations, short-term trade credit, existing balances of cash and investment securities and, if necessary, borrowings under our revolving credit facility described in Note 6 to the condensed consolidated financial statements included in Part I, Item1 of this report.</w:t>
      </w:r>
    </w:p>
    <w:p>
      <w:pPr>
        <w:spacing w:after="0" w:line="178"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i w:val="1"/>
          <w:iCs w:val="1"/>
          <w:color w:val="auto"/>
        </w:rPr>
        <w:t xml:space="preserve">Current Financial Condition. </w:t>
      </w:r>
      <w:r>
        <w:rPr>
          <w:rFonts w:ascii="Arial" w:cs="Arial" w:eastAsia="Arial" w:hAnsi="Arial"/>
          <w:sz w:val="16"/>
          <w:szCs w:val="16"/>
          <w:color w:val="auto"/>
        </w:rPr>
        <w:t>As of May 5, 2018, we had total cash and cash equivalents of $54.0 million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$48.5 million as of February 3, 2018. Additionally, we had $33.5 million and $21.7 million of short-term and long-term</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investment securities, respectively, as of May 5, 2018, compared with $31.5 million and $25.5 million, respectively, as of February 3, 2018. These securities are comprised of bank certificates of deposit and obligations of the U.S. Treasury, states and municipalities. Inventory represented 39.6% of our total assets as of May 5, 2018, compared to 42.1% as of February 3, 2018. Management’s ability to manage our inventory can have a significant impact on our cash flows from operations during a given interim period or fiscal year. In addition, inventory purchases can be seasonal in nature, such as the purchase of warm-weather or Christmas-related merchandise.</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Cash Flows From Operating Activities</w:t>
      </w:r>
      <w:r>
        <w:rPr>
          <w:rFonts w:ascii="Arial" w:cs="Arial" w:eastAsia="Arial" w:hAnsi="Arial"/>
          <w:sz w:val="16"/>
          <w:szCs w:val="16"/>
          <w:color w:val="auto"/>
        </w:rPr>
        <w:t>. Net cash provided by operating activities was $10.5 million in the thirteen weeks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May 5, 2018 compared to $25.7 million in the same period of 2017. Sources of cash provided during the first quarter of 2018 included net income adjusted for non-cash expenses such as depreciation, loss on disposal of property and equipment, deferred income taxes and stock-based compensation expense, totaling $17.2 million (compared to $15.0 million in the first quarter of 2017). Other significant sources of cash in the first quarter of 2018 were (1) a $12.4 million decrease in inventory (compared to a $10.1 million decrease in the first quarter of 2017) due to apparel retail seasonality which typically results in having more inventory at the beginning of the spring selling season than at the end, and (2) a $2.3 million change in the income tax payable/receivable (compared to a $2.6 million change in the first quarter of 2017) due to income tax expense being accrued on first quarter pre-tax income while no estimated tax payments were due during the quarter.</w:t>
      </w:r>
    </w:p>
    <w:p>
      <w:pPr>
        <w:spacing w:after="0" w:line="16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Significant uses of cash from operating activities in the first quarter of 2018 were (1) a $12.2 million decrease in accounts payable (compared to a $4.0 million decrease in the first quarter of 2017) due primarily to the decline in inventory discussed above, and (2) a $7.9 million decrease in accrued compensation (compared to a $1.5 million increase in the first quarter of 2017) due to payment in the first quarter of 2018 of incentive compensation accrued in fiscal 2017, together with our balance sheet as of the end of the first quarter of 2018 including accrued payroll for only one week, while our 2017 year-end balance sheet included accrued payroll for two weeks due to the timing of our bi-weekly payroll.</w:t>
      </w:r>
    </w:p>
    <w:p>
      <w:pPr>
        <w:spacing w:after="0" w:line="16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Cash Flows From Investing Activities. </w:t>
      </w:r>
      <w:r>
        <w:rPr>
          <w:rFonts w:ascii="Arial" w:cs="Arial" w:eastAsia="Arial" w:hAnsi="Arial"/>
          <w:sz w:val="17"/>
          <w:szCs w:val="17"/>
          <w:color w:val="auto"/>
        </w:rPr>
        <w:t>Cash used in investing activities was $0.2 million in the first quarter of 2018 and $0.1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the first quarter of 2017. Cash used for purchases of property and equipment totaled $2.0 million and $4.8 million in the first quarter of 2018 and 2017, respectively. Sales/redemptions of investment securities, net of purchases, provided cash of $1.7 million and $4.6 million in the first quarter of 2018 and 2017, respectively.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Cash used in financing activities was $4.7 million and $1.7 million in the first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2018 and 2017, respectively, with the increase due primarily to the repurchase of common stock for an aggregate purchase price of $2.7 million during the first quarter of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principal sources of liquidity consist of: (i) cash and cash equivalents (which equaled $54.0 million as of May 5, 2018);</w:t>
      </w:r>
    </w:p>
    <w:p>
      <w:pPr>
        <w:spacing w:after="0" w:line="46" w:lineRule="exact"/>
        <w:rPr>
          <w:sz w:val="20"/>
          <w:szCs w:val="20"/>
          <w:color w:val="auto"/>
        </w:rPr>
      </w:pPr>
    </w:p>
    <w:p>
      <w:pPr>
        <w:ind w:right="220" w:firstLine="3"/>
        <w:spacing w:after="0" w:line="252" w:lineRule="auto"/>
        <w:tabs>
          <w:tab w:leader="none" w:pos="2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short-term and long-term investment securities (which equaled $33.5 million and $21.7 million, respectively, as of May 5, 2018); (iii) short-term trade credit; (iv) cash generated from operations on an ongoing basis as we sell our merchandise inventory; and (v) a $50 million revolving credit facility (under which we have no borrowings outstanding). Trade credit represents a significant source of financing for inventory purchases and arises from customary payment terms and trade practices with our vendors. Historically, our principal liquidity requirements have been for working capital and capital expenditure needs.</w:t>
      </w:r>
    </w:p>
    <w:p>
      <w:pPr>
        <w:spacing w:after="0" w:line="1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believe that our existing sources of liquidity will be sufficient to fund our operations and anticipated capital expenditures for at least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See discussion of Recent Accounting Pronouncements in Note 11 to the condensed consolidated financial statements included in Part I, Item 1 of this report.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5" w:name="page16"/>
    <w:bookmarkEnd w:id="15"/>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preparation of our condensed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 There have been no material changes to the Critical Accounting Policies outlined in the Company’s Annual Report on Form 10-K for the year ended February 3,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There have been no material changes in our market risk during the thirteen weeks ended May 5, 2018 compared to the disclosures in Part II, Item 7A of our Annual Report on Form 10-K for the year ended February 3,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the Chief Executive Officer and the Chief Financial Officer, of the effectiveness of the design and operation of our disclosure controls and procedures as of May 5, 2018 pursuant to Rules 13a-15 and 15d-15 of the Exchange Act. Based on that evaluation, the Chief Executive Officer and the Chief Financial Officer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There were no changes in our internal control over financial reporting that occurred during the fiscal quarter ended</w:t>
      </w:r>
    </w:p>
    <w:p>
      <w:pPr>
        <w:spacing w:after="0" w:line="3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May 5, 2018 that have materially affected, or are reasonably likely to materially affect, our internal control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from time to time involved in various legal proceedings incidental to the conduct of our business, including claims by customers,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have been no material changes to the Risk Factors described under the section “ITEM 1A. RISK FACTORS” in the Company’s Annual Report on Form 10-K for the fiscal year ended February 3,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on Share Repurchases</w:t>
      </w:r>
    </w:p>
    <w:p>
      <w:pPr>
        <w:spacing w:after="0" w:line="225"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The number of shares of common stock repurchased by the Company during the first quarter of fiscal 2018 and the average price paid per share are as follows:</w:t>
      </w:r>
    </w:p>
    <w:tbl>
      <w:tblPr>
        <w:tblLayout w:type="fixed"/>
        <w:tblInd w:w="0" w:type="dxa"/>
        <w:tblCellMar>
          <w:top w:w="0" w:type="dxa"/>
          <w:left w:w="0" w:type="dxa"/>
          <w:bottom w:w="0" w:type="dxa"/>
          <w:right w:w="0" w:type="dxa"/>
        </w:tblCellMar>
      </w:tblPr>
      <w:tr>
        <w:trPr>
          <w:trHeight w:val="141"/>
        </w:trPr>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96"/>
              </w:rPr>
              <w:t>Maximum number (or</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approximate dollar value)</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Total number of</w:t>
            </w:r>
          </w:p>
        </w:tc>
        <w:tc>
          <w:tcPr>
            <w:tcW w:w="160" w:type="dxa"/>
            <w:vAlign w:val="bottom"/>
          </w:tcPr>
          <w:p>
            <w:pPr>
              <w:spacing w:after="0"/>
              <w:rPr>
                <w:sz w:val="12"/>
                <w:szCs w:val="12"/>
                <w:color w:val="auto"/>
              </w:rPr>
            </w:pP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Average price paid</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60" w:type="dxa"/>
            <w:vAlign w:val="bottom"/>
          </w:tcPr>
          <w:p>
            <w:pPr>
              <w:spacing w:after="0"/>
              <w:rPr>
                <w:sz w:val="12"/>
                <w:szCs w:val="12"/>
                <w:color w:val="auto"/>
              </w:rPr>
            </w:pPr>
          </w:p>
        </w:tc>
        <w:tc>
          <w:tcPr>
            <w:tcW w:w="1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of shares that may yet be</w:t>
            </w: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0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publicly announced</w:t>
            </w:r>
          </w:p>
        </w:tc>
        <w:tc>
          <w:tcPr>
            <w:tcW w:w="1820" w:type="dxa"/>
            <w:vAlign w:val="bottom"/>
            <w:gridSpan w:val="4"/>
          </w:tcPr>
          <w:p>
            <w:pPr>
              <w:jc w:val="center"/>
              <w:ind w:left="48"/>
              <w:spacing w:after="0" w:line="149" w:lineRule="exact"/>
              <w:rPr>
                <w:sz w:val="20"/>
                <w:szCs w:val="20"/>
                <w:color w:val="auto"/>
              </w:rPr>
            </w:pPr>
            <w:r>
              <w:rPr>
                <w:rFonts w:ascii="Arial" w:cs="Arial" w:eastAsia="Arial" w:hAnsi="Arial"/>
                <w:sz w:val="14"/>
                <w:szCs w:val="14"/>
                <w:b w:val="1"/>
                <w:bCs w:val="1"/>
                <w:color w:val="auto"/>
                <w:w w:val="90"/>
              </w:rPr>
              <w:t>purchased under the plans</w:t>
            </w:r>
          </w:p>
        </w:tc>
        <w:tc>
          <w:tcPr>
            <w:tcW w:w="0" w:type="dxa"/>
            <w:vAlign w:val="bottom"/>
          </w:tcPr>
          <w:p>
            <w:pPr>
              <w:spacing w:after="0"/>
              <w:rPr>
                <w:sz w:val="1"/>
                <w:szCs w:val="1"/>
                <w:color w:val="auto"/>
              </w:rPr>
            </w:pPr>
          </w:p>
        </w:tc>
      </w:tr>
      <w:tr>
        <w:trPr>
          <w:trHeight w:val="171"/>
        </w:trPr>
        <w:tc>
          <w:tcPr>
            <w:tcW w:w="3300" w:type="dxa"/>
            <w:vAlign w:val="bottom"/>
            <w:gridSpan w:val="2"/>
            <w:vMerge w:val="continue"/>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86"/>
              </w:rPr>
              <w:t>shares purchased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per share (1)</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or programs (2)</w:t>
            </w:r>
          </w:p>
        </w:tc>
        <w:tc>
          <w:tcPr>
            <w:tcW w:w="0" w:type="dxa"/>
            <w:vAlign w:val="bottom"/>
          </w:tcPr>
          <w:p>
            <w:pPr>
              <w:spacing w:after="0"/>
              <w:rPr>
                <w:sz w:val="1"/>
                <w:szCs w:val="1"/>
                <w:color w:val="auto"/>
              </w:rPr>
            </w:pPr>
          </w:p>
        </w:tc>
      </w:tr>
      <w:tr>
        <w:trPr>
          <w:trHeight w:val="210"/>
        </w:trPr>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(2/4/18 - 3/3/18)</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March (3/4/18 - 4/7/18)</w:t>
            </w:r>
          </w:p>
        </w:tc>
        <w:tc>
          <w:tcPr>
            <w:tcW w:w="1060" w:type="dxa"/>
            <w:vAlign w:val="bottom"/>
          </w:tcPr>
          <w:p>
            <w:pPr>
              <w:jc w:val="right"/>
              <w:spacing w:after="0"/>
              <w:rPr>
                <w:sz w:val="20"/>
                <w:szCs w:val="20"/>
                <w:color w:val="auto"/>
              </w:rPr>
            </w:pPr>
            <w:r>
              <w:rPr>
                <w:rFonts w:ascii="Arial" w:cs="Arial" w:eastAsia="Arial" w:hAnsi="Arial"/>
                <w:sz w:val="18"/>
                <w:szCs w:val="18"/>
                <w:color w:val="auto"/>
              </w:rPr>
              <w:t>26,322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31.27</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26,322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24,176,995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(4/8/18 - 5/5/18)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w:t>
            </w:r>
          </w:p>
        </w:tc>
        <w:tc>
          <w:tcPr>
            <w:tcW w:w="14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22,328,850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00" w:hanging="197"/>
        <w:spacing w:after="0"/>
        <w:tabs>
          <w:tab w:leader="none" w:pos="2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commissions for the shares repurchased under the stock repurchase program.</w:t>
      </w:r>
    </w:p>
    <w:p>
      <w:pPr>
        <w:ind w:right="40" w:firstLine="3"/>
        <w:spacing w:after="0" w:line="229" w:lineRule="auto"/>
        <w:tabs>
          <w:tab w:leader="none" w:pos="204" w:val="left"/>
        </w:tabs>
        <w:numPr>
          <w:ilvl w:val="0"/>
          <w:numId w:val="15"/>
        </w:numPr>
        <w:rPr>
          <w:rFonts w:ascii="Arial" w:cs="Arial" w:eastAsia="Arial" w:hAnsi="Arial"/>
          <w:sz w:val="14"/>
          <w:szCs w:val="14"/>
          <w:color w:val="auto"/>
        </w:rPr>
      </w:pPr>
      <w:r>
        <w:rPr>
          <w:rFonts w:ascii="Arial" w:cs="Arial" w:eastAsia="Arial" w:hAnsi="Arial"/>
          <w:sz w:val="14"/>
          <w:szCs w:val="14"/>
          <w:color w:val="auto"/>
        </w:rPr>
        <w:t>On March 16, 2018, the Company announced a $25.0 million stock repurchase program, under which approximately $22.3 million remained available as of May 5, 2018. Repurchases under the stock repurchase program may be made at management’s discretion from time to time on the open market, in privately negotiated transactions or otherwise, and may be made in part under one or more Rule 10b5-1 plans. The stock repurchase program does not have an expiration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6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658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3.1</w:t>
            </w:r>
          </w:p>
        </w:tc>
        <w:tc>
          <w:tcPr>
            <w:tcW w:w="7960" w:type="dxa"/>
            <w:vAlign w:val="bottom"/>
            <w:gridSpan w:val="16"/>
          </w:tcPr>
          <w:p>
            <w:pPr>
              <w:spacing w:after="0"/>
              <w:rPr>
                <w:rFonts w:ascii="Arial" w:cs="Arial" w:eastAsia="Arial" w:hAnsi="Arial"/>
                <w:sz w:val="18"/>
                <w:szCs w:val="18"/>
                <w:color w:val="0000EE"/>
                <w:w w:val="93"/>
              </w:rPr>
            </w:pPr>
            <w:hyperlink r:id="rId23">
              <w:r>
                <w:rPr>
                  <w:rFonts w:ascii="Arial" w:cs="Arial" w:eastAsia="Arial" w:hAnsi="Arial"/>
                  <w:sz w:val="18"/>
                  <w:szCs w:val="18"/>
                  <w:color w:val="0000EE"/>
                  <w:w w:val="93"/>
                </w:rPr>
                <w:t>Amendment to the Second Amended and Restated By-laws (incorporated by reference to Exhibit 3.1 to the</w:t>
              </w:r>
            </w:hyperlink>
          </w:p>
        </w:tc>
      </w:tr>
      <w:tr>
        <w:trPr>
          <w:trHeight w:val="183"/>
        </w:trPr>
        <w:tc>
          <w:tcPr>
            <w:tcW w:w="960" w:type="dxa"/>
            <w:vAlign w:val="bottom"/>
          </w:tcPr>
          <w:p>
            <w:pPr>
              <w:spacing w:after="0"/>
              <w:rPr>
                <w:sz w:val="15"/>
                <w:szCs w:val="15"/>
                <w:color w:val="auto"/>
              </w:rPr>
            </w:pPr>
          </w:p>
        </w:tc>
        <w:tc>
          <w:tcPr>
            <w:tcW w:w="58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2"/>
              </w:rPr>
            </w:pPr>
            <w:hyperlink r:id="rId23">
              <w:r>
                <w:rPr>
                  <w:rFonts w:ascii="Arial" w:cs="Arial" w:eastAsia="Arial" w:hAnsi="Arial"/>
                  <w:sz w:val="18"/>
                  <w:szCs w:val="18"/>
                  <w:color w:val="0000EE"/>
                  <w:w w:val="92"/>
                </w:rPr>
                <w:t>Company’s Current Report on Form 8-K filed with the SEC on March 22, 2018).</w:t>
              </w:r>
            </w:hyperlink>
          </w:p>
        </w:tc>
        <w:tc>
          <w:tcPr>
            <w:tcW w:w="1880" w:type="dxa"/>
            <w:vAlign w:val="bottom"/>
            <w:tcBorders>
              <w:top w:val="single" w:sz="8" w:color="0000EE"/>
            </w:tcBorders>
            <w:gridSpan w:val="5"/>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7960" w:type="dxa"/>
            <w:vAlign w:val="bottom"/>
            <w:gridSpan w:val="16"/>
          </w:tcPr>
          <w:p>
            <w:pPr>
              <w:spacing w:after="0"/>
              <w:rPr>
                <w:rFonts w:ascii="Arial" w:cs="Arial" w:eastAsia="Arial" w:hAnsi="Arial"/>
                <w:sz w:val="18"/>
                <w:szCs w:val="18"/>
                <w:color w:val="0000EE"/>
                <w:w w:val="92"/>
              </w:rPr>
            </w:pPr>
            <w:hyperlink r:id="rId24">
              <w:r>
                <w:rPr>
                  <w:rFonts w:ascii="Arial" w:cs="Arial" w:eastAsia="Arial" w:hAnsi="Arial"/>
                  <w:sz w:val="18"/>
                  <w:szCs w:val="18"/>
                  <w:color w:val="0000EE"/>
                  <w:w w:val="92"/>
                </w:rPr>
                <w:t>Employment Non-Compete, Non-Solicit and Confidentiality Agreement between the Company and Bruce D.</w:t>
              </w:r>
            </w:hyperlink>
          </w:p>
        </w:tc>
      </w:tr>
      <w:tr>
        <w:trPr>
          <w:trHeight w:val="183"/>
        </w:trPr>
        <w:tc>
          <w:tcPr>
            <w:tcW w:w="960" w:type="dxa"/>
            <w:vAlign w:val="bottom"/>
          </w:tcPr>
          <w:p>
            <w:pPr>
              <w:spacing w:after="0"/>
              <w:rPr>
                <w:sz w:val="15"/>
                <w:szCs w:val="15"/>
                <w:color w:val="auto"/>
              </w:rPr>
            </w:pPr>
          </w:p>
        </w:tc>
        <w:tc>
          <w:tcPr>
            <w:tcW w:w="7880" w:type="dxa"/>
            <w:vAlign w:val="bottom"/>
            <w:tcBorders>
              <w:top w:val="single" w:sz="8" w:color="0000EE"/>
            </w:tcBorders>
            <w:gridSpan w:val="14"/>
          </w:tcPr>
          <w:p>
            <w:pPr>
              <w:spacing w:after="0" w:line="182" w:lineRule="exact"/>
              <w:rPr>
                <w:rFonts w:ascii="Arial" w:cs="Arial" w:eastAsia="Arial" w:hAnsi="Arial"/>
                <w:sz w:val="18"/>
                <w:szCs w:val="18"/>
                <w:color w:val="0000EE"/>
                <w:w w:val="91"/>
              </w:rPr>
            </w:pPr>
            <w:hyperlink r:id="rId24">
              <w:r>
                <w:rPr>
                  <w:rFonts w:ascii="Arial" w:cs="Arial" w:eastAsia="Arial" w:hAnsi="Arial"/>
                  <w:sz w:val="18"/>
                  <w:szCs w:val="18"/>
                  <w:color w:val="0000EE"/>
                  <w:w w:val="91"/>
                </w:rPr>
                <w:t>Smith dated March 15, 2018 (incorporated by reference to Exhibit 10.1 to the Company’s Current Report on</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960" w:type="dxa"/>
            <w:vAlign w:val="bottom"/>
          </w:tcPr>
          <w:p>
            <w:pPr>
              <w:spacing w:after="0"/>
              <w:rPr>
                <w:sz w:val="15"/>
                <w:szCs w:val="15"/>
                <w:color w:val="auto"/>
              </w:rPr>
            </w:pPr>
          </w:p>
        </w:tc>
        <w:tc>
          <w:tcPr>
            <w:tcW w:w="36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2"/>
              </w:rPr>
            </w:pPr>
            <w:hyperlink r:id="rId24">
              <w:r>
                <w:rPr>
                  <w:rFonts w:ascii="Arial" w:cs="Arial" w:eastAsia="Arial" w:hAnsi="Arial"/>
                  <w:sz w:val="18"/>
                  <w:szCs w:val="18"/>
                  <w:color w:val="0000EE"/>
                  <w:w w:val="92"/>
                </w:rPr>
                <w:t>Form 8-K filed with the SEC on March 16, 2018).</w:t>
              </w:r>
            </w:hyperlink>
          </w:p>
        </w:tc>
        <w:tc>
          <w:tcPr>
            <w:tcW w:w="4180" w:type="dxa"/>
            <w:vAlign w:val="bottom"/>
            <w:tcBorders>
              <w:top w:val="single" w:sz="8" w:color="0000EE"/>
            </w:tcBorders>
            <w:gridSpan w:val="8"/>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10.2</w:t>
            </w:r>
          </w:p>
        </w:tc>
        <w:tc>
          <w:tcPr>
            <w:tcW w:w="7960" w:type="dxa"/>
            <w:vAlign w:val="bottom"/>
            <w:gridSpan w:val="16"/>
          </w:tcPr>
          <w:p>
            <w:pPr>
              <w:spacing w:after="0"/>
              <w:rPr>
                <w:rFonts w:ascii="Arial" w:cs="Arial" w:eastAsia="Arial" w:hAnsi="Arial"/>
                <w:sz w:val="18"/>
                <w:szCs w:val="18"/>
                <w:color w:val="0000EE"/>
                <w:w w:val="93"/>
              </w:rPr>
            </w:pPr>
            <w:hyperlink r:id="rId25">
              <w:r>
                <w:rPr>
                  <w:rFonts w:ascii="Arial" w:cs="Arial" w:eastAsia="Arial" w:hAnsi="Arial"/>
                  <w:sz w:val="18"/>
                  <w:szCs w:val="18"/>
                  <w:color w:val="0000EE"/>
                  <w:w w:val="93"/>
                </w:rPr>
                <w:t>Severance Agreement between the Company and Bruce D. Smith, dated March 15, 2018 (incorporated by</w:t>
              </w:r>
            </w:hyperlink>
          </w:p>
        </w:tc>
      </w:tr>
      <w:tr>
        <w:trPr>
          <w:trHeight w:val="183"/>
        </w:trPr>
        <w:tc>
          <w:tcPr>
            <w:tcW w:w="960" w:type="dxa"/>
            <w:vAlign w:val="bottom"/>
          </w:tcPr>
          <w:p>
            <w:pPr>
              <w:spacing w:after="0"/>
              <w:rPr>
                <w:sz w:val="15"/>
                <w:szCs w:val="15"/>
                <w:color w:val="auto"/>
              </w:rPr>
            </w:pPr>
          </w:p>
        </w:tc>
        <w:tc>
          <w:tcPr>
            <w:tcW w:w="762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1"/>
              </w:rPr>
            </w:pPr>
            <w:hyperlink r:id="rId25">
              <w:r>
                <w:rPr>
                  <w:rFonts w:ascii="Arial" w:cs="Arial" w:eastAsia="Arial" w:hAnsi="Arial"/>
                  <w:sz w:val="18"/>
                  <w:szCs w:val="18"/>
                  <w:color w:val="0000EE"/>
                  <w:w w:val="91"/>
                </w:rPr>
                <w:t>reference to Exhibit 10.2 to the Company’s Current Report on Form 8-K filed with the SEC on March 16,</w:t>
              </w:r>
            </w:hyperlink>
          </w:p>
        </w:tc>
        <w:tc>
          <w:tcPr>
            <w:tcW w:w="1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960" w:type="dxa"/>
            <w:vAlign w:val="bottom"/>
          </w:tcPr>
          <w:p>
            <w:pPr>
              <w:spacing w:after="0"/>
              <w:rPr>
                <w:sz w:val="15"/>
                <w:szCs w:val="15"/>
                <w:color w:val="auto"/>
              </w:rPr>
            </w:pPr>
          </w:p>
        </w:tc>
        <w:tc>
          <w:tcPr>
            <w:tcW w:w="460" w:type="dxa"/>
            <w:vAlign w:val="bottom"/>
            <w:tcBorders>
              <w:bottom w:val="single" w:sz="8" w:color="0000EE"/>
            </w:tcBorders>
          </w:tcPr>
          <w:p>
            <w:pPr>
              <w:spacing w:after="0" w:line="182" w:lineRule="exact"/>
              <w:rPr>
                <w:rFonts w:ascii="Arial" w:cs="Arial" w:eastAsia="Arial" w:hAnsi="Arial"/>
                <w:sz w:val="18"/>
                <w:szCs w:val="18"/>
                <w:color w:val="0000EE"/>
                <w:w w:val="86"/>
              </w:rPr>
            </w:pPr>
            <w:hyperlink r:id="rId25">
              <w:r>
                <w:rPr>
                  <w:rFonts w:ascii="Arial" w:cs="Arial" w:eastAsia="Arial" w:hAnsi="Arial"/>
                  <w:sz w:val="18"/>
                  <w:szCs w:val="18"/>
                  <w:color w:val="0000EE"/>
                  <w:w w:val="86"/>
                </w:rPr>
                <w:t>2018).</w:t>
              </w:r>
            </w:hyperlink>
          </w:p>
        </w:tc>
        <w:tc>
          <w:tcPr>
            <w:tcW w:w="6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10.3</w:t>
            </w:r>
          </w:p>
        </w:tc>
        <w:tc>
          <w:tcPr>
            <w:tcW w:w="7860" w:type="dxa"/>
            <w:vAlign w:val="bottom"/>
            <w:tcBorders>
              <w:bottom w:val="single" w:sz="8" w:color="0000EE"/>
            </w:tcBorders>
            <w:gridSpan w:val="13"/>
          </w:tcPr>
          <w:p>
            <w:pPr>
              <w:spacing w:after="0"/>
              <w:rPr>
                <w:rFonts w:ascii="Arial" w:cs="Arial" w:eastAsia="Arial" w:hAnsi="Arial"/>
                <w:sz w:val="18"/>
                <w:szCs w:val="18"/>
                <w:color w:val="0000EE"/>
                <w:w w:val="91"/>
              </w:rPr>
            </w:pPr>
            <w:hyperlink r:id="rId26">
              <w:r>
                <w:rPr>
                  <w:rFonts w:ascii="Arial" w:cs="Arial" w:eastAsia="Arial" w:hAnsi="Arial"/>
                  <w:sz w:val="18"/>
                  <w:szCs w:val="18"/>
                  <w:color w:val="0000EE"/>
                  <w:w w:val="91"/>
                </w:rPr>
                <w:t>Employment Non-Compete, Non-Solicit and Confidentiality Agreement between the Company and Stuart C.</w:t>
              </w:r>
            </w:hyperlink>
          </w:p>
        </w:tc>
        <w:tc>
          <w:tcPr>
            <w:tcW w:w="100" w:type="dxa"/>
            <w:vAlign w:val="bottom"/>
            <w:gridSpan w:val="3"/>
          </w:tcPr>
          <w:p>
            <w:pPr>
              <w:spacing w:after="0"/>
              <w:rPr>
                <w:sz w:val="24"/>
                <w:szCs w:val="24"/>
                <w:color w:val="auto"/>
              </w:rPr>
            </w:pPr>
          </w:p>
        </w:tc>
      </w:tr>
      <w:tr>
        <w:trPr>
          <w:trHeight w:val="183"/>
        </w:trPr>
        <w:tc>
          <w:tcPr>
            <w:tcW w:w="960" w:type="dxa"/>
            <w:vAlign w:val="bottom"/>
          </w:tcPr>
          <w:p>
            <w:pPr>
              <w:spacing w:after="0"/>
              <w:rPr>
                <w:sz w:val="15"/>
                <w:szCs w:val="15"/>
                <w:color w:val="auto"/>
              </w:rPr>
            </w:pPr>
          </w:p>
        </w:tc>
        <w:tc>
          <w:tcPr>
            <w:tcW w:w="7960" w:type="dxa"/>
            <w:vAlign w:val="bottom"/>
            <w:gridSpan w:val="16"/>
          </w:tcPr>
          <w:p>
            <w:pPr>
              <w:spacing w:after="0" w:line="182" w:lineRule="exact"/>
              <w:rPr>
                <w:rFonts w:ascii="Arial" w:cs="Arial" w:eastAsia="Arial" w:hAnsi="Arial"/>
                <w:sz w:val="18"/>
                <w:szCs w:val="18"/>
                <w:color w:val="0000EE"/>
                <w:w w:val="91"/>
              </w:rPr>
            </w:pPr>
            <w:hyperlink r:id="rId26">
              <w:r>
                <w:rPr>
                  <w:rFonts w:ascii="Arial" w:cs="Arial" w:eastAsia="Arial" w:hAnsi="Arial"/>
                  <w:sz w:val="18"/>
                  <w:szCs w:val="18"/>
                  <w:color w:val="0000EE"/>
                  <w:w w:val="91"/>
                </w:rPr>
                <w:t>Clifford dated March 15, 2018 (incorporated by reference to Exhibit 10.3 to the Company’s Current Report on</w:t>
              </w:r>
            </w:hyperlink>
          </w:p>
        </w:tc>
      </w:tr>
      <w:tr>
        <w:trPr>
          <w:trHeight w:val="183"/>
        </w:trPr>
        <w:tc>
          <w:tcPr>
            <w:tcW w:w="960" w:type="dxa"/>
            <w:vAlign w:val="bottom"/>
          </w:tcPr>
          <w:p>
            <w:pPr>
              <w:spacing w:after="0"/>
              <w:rPr>
                <w:sz w:val="15"/>
                <w:szCs w:val="15"/>
                <w:color w:val="auto"/>
              </w:rPr>
            </w:pPr>
          </w:p>
        </w:tc>
        <w:tc>
          <w:tcPr>
            <w:tcW w:w="36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2"/>
              </w:rPr>
            </w:pPr>
            <w:hyperlink r:id="rId26">
              <w:r>
                <w:rPr>
                  <w:rFonts w:ascii="Arial" w:cs="Arial" w:eastAsia="Arial" w:hAnsi="Arial"/>
                  <w:sz w:val="18"/>
                  <w:szCs w:val="18"/>
                  <w:color w:val="0000EE"/>
                  <w:w w:val="92"/>
                </w:rPr>
                <w:t>Form 8-K filed with the SEC on March 16, 2018).</w:t>
              </w:r>
            </w:hyperlink>
          </w:p>
        </w:tc>
        <w:tc>
          <w:tcPr>
            <w:tcW w:w="4320" w:type="dxa"/>
            <w:vAlign w:val="bottom"/>
            <w:tcBorders>
              <w:top w:val="single" w:sz="8" w:color="0000EE"/>
            </w:tcBorders>
            <w:gridSpan w:val="12"/>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7960" w:type="dxa"/>
            <w:vAlign w:val="bottom"/>
            <w:gridSpan w:val="16"/>
          </w:tcPr>
          <w:p>
            <w:pPr>
              <w:spacing w:after="0"/>
              <w:rPr>
                <w:rFonts w:ascii="Arial" w:cs="Arial" w:eastAsia="Arial" w:hAnsi="Arial"/>
                <w:sz w:val="18"/>
                <w:szCs w:val="18"/>
                <w:color w:val="0000EE"/>
                <w:w w:val="92"/>
              </w:rPr>
            </w:pPr>
            <w:hyperlink r:id="rId27">
              <w:r>
                <w:rPr>
                  <w:rFonts w:ascii="Arial" w:cs="Arial" w:eastAsia="Arial" w:hAnsi="Arial"/>
                  <w:sz w:val="18"/>
                  <w:szCs w:val="18"/>
                  <w:color w:val="0000EE"/>
                  <w:w w:val="92"/>
                </w:rPr>
                <w:t>Severance Agreement between the Company and Stuart C. Clifford, dated March 15, 2018 (incorporated by</w:t>
              </w:r>
            </w:hyperlink>
          </w:p>
        </w:tc>
      </w:tr>
      <w:tr>
        <w:trPr>
          <w:trHeight w:val="183"/>
        </w:trPr>
        <w:tc>
          <w:tcPr>
            <w:tcW w:w="960" w:type="dxa"/>
            <w:vAlign w:val="bottom"/>
          </w:tcPr>
          <w:p>
            <w:pPr>
              <w:spacing w:after="0"/>
              <w:rPr>
                <w:sz w:val="15"/>
                <w:szCs w:val="15"/>
                <w:color w:val="auto"/>
              </w:rPr>
            </w:pPr>
          </w:p>
        </w:tc>
        <w:tc>
          <w:tcPr>
            <w:tcW w:w="7760" w:type="dxa"/>
            <w:vAlign w:val="bottom"/>
            <w:tcBorders>
              <w:top w:val="single" w:sz="8" w:color="0000EE"/>
            </w:tcBorders>
            <w:gridSpan w:val="10"/>
          </w:tcPr>
          <w:p>
            <w:pPr>
              <w:spacing w:after="0" w:line="182" w:lineRule="exact"/>
              <w:rPr>
                <w:rFonts w:ascii="Arial" w:cs="Arial" w:eastAsia="Arial" w:hAnsi="Arial"/>
                <w:sz w:val="18"/>
                <w:szCs w:val="18"/>
                <w:color w:val="0000EE"/>
                <w:w w:val="93"/>
              </w:rPr>
            </w:pPr>
            <w:hyperlink r:id="rId27">
              <w:r>
                <w:rPr>
                  <w:rFonts w:ascii="Arial" w:cs="Arial" w:eastAsia="Arial" w:hAnsi="Arial"/>
                  <w:sz w:val="18"/>
                  <w:szCs w:val="18"/>
                  <w:color w:val="0000EE"/>
                  <w:w w:val="93"/>
                </w:rPr>
                <w:t>reference to Exhibit 10.4 to the Company’s Current Report on Form 8-K filed with the SEC on March 16,</w:t>
              </w:r>
            </w:hyperlink>
          </w:p>
        </w:tc>
        <w:tc>
          <w:tcPr>
            <w:tcW w:w="80" w:type="dxa"/>
            <w:vAlign w:val="bottom"/>
            <w:gridSpan w:val="2"/>
          </w:tcPr>
          <w:p>
            <w:pPr>
              <w:spacing w:after="0"/>
              <w:rPr>
                <w:sz w:val="15"/>
                <w:szCs w:val="15"/>
                <w:color w:val="auto"/>
              </w:rPr>
            </w:pPr>
          </w:p>
        </w:tc>
        <w:tc>
          <w:tcPr>
            <w:tcW w:w="120" w:type="dxa"/>
            <w:vAlign w:val="bottom"/>
            <w:gridSpan w:val="4"/>
          </w:tcPr>
          <w:p>
            <w:pPr>
              <w:spacing w:after="0"/>
              <w:rPr>
                <w:sz w:val="15"/>
                <w:szCs w:val="15"/>
                <w:color w:val="auto"/>
              </w:rPr>
            </w:pPr>
          </w:p>
        </w:tc>
      </w:tr>
      <w:tr>
        <w:trPr>
          <w:trHeight w:val="183"/>
        </w:trPr>
        <w:tc>
          <w:tcPr>
            <w:tcW w:w="960" w:type="dxa"/>
            <w:vAlign w:val="bottom"/>
          </w:tcPr>
          <w:p>
            <w:pPr>
              <w:spacing w:after="0"/>
              <w:rPr>
                <w:sz w:val="15"/>
                <w:szCs w:val="15"/>
                <w:color w:val="auto"/>
              </w:rPr>
            </w:pPr>
          </w:p>
        </w:tc>
        <w:tc>
          <w:tcPr>
            <w:tcW w:w="4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6"/>
              </w:rPr>
            </w:pPr>
            <w:hyperlink r:id="rId27">
              <w:r>
                <w:rPr>
                  <w:rFonts w:ascii="Arial" w:cs="Arial" w:eastAsia="Arial" w:hAnsi="Arial"/>
                  <w:sz w:val="18"/>
                  <w:szCs w:val="18"/>
                  <w:color w:val="0000EE"/>
                  <w:w w:val="86"/>
                </w:rPr>
                <w:t>2018).</w:t>
              </w:r>
            </w:hyperlink>
          </w:p>
        </w:tc>
        <w:tc>
          <w:tcPr>
            <w:tcW w:w="680" w:type="dxa"/>
            <w:vAlign w:val="bottom"/>
            <w:tcBorders>
              <w:top w:val="single" w:sz="8" w:color="0000EE"/>
            </w:tcBorders>
          </w:tcPr>
          <w:p>
            <w:pPr>
              <w:spacing w:after="0"/>
              <w:rPr>
                <w:sz w:val="15"/>
                <w:szCs w:val="15"/>
                <w:color w:val="auto"/>
              </w:rPr>
            </w:pPr>
          </w:p>
        </w:tc>
        <w:tc>
          <w:tcPr>
            <w:tcW w:w="2480" w:type="dxa"/>
            <w:vAlign w:val="bottom"/>
            <w:tcBorders>
              <w:top w:val="single" w:sz="8" w:color="0000EE"/>
            </w:tcBorders>
          </w:tcPr>
          <w:p>
            <w:pPr>
              <w:spacing w:after="0"/>
              <w:rPr>
                <w:sz w:val="15"/>
                <w:szCs w:val="15"/>
                <w:color w:val="auto"/>
              </w:rPr>
            </w:pPr>
          </w:p>
        </w:tc>
        <w:tc>
          <w:tcPr>
            <w:tcW w:w="2220" w:type="dxa"/>
            <w:vAlign w:val="bottom"/>
            <w:tcBorders>
              <w:top w:val="single" w:sz="8" w:color="0000EE"/>
            </w:tcBorders>
          </w:tcPr>
          <w:p>
            <w:pPr>
              <w:spacing w:after="0"/>
              <w:rPr>
                <w:sz w:val="15"/>
                <w:szCs w:val="15"/>
                <w:color w:val="auto"/>
              </w:rPr>
            </w:pPr>
          </w:p>
        </w:tc>
        <w:tc>
          <w:tcPr>
            <w:tcW w:w="94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7960" w:type="dxa"/>
            <w:vAlign w:val="bottom"/>
            <w:gridSpan w:val="16"/>
          </w:tcPr>
          <w:p>
            <w:pPr>
              <w:spacing w:after="0"/>
              <w:rPr>
                <w:rFonts w:ascii="Arial" w:cs="Arial" w:eastAsia="Arial" w:hAnsi="Arial"/>
                <w:sz w:val="18"/>
                <w:szCs w:val="18"/>
                <w:color w:val="0000EE"/>
                <w:w w:val="99"/>
              </w:rPr>
            </w:pPr>
            <w:hyperlink w:anchor="page20">
              <w:r>
                <w:rPr>
                  <w:rFonts w:ascii="Arial" w:cs="Arial" w:eastAsia="Arial" w:hAnsi="Arial"/>
                  <w:sz w:val="18"/>
                  <w:szCs w:val="18"/>
                  <w:color w:val="0000EE"/>
                  <w:w w:val="99"/>
                </w:rPr>
                <w:t>Certification of Bruce D. Smith, Chief Executive Officer, Pursuant to Rule 13a-14(a) of the Securities</w:t>
              </w:r>
            </w:hyperlink>
          </w:p>
        </w:tc>
      </w:tr>
      <w:tr>
        <w:trPr>
          <w:trHeight w:val="183"/>
        </w:trPr>
        <w:tc>
          <w:tcPr>
            <w:tcW w:w="960" w:type="dxa"/>
            <w:vAlign w:val="bottom"/>
          </w:tcPr>
          <w:p>
            <w:pPr>
              <w:spacing w:after="0"/>
              <w:rPr>
                <w:sz w:val="15"/>
                <w:szCs w:val="15"/>
                <w:color w:val="auto"/>
              </w:rPr>
            </w:pPr>
          </w:p>
        </w:tc>
        <w:tc>
          <w:tcPr>
            <w:tcW w:w="7380" w:type="dxa"/>
            <w:vAlign w:val="bottom"/>
            <w:tcBorders>
              <w:top w:val="single" w:sz="8" w:color="0000EE"/>
            </w:tcBorders>
            <w:gridSpan w:val="6"/>
          </w:tcPr>
          <w:p>
            <w:pPr>
              <w:spacing w:after="0" w:line="182"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Exchange Act of 1934, Adopted Pursuant to Section 302 of the Sarbanes-Oxley Act of 2002.*</w:t>
              </w:r>
            </w:hyperlink>
          </w:p>
        </w:tc>
        <w:tc>
          <w:tcPr>
            <w:tcW w:w="80" w:type="dxa"/>
            <w:vAlign w:val="bottom"/>
          </w:tcPr>
          <w:p>
            <w:pPr>
              <w:spacing w:after="0"/>
              <w:rPr>
                <w:sz w:val="15"/>
                <w:szCs w:val="15"/>
                <w:color w:val="auto"/>
              </w:rPr>
            </w:pPr>
          </w:p>
        </w:tc>
        <w:tc>
          <w:tcPr>
            <w:tcW w:w="380" w:type="dxa"/>
            <w:vAlign w:val="bottom"/>
            <w:gridSpan w:val="5"/>
          </w:tcPr>
          <w:p>
            <w:pPr>
              <w:spacing w:after="0"/>
              <w:rPr>
                <w:sz w:val="15"/>
                <w:szCs w:val="15"/>
                <w:color w:val="auto"/>
              </w:rPr>
            </w:pPr>
          </w:p>
        </w:tc>
        <w:tc>
          <w:tcPr>
            <w:tcW w:w="120" w:type="dxa"/>
            <w:vAlign w:val="bottom"/>
            <w:gridSpan w:val="4"/>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5640" w:type="dxa"/>
            <w:vAlign w:val="bottom"/>
            <w:gridSpan w:val="3"/>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7960" w:type="dxa"/>
            <w:vAlign w:val="bottom"/>
            <w:gridSpan w:val="16"/>
          </w:tcPr>
          <w:p>
            <w:pPr>
              <w:spacing w:after="0"/>
              <w:rPr>
                <w:rFonts w:ascii="Arial" w:cs="Arial" w:eastAsia="Arial" w:hAnsi="Arial"/>
                <w:sz w:val="18"/>
                <w:szCs w:val="18"/>
                <w:color w:val="0000EE"/>
                <w:w w:val="99"/>
              </w:rPr>
            </w:pPr>
            <w:hyperlink w:anchor="page21">
              <w:r>
                <w:rPr>
                  <w:rFonts w:ascii="Arial" w:cs="Arial" w:eastAsia="Arial" w:hAnsi="Arial"/>
                  <w:sz w:val="18"/>
                  <w:szCs w:val="18"/>
                  <w:color w:val="0000EE"/>
                  <w:w w:val="99"/>
                </w:rPr>
                <w:t>Certification of Stuart C. Clifford, Chief Financial Officer, Pursuant to Rule 13a-14(a) of the Securities</w:t>
              </w:r>
            </w:hyperlink>
          </w:p>
        </w:tc>
      </w:tr>
      <w:tr>
        <w:trPr>
          <w:trHeight w:val="183"/>
        </w:trPr>
        <w:tc>
          <w:tcPr>
            <w:tcW w:w="960" w:type="dxa"/>
            <w:vAlign w:val="bottom"/>
          </w:tcPr>
          <w:p>
            <w:pPr>
              <w:spacing w:after="0"/>
              <w:rPr>
                <w:sz w:val="15"/>
                <w:szCs w:val="15"/>
                <w:color w:val="auto"/>
              </w:rPr>
            </w:pPr>
          </w:p>
        </w:tc>
        <w:tc>
          <w:tcPr>
            <w:tcW w:w="746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Exchange Act of 1934, Adopted Pursuant to Section 302 of the Sarbanes-Oxley Act of 2002.*</w:t>
              </w:r>
            </w:hyperlink>
          </w:p>
        </w:tc>
        <w:tc>
          <w:tcPr>
            <w:tcW w:w="380" w:type="dxa"/>
            <w:vAlign w:val="bottom"/>
            <w:gridSpan w:val="5"/>
          </w:tcPr>
          <w:p>
            <w:pPr>
              <w:spacing w:after="0"/>
              <w:rPr>
                <w:sz w:val="15"/>
                <w:szCs w:val="15"/>
                <w:color w:val="auto"/>
              </w:rPr>
            </w:pPr>
          </w:p>
        </w:tc>
        <w:tc>
          <w:tcPr>
            <w:tcW w:w="120" w:type="dxa"/>
            <w:vAlign w:val="bottom"/>
            <w:gridSpan w:val="4"/>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5640" w:type="dxa"/>
            <w:vAlign w:val="bottom"/>
            <w:gridSpan w:val="3"/>
            <w:shd w:val="clear" w:color="auto" w:fill="0000EE"/>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7960" w:type="dxa"/>
            <w:vAlign w:val="bottom"/>
            <w:gridSpan w:val="16"/>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Certifications Pursuant to 18 U.S.C. Section 1350, as adopted pursuant to Section 906 of the Sarbanes-Oxley</w:t>
              </w:r>
            </w:hyperlink>
          </w:p>
        </w:tc>
      </w:tr>
      <w:tr>
        <w:trPr>
          <w:trHeight w:val="183"/>
        </w:trPr>
        <w:tc>
          <w:tcPr>
            <w:tcW w:w="960" w:type="dxa"/>
            <w:vAlign w:val="bottom"/>
          </w:tcPr>
          <w:p>
            <w:pPr>
              <w:spacing w:after="0"/>
              <w:rPr>
                <w:sz w:val="15"/>
                <w:szCs w:val="15"/>
                <w:color w:val="auto"/>
              </w:rPr>
            </w:pPr>
          </w:p>
        </w:tc>
        <w:tc>
          <w:tcPr>
            <w:tcW w:w="11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Act of 2002.* †</w:t>
              </w:r>
            </w:hyperlink>
          </w:p>
        </w:tc>
        <w:tc>
          <w:tcPr>
            <w:tcW w:w="6700" w:type="dxa"/>
            <w:vAlign w:val="bottom"/>
            <w:tcBorders>
              <w:top w:val="single" w:sz="8" w:color="0000EE"/>
            </w:tcBorders>
            <w:gridSpan w:val="10"/>
          </w:tcPr>
          <w:p>
            <w:pPr>
              <w:spacing w:after="0"/>
              <w:rPr>
                <w:sz w:val="15"/>
                <w:szCs w:val="15"/>
                <w:color w:val="auto"/>
              </w:rPr>
            </w:pPr>
          </w:p>
        </w:tc>
        <w:tc>
          <w:tcPr>
            <w:tcW w:w="120" w:type="dxa"/>
            <w:vAlign w:val="bottom"/>
            <w:gridSpan w:val="4"/>
          </w:tcPr>
          <w:p>
            <w:pPr>
              <w:spacing w:after="0"/>
              <w:rPr>
                <w:sz w:val="15"/>
                <w:szCs w:val="15"/>
                <w:color w:val="auto"/>
              </w:rPr>
            </w:pPr>
          </w:p>
        </w:tc>
      </w:tr>
    </w:tbl>
    <w:p>
      <w:pPr>
        <w:spacing w:after="0" w:line="175" w:lineRule="exact"/>
        <w:rPr>
          <w:sz w:val="20"/>
          <w:szCs w:val="20"/>
          <w:color w:val="auto"/>
        </w:rPr>
      </w:pPr>
    </w:p>
    <w:p>
      <w:pPr>
        <w:ind w:left="1020" w:right="19" w:hanging="970"/>
        <w:spacing w:after="0" w:line="257" w:lineRule="auto"/>
        <w:tabs>
          <w:tab w:leader="none" w:pos="10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following financial information from Citi Trends, Inc.’s Quarterly Report on Form 10-Q for the quarter ended May 5, 2018, formatted in Extensible Business Reporting Language (XBRL): (i) the Condensed Consolidated Balance Sheets as of May 5, 2018 and February 3, 2018, (ii) the Condensed Consolidated Statements of Income for the thirteen week periods ended May 5, 2018 and April 29, 2017, (iii) the Condensed Consolidated Statements of Cash Flows for the thirteen week periods ended May 5, 2018 and April 29, 2017, and (iv) Notes to the Condensed Consolidated Financial Statements.*</w:t>
      </w:r>
    </w:p>
    <w:p>
      <w:pPr>
        <w:spacing w:after="0" w:line="18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Included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-198755</wp:posOffset>
            </wp:positionV>
            <wp:extent cx="14408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5" w:lineRule="exact"/>
        <w:rPr>
          <w:sz w:val="20"/>
          <w:szCs w:val="20"/>
          <w:color w:val="auto"/>
        </w:rPr>
      </w:pPr>
    </w:p>
    <w:p>
      <w:pPr>
        <w:ind w:right="99" w:firstLine="3"/>
        <w:spacing w:after="0" w:line="297" w:lineRule="auto"/>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Pursuant to Securities and Exchange Commission Release No. 33-8238, this certification will be treated as “accompanying” this Quarterly Report on Form 10-Q and not “filed” as part of such report for purposes of Section 18 of the Securities Exchange Act of 1934, or otherwise subject to the liability of Section 18 of the Securities Exchange Act of 1934 and this certification will not be deemed to be incorporated by reference into any filing under the Securities Act of 1933 or the Securities Exchange Act of 1934, except to the extent that the registrant specifically incorporates it by reference.</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8" w:name="page19"/>
    <w:bookmarkEnd w:id="18"/>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 and the undersigned also has signed this report in his capacity as the Registrant’s Chief Financial Officer (Principal Financial and Accounting Officer).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60" w:type="dxa"/>
            <w:vAlign w:val="bottom"/>
            <w:gridSpan w:val="2"/>
          </w:tcPr>
          <w:p>
            <w:pPr>
              <w:ind w:left="4540"/>
              <w:spacing w:after="0"/>
              <w:rPr>
                <w:sz w:val="20"/>
                <w:szCs w:val="20"/>
                <w:color w:val="auto"/>
              </w:rPr>
            </w:pPr>
            <w:r>
              <w:rPr>
                <w:rFonts w:ascii="Arial" w:cs="Arial" w:eastAsia="Arial" w:hAnsi="Arial"/>
                <w:sz w:val="18"/>
                <w:szCs w:val="18"/>
                <w:color w:val="auto"/>
              </w:rPr>
              <w:t>CITI TRENDS, INC.</w:t>
            </w:r>
          </w:p>
        </w:tc>
      </w:tr>
      <w:tr>
        <w:trPr>
          <w:trHeight w:val="405"/>
        </w:trPr>
        <w:tc>
          <w:tcPr>
            <w:tcW w:w="5200" w:type="dxa"/>
            <w:vAlign w:val="bottom"/>
          </w:tcPr>
          <w:p>
            <w:pPr>
              <w:spacing w:after="0"/>
              <w:rPr>
                <w:sz w:val="20"/>
                <w:szCs w:val="20"/>
                <w:color w:val="auto"/>
              </w:rPr>
            </w:pPr>
            <w:r>
              <w:rPr>
                <w:rFonts w:ascii="Arial" w:cs="Arial" w:eastAsia="Arial" w:hAnsi="Arial"/>
                <w:sz w:val="18"/>
                <w:szCs w:val="18"/>
                <w:color w:val="auto"/>
              </w:rPr>
              <w:t>Date: June 11, 2018</w:t>
            </w:r>
          </w:p>
        </w:tc>
        <w:tc>
          <w:tcPr>
            <w:tcW w:w="3860" w:type="dxa"/>
            <w:vAlign w:val="bottom"/>
          </w:tcPr>
          <w:p>
            <w:pPr>
              <w:spacing w:after="0"/>
              <w:rPr>
                <w:sz w:val="24"/>
                <w:szCs w:val="24"/>
                <w:color w:val="auto"/>
              </w:rPr>
            </w:pPr>
          </w:p>
        </w:tc>
      </w:tr>
      <w:tr>
        <w:trPr>
          <w:trHeight w:val="392"/>
        </w:trPr>
        <w:tc>
          <w:tcPr>
            <w:tcW w:w="5200" w:type="dxa"/>
            <w:vAlign w:val="bottom"/>
          </w:tcPr>
          <w:p>
            <w:pPr>
              <w:ind w:left="4540"/>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C. Clifford</w:t>
            </w:r>
          </w:p>
        </w:tc>
      </w:tr>
      <w:tr>
        <w:trPr>
          <w:trHeight w:val="182"/>
        </w:trPr>
        <w:tc>
          <w:tcPr>
            <w:tcW w:w="5200" w:type="dxa"/>
            <w:vAlign w:val="bottom"/>
          </w:tcPr>
          <w:p>
            <w:pPr>
              <w:ind w:left="4540"/>
              <w:spacing w:after="0" w:line="182" w:lineRule="exact"/>
              <w:rPr>
                <w:sz w:val="20"/>
                <w:szCs w:val="20"/>
                <w:color w:val="auto"/>
              </w:rPr>
            </w:pPr>
            <w:r>
              <w:rPr>
                <w:rFonts w:ascii="Arial" w:cs="Arial" w:eastAsia="Arial" w:hAnsi="Arial"/>
                <w:sz w:val="18"/>
                <w:szCs w:val="18"/>
                <w:color w:val="auto"/>
              </w:rPr>
              <w:t>Name:</w:t>
            </w:r>
          </w:p>
        </w:tc>
        <w:tc>
          <w:tcPr>
            <w:tcW w:w="3860" w:type="dxa"/>
            <w:vAlign w:val="bottom"/>
          </w:tcPr>
          <w:p>
            <w:pPr>
              <w:spacing w:after="0" w:line="182" w:lineRule="exact"/>
              <w:rPr>
                <w:sz w:val="20"/>
                <w:szCs w:val="20"/>
                <w:color w:val="auto"/>
              </w:rPr>
            </w:pPr>
            <w:r>
              <w:rPr>
                <w:rFonts w:ascii="Arial" w:cs="Arial" w:eastAsia="Arial" w:hAnsi="Arial"/>
                <w:sz w:val="18"/>
                <w:szCs w:val="18"/>
                <w:color w:val="auto"/>
              </w:rPr>
              <w:t>Stuart C. Clifford</w:t>
            </w:r>
          </w:p>
        </w:tc>
      </w:tr>
      <w:tr>
        <w:trPr>
          <w:trHeight w:val="230"/>
        </w:trPr>
        <w:tc>
          <w:tcPr>
            <w:tcW w:w="5200" w:type="dxa"/>
            <w:vAlign w:val="bottom"/>
          </w:tcPr>
          <w:p>
            <w:pPr>
              <w:ind w:left="4540"/>
              <w:spacing w:after="0"/>
              <w:rPr>
                <w:sz w:val="20"/>
                <w:szCs w:val="20"/>
                <w:color w:val="auto"/>
              </w:rPr>
            </w:pPr>
            <w:r>
              <w:rPr>
                <w:rFonts w:ascii="Arial" w:cs="Arial" w:eastAsia="Arial" w:hAnsi="Arial"/>
                <w:sz w:val="18"/>
                <w:szCs w:val="18"/>
                <w:color w:val="auto"/>
              </w:rPr>
              <w:t>Title:</w:t>
            </w:r>
          </w:p>
        </w:tc>
        <w:tc>
          <w:tcPr>
            <w:tcW w:w="3860" w:type="dxa"/>
            <w:vAlign w:val="bottom"/>
          </w:tcPr>
          <w:p>
            <w:pPr>
              <w:spacing w:after="0"/>
              <w:rPr>
                <w:sz w:val="20"/>
                <w:szCs w:val="20"/>
                <w:color w:val="auto"/>
              </w:rPr>
            </w:pPr>
            <w:r>
              <w:rPr>
                <w:rFonts w:ascii="Arial" w:cs="Arial" w:eastAsia="Arial" w:hAnsi="Arial"/>
                <w:sz w:val="18"/>
                <w:szCs w:val="18"/>
                <w:color w:val="auto"/>
                <w:w w:val="98"/>
              </w:rPr>
              <w:t>Senior Vice President and Chief Financial Officer</w:t>
            </w:r>
          </w:p>
        </w:tc>
      </w:tr>
      <w:tr>
        <w:trPr>
          <w:trHeight w:val="851"/>
        </w:trPr>
        <w:tc>
          <w:tcPr>
            <w:tcW w:w="5200" w:type="dxa"/>
            <w:vAlign w:val="bottom"/>
          </w:tcPr>
          <w:p>
            <w:pPr>
              <w:ind w:left="4440"/>
              <w:spacing w:after="0"/>
              <w:rPr>
                <w:sz w:val="20"/>
                <w:szCs w:val="20"/>
                <w:color w:val="auto"/>
              </w:rPr>
            </w:pPr>
            <w:r>
              <w:rPr>
                <w:rFonts w:ascii="Arial" w:cs="Arial" w:eastAsia="Arial" w:hAnsi="Arial"/>
                <w:sz w:val="18"/>
                <w:szCs w:val="18"/>
                <w:color w:val="auto"/>
              </w:rPr>
              <w:t>19</w:t>
            </w:r>
          </w:p>
        </w:tc>
        <w:tc>
          <w:tcPr>
            <w:tcW w:w="3860" w:type="dxa"/>
            <w:vAlign w:val="bottom"/>
          </w:tcPr>
          <w:p>
            <w:pPr>
              <w:spacing w:after="0"/>
              <w:rPr>
                <w:sz w:val="24"/>
                <w:szCs w:val="24"/>
                <w:color w:val="auto"/>
              </w:rPr>
            </w:pPr>
          </w:p>
        </w:tc>
      </w:tr>
      <w:tr>
        <w:trPr>
          <w:trHeight w:val="129"/>
        </w:trPr>
        <w:tc>
          <w:tcPr>
            <w:tcW w:w="5200" w:type="dxa"/>
            <w:vAlign w:val="bottom"/>
            <w:tcBorders>
              <w:bottom w:val="single" w:sz="8" w:color="auto"/>
            </w:tcBorders>
          </w:tcPr>
          <w:p>
            <w:pPr>
              <w:spacing w:after="0"/>
              <w:rPr>
                <w:sz w:val="11"/>
                <w:szCs w:val="11"/>
                <w:color w:val="auto"/>
              </w:rPr>
            </w:pPr>
          </w:p>
        </w:tc>
        <w:tc>
          <w:tcPr>
            <w:tcW w:w="38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Bruce D. Smith, certify that:</w:t>
      </w:r>
    </w:p>
    <w:p>
      <w:pPr>
        <w:spacing w:after="0" w:line="144" w:lineRule="exact"/>
        <w:rPr>
          <w:sz w:val="20"/>
          <w:szCs w:val="20"/>
          <w:color w:val="auto"/>
        </w:rPr>
      </w:pPr>
    </w:p>
    <w:p>
      <w:pPr>
        <w:ind w:left="680" w:hanging="677"/>
        <w:spacing w:after="0"/>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May 5, 2018 of Citi Trends, Inc.;</w:t>
      </w:r>
    </w:p>
    <w:p>
      <w:pPr>
        <w:spacing w:after="0" w:line="155" w:lineRule="exact"/>
        <w:rPr>
          <w:rFonts w:ascii="Arial" w:cs="Arial" w:eastAsia="Arial" w:hAnsi="Arial"/>
          <w:sz w:val="17"/>
          <w:szCs w:val="17"/>
          <w:color w:val="auto"/>
        </w:rPr>
      </w:pPr>
    </w:p>
    <w:p>
      <w:pPr>
        <w:ind w:left="660" w:right="380" w:hanging="657"/>
        <w:spacing w:after="0" w:line="224" w:lineRule="auto"/>
        <w:tabs>
          <w:tab w:leader="none" w:pos="687"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660" w:right="280" w:hanging="657"/>
        <w:spacing w:after="0" w:line="224" w:lineRule="auto"/>
        <w:tabs>
          <w:tab w:leader="none" w:pos="687"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660" w:right="260" w:hanging="657"/>
        <w:spacing w:after="0" w:line="259" w:lineRule="auto"/>
        <w:tabs>
          <w:tab w:leader="none" w:pos="687"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6"/>
          <w:szCs w:val="16"/>
          <w:color w:val="auto"/>
        </w:rPr>
      </w:pPr>
    </w:p>
    <w:p>
      <w:pPr>
        <w:ind w:left="1300" w:right="80" w:hanging="649"/>
        <w:spacing w:after="0" w:line="219" w:lineRule="auto"/>
        <w:tabs>
          <w:tab w:leader="none" w:pos="1332"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300" w:right="80" w:hanging="649"/>
        <w:spacing w:after="0" w:line="219" w:lineRule="auto"/>
        <w:tabs>
          <w:tab w:leader="none" w:pos="1342"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300" w:hanging="649"/>
        <w:spacing w:after="0" w:line="224" w:lineRule="auto"/>
        <w:tabs>
          <w:tab w:leader="none" w:pos="1332"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300" w:right="40" w:hanging="649"/>
        <w:spacing w:after="0" w:line="219" w:lineRule="auto"/>
        <w:tabs>
          <w:tab w:leader="none" w:pos="1342"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660" w:right="40" w:hanging="657"/>
        <w:spacing w:after="0" w:line="224" w:lineRule="auto"/>
        <w:tabs>
          <w:tab w:leader="none" w:pos="68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300" w:right="40" w:hanging="649"/>
        <w:spacing w:after="0" w:line="224" w:lineRule="auto"/>
        <w:tabs>
          <w:tab w:leader="none" w:pos="133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1300" w:right="180" w:hanging="649"/>
        <w:spacing w:after="0" w:line="235" w:lineRule="auto"/>
        <w:tabs>
          <w:tab w:leader="none" w:pos="134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2018</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 Bruce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30956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Bruce D. Smith</w:t>
      </w:r>
    </w:p>
    <w:p>
      <w:pPr>
        <w:spacing w:after="0" w:line="204" w:lineRule="auto"/>
        <w:rPr>
          <w:sz w:val="20"/>
          <w:szCs w:val="20"/>
          <w:color w:val="auto"/>
        </w:rPr>
      </w:pPr>
      <w:r>
        <w:rPr>
          <w:rFonts w:ascii="Arial" w:cs="Arial" w:eastAsia="Arial" w:hAnsi="Arial"/>
          <w:sz w:val="18"/>
          <w:szCs w:val="18"/>
          <w:color w:val="auto"/>
        </w:rPr>
        <w:t>President and Chief Executive Officer</w:t>
      </w: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Stuart C. Clifford, certify that:</w:t>
      </w:r>
    </w:p>
    <w:p>
      <w:pPr>
        <w:spacing w:after="0" w:line="144" w:lineRule="exact"/>
        <w:rPr>
          <w:sz w:val="20"/>
          <w:szCs w:val="20"/>
          <w:color w:val="auto"/>
        </w:rPr>
      </w:pPr>
    </w:p>
    <w:p>
      <w:pPr>
        <w:ind w:left="680" w:hanging="677"/>
        <w:spacing w:after="0"/>
        <w:tabs>
          <w:tab w:leader="none" w:pos="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May 5, 2018 of Citi Trends, Inc.;</w:t>
      </w:r>
    </w:p>
    <w:p>
      <w:pPr>
        <w:spacing w:after="0" w:line="155" w:lineRule="exact"/>
        <w:rPr>
          <w:rFonts w:ascii="Arial" w:cs="Arial" w:eastAsia="Arial" w:hAnsi="Arial"/>
          <w:sz w:val="17"/>
          <w:szCs w:val="17"/>
          <w:color w:val="auto"/>
        </w:rPr>
      </w:pPr>
    </w:p>
    <w:p>
      <w:pPr>
        <w:ind w:left="660" w:right="380" w:hanging="657"/>
        <w:spacing w:after="0" w:line="224" w:lineRule="auto"/>
        <w:tabs>
          <w:tab w:leader="none" w:pos="6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660" w:right="280" w:hanging="657"/>
        <w:spacing w:after="0" w:line="224" w:lineRule="auto"/>
        <w:tabs>
          <w:tab w:leader="none" w:pos="6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660" w:right="260" w:hanging="657"/>
        <w:spacing w:after="0" w:line="259" w:lineRule="auto"/>
        <w:tabs>
          <w:tab w:leader="none" w:pos="687"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6"/>
          <w:szCs w:val="16"/>
          <w:color w:val="auto"/>
        </w:rPr>
      </w:pPr>
    </w:p>
    <w:p>
      <w:pPr>
        <w:ind w:left="1300" w:right="80" w:hanging="649"/>
        <w:spacing w:after="0" w:line="219" w:lineRule="auto"/>
        <w:tabs>
          <w:tab w:leader="none" w:pos="1332"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300" w:right="80" w:hanging="649"/>
        <w:spacing w:after="0" w:line="219" w:lineRule="auto"/>
        <w:tabs>
          <w:tab w:leader="none" w:pos="1342"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300" w:hanging="649"/>
        <w:spacing w:after="0" w:line="224" w:lineRule="auto"/>
        <w:tabs>
          <w:tab w:leader="none" w:pos="1332"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300" w:right="40" w:hanging="649"/>
        <w:spacing w:after="0" w:line="219" w:lineRule="auto"/>
        <w:tabs>
          <w:tab w:leader="none" w:pos="1342"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660" w:right="40" w:hanging="657"/>
        <w:spacing w:after="0" w:line="224" w:lineRule="auto"/>
        <w:tabs>
          <w:tab w:leader="none" w:pos="6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300" w:right="40" w:hanging="649"/>
        <w:spacing w:after="0" w:line="224" w:lineRule="auto"/>
        <w:tabs>
          <w:tab w:leader="none" w:pos="133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1300" w:right="180" w:hanging="649"/>
        <w:spacing w:after="0" w:line="235" w:lineRule="auto"/>
        <w:tabs>
          <w:tab w:leader="none" w:pos="134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231F20"/>
        </w:rPr>
        <w:t>/s/ Stuart C.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30873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8"/>
          <w:szCs w:val="18"/>
          <w:color w:val="231F20"/>
        </w:rPr>
        <w:t>Stuart C. Clifford</w:t>
      </w:r>
    </w:p>
    <w:p>
      <w:pPr>
        <w:spacing w:after="0" w:line="219" w:lineRule="auto"/>
        <w:rPr>
          <w:sz w:val="20"/>
          <w:szCs w:val="20"/>
          <w:color w:val="auto"/>
        </w:rPr>
      </w:pPr>
      <w:r>
        <w:rPr>
          <w:rFonts w:ascii="Arial" w:cs="Arial" w:eastAsia="Arial" w:hAnsi="Arial"/>
          <w:sz w:val="18"/>
          <w:szCs w:val="18"/>
          <w:color w:val="231F20"/>
        </w:rPr>
        <w:t>Senior Vice President and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231F20"/>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245110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Certifications pursuant to Section 906 of the Sarbanes-Oxley Act of 2002 (18 U.S.C. § 1350, as adopted).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 Bruce D. Smith, President and Chief Executive Officer of Citi Trends, Inc.,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 Stuart C. Clifford, Senior Vice President and Chief Financial Officer of Citi Trends, Inc., certify that:</w:t>
      </w:r>
    </w:p>
    <w:p>
      <w:pPr>
        <w:spacing w:after="0" w:line="144" w:lineRule="exact"/>
        <w:rPr>
          <w:sz w:val="20"/>
          <w:szCs w:val="20"/>
          <w:color w:val="auto"/>
        </w:rPr>
      </w:pPr>
    </w:p>
    <w:p>
      <w:pPr>
        <w:ind w:left="180" w:hanging="177"/>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reviewed this quarterly report on Form 10-Q of Citi Trends, Inc. for the period ended May 5, 2018;</w:t>
      </w:r>
    </w:p>
    <w:p>
      <w:pPr>
        <w:spacing w:after="0" w:line="144" w:lineRule="exact"/>
        <w:rPr>
          <w:rFonts w:ascii="Arial" w:cs="Arial" w:eastAsia="Arial" w:hAnsi="Arial"/>
          <w:sz w:val="18"/>
          <w:szCs w:val="18"/>
          <w:color w:val="auto"/>
        </w:rPr>
      </w:pPr>
    </w:p>
    <w:p>
      <w:pPr>
        <w:ind w:firstLine="3"/>
        <w:spacing w:after="0" w:line="235"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our knowledge, this quarterly report fully complies with the requirements of Section 13(a) or Section 15(d) of the Securities Exchange Act of 1934, as amended; and</w:t>
      </w:r>
    </w:p>
    <w:p>
      <w:pPr>
        <w:spacing w:after="0" w:line="121" w:lineRule="exact"/>
        <w:rPr>
          <w:rFonts w:ascii="Arial" w:cs="Arial" w:eastAsia="Arial" w:hAnsi="Arial"/>
          <w:sz w:val="18"/>
          <w:szCs w:val="18"/>
          <w:color w:val="auto"/>
        </w:rPr>
      </w:pPr>
    </w:p>
    <w:p>
      <w:pPr>
        <w:ind w:right="80" w:firstLine="3"/>
        <w:spacing w:after="0" w:line="224"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our knowledge, the financial statements, and other information included in this quarterly report, fairly present in all material respects the financial condition and results of operations of the registrant as of, and for, the periods presented in this quarterly report.</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2018</w:t>
      </w:r>
    </w:p>
    <w:p>
      <w:pPr>
        <w:spacing w:after="0" w:line="31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 Bruce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-635</wp:posOffset>
            </wp:positionV>
            <wp:extent cx="30359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ind w:left="4280"/>
        <w:spacing w:after="0" w:line="203" w:lineRule="auto"/>
        <w:rPr>
          <w:sz w:val="20"/>
          <w:szCs w:val="20"/>
          <w:color w:val="auto"/>
        </w:rPr>
      </w:pPr>
      <w:r>
        <w:rPr>
          <w:rFonts w:ascii="Arial" w:cs="Arial" w:eastAsia="Arial" w:hAnsi="Arial"/>
          <w:sz w:val="18"/>
          <w:szCs w:val="18"/>
          <w:color w:val="auto"/>
        </w:rPr>
        <w:t>Bruce D. Smith</w:t>
      </w:r>
    </w:p>
    <w:p>
      <w:pPr>
        <w:ind w:left="4280"/>
        <w:spacing w:after="0" w:line="204" w:lineRule="auto"/>
        <w:rPr>
          <w:sz w:val="20"/>
          <w:szCs w:val="20"/>
          <w:color w:val="auto"/>
        </w:rPr>
      </w:pPr>
      <w:r>
        <w:rPr>
          <w:rFonts w:ascii="Arial" w:cs="Arial" w:eastAsia="Arial" w:hAnsi="Arial"/>
          <w:sz w:val="18"/>
          <w:szCs w:val="18"/>
          <w:color w:val="auto"/>
        </w:rPr>
        <w:t>President and Chief Executive Officer</w:t>
      </w:r>
    </w:p>
    <w:p>
      <w:pPr>
        <w:ind w:left="4280"/>
        <w:spacing w:after="0"/>
        <w:rPr>
          <w:sz w:val="20"/>
          <w:szCs w:val="20"/>
          <w:color w:val="auto"/>
        </w:rPr>
      </w:pPr>
      <w:r>
        <w:rPr>
          <w:rFonts w:ascii="Arial" w:cs="Arial" w:eastAsia="Arial" w:hAnsi="Arial"/>
          <w:sz w:val="18"/>
          <w:szCs w:val="18"/>
          <w:color w:val="auto"/>
        </w:rPr>
        <w:t>(Principal Executive Officer)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2018</w:t>
      </w:r>
    </w:p>
    <w:p>
      <w:pPr>
        <w:spacing w:after="0" w:line="31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 Stuart C.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-635</wp:posOffset>
            </wp:positionV>
            <wp:extent cx="30359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ind w:left="4280"/>
        <w:spacing w:after="0" w:line="203" w:lineRule="auto"/>
        <w:rPr>
          <w:sz w:val="20"/>
          <w:szCs w:val="20"/>
          <w:color w:val="auto"/>
        </w:rPr>
      </w:pPr>
      <w:r>
        <w:rPr>
          <w:rFonts w:ascii="Arial" w:cs="Arial" w:eastAsia="Arial" w:hAnsi="Arial"/>
          <w:sz w:val="18"/>
          <w:szCs w:val="18"/>
          <w:color w:val="auto"/>
        </w:rPr>
        <w:t>Stuart C. Clifford</w:t>
      </w:r>
    </w:p>
    <w:p>
      <w:pPr>
        <w:ind w:left="4280"/>
        <w:spacing w:after="0" w:line="204" w:lineRule="auto"/>
        <w:rPr>
          <w:sz w:val="20"/>
          <w:szCs w:val="20"/>
          <w:color w:val="auto"/>
        </w:rPr>
      </w:pPr>
      <w:r>
        <w:rPr>
          <w:rFonts w:ascii="Arial" w:cs="Arial" w:eastAsia="Arial" w:hAnsi="Arial"/>
          <w:sz w:val="18"/>
          <w:szCs w:val="18"/>
          <w:color w:val="auto"/>
        </w:rPr>
        <w:t>Senior Vice President and Chief Financial Officer</w:t>
      </w:r>
    </w:p>
    <w:p>
      <w:pPr>
        <w:ind w:left="4280"/>
        <w:spacing w:after="0"/>
        <w:rPr>
          <w:sz w:val="20"/>
          <w:szCs w:val="20"/>
          <w:color w:val="auto"/>
        </w:rPr>
      </w:pPr>
      <w:r>
        <w:rPr>
          <w:rFonts w:ascii="Arial" w:cs="Arial" w:eastAsia="Arial" w:hAnsi="Arial"/>
          <w:sz w:val="18"/>
          <w:szCs w:val="18"/>
          <w:color w:val="auto"/>
        </w:rPr>
        <w:t>(Principal Financial and Accounting Officer)</w:t>
      </w:r>
    </w:p>
    <w:p>
      <w:pPr>
        <w:spacing w:after="0" w:line="304"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334010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6"/>
    </w:lvl>
  </w:abstractNum>
  <w:abstractNum w:abstractNumId="7">
    <w:nsid w:val="DED7263"/>
    <w:multiLevelType w:val="hybridMultilevel"/>
    <w:lvl w:ilvl="0">
      <w:lvlJc w:val="left"/>
      <w:lvlText w:val="%1."/>
      <w:numFmt w:val="decimal"/>
      <w:start w:val="7"/>
    </w:lvl>
  </w:abstractNum>
  <w:abstractNum w:abstractNumId="8">
    <w:nsid w:val="7FDCC233"/>
    <w:multiLevelType w:val="hybridMultilevel"/>
    <w:lvl w:ilvl="0">
      <w:lvlJc w:val="left"/>
      <w:lvlText w:val="%1."/>
      <w:numFmt w:val="decimal"/>
      <w:start w:val="8"/>
    </w:lvl>
  </w:abstractNum>
  <w:abstractNum w:abstractNumId="9">
    <w:nsid w:val="1BEFD79F"/>
    <w:multiLevelType w:val="hybridMultilevel"/>
    <w:lvl w:ilvl="0">
      <w:lvlJc w:val="left"/>
      <w:lvlText w:val="%1."/>
      <w:numFmt w:val="decimal"/>
      <w:start w:val="9"/>
    </w:lvl>
  </w:abstractNum>
  <w:abstractNum w:abstractNumId="10">
    <w:nsid w:val="41A7C4C9"/>
    <w:multiLevelType w:val="hybridMultilevel"/>
    <w:lvl w:ilvl="0">
      <w:lvlJc w:val="left"/>
      <w:lvlText w:val="%1."/>
      <w:numFmt w:val="decimal"/>
      <w:start w:val="10"/>
    </w:lvl>
  </w:abstractNum>
  <w:abstractNum w:abstractNumId="11">
    <w:nsid w:val="6B68079A"/>
    <w:multiLevelType w:val="hybridMultilevel"/>
    <w:lvl w:ilvl="0">
      <w:lvlJc w:val="left"/>
      <w:lvlText w:val="%1."/>
      <w:numFmt w:val="decimal"/>
      <w:start w:val="11"/>
    </w:lvl>
  </w:abstractNum>
  <w:abstractNum w:abstractNumId="12">
    <w:nsid w:val="4E6AFB66"/>
    <w:multiLevelType w:val="hybridMultilevel"/>
    <w:lvl w:ilvl="0">
      <w:lvlJc w:val="left"/>
      <w:lvlText w:val="%1."/>
      <w:numFmt w:val="decimal"/>
      <w:start w:val="12"/>
    </w:lvl>
  </w:abstractNum>
  <w:abstractNum w:abstractNumId="13">
    <w:nsid w:val="25E45D32"/>
    <w:multiLevelType w:val="hybridMultilevel"/>
    <w:lvl w:ilvl="0">
      <w:lvlJc w:val="left"/>
      <w:lvlText w:val="(%1)"/>
      <w:numFmt w:val="lowerRoman"/>
      <w:start w:val="2"/>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
      <w:numFmt w:val="bullet"/>
      <w:start w:val="1"/>
    </w:lvl>
    <w:lvl w:ilvl="1">
      <w:lvlJc w:val="left"/>
      <w:lvlText w:val="%2"/>
      <w:numFmt w:val="decimal"/>
      <w:start w:val="10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23" Type="http://schemas.openxmlformats.org/officeDocument/2006/relationships/hyperlink" Target="http://www.sec.gov/Archives/edgar/data/1318484/000110465918019577/a18-8798_1ex3d1.htm" TargetMode="External"/><Relationship Id="rId24" Type="http://schemas.openxmlformats.org/officeDocument/2006/relationships/hyperlink" Target="http://www.sec.gov/Archives/edgar/data/1318484/000110465918018002/a18-8439_1ex10d1.htm" TargetMode="External"/><Relationship Id="rId25" Type="http://schemas.openxmlformats.org/officeDocument/2006/relationships/hyperlink" Target="http://www.sec.gov/Archives/edgar/data/1318484/000110465918018002/a18-8439_1ex10d2.htm" TargetMode="External"/><Relationship Id="rId26" Type="http://schemas.openxmlformats.org/officeDocument/2006/relationships/hyperlink" Target="http://www.sec.gov/Archives/edgar/data/1318484/000110465918018002/a18-8439_1ex10d3.htm" TargetMode="External"/><Relationship Id="rId27" Type="http://schemas.openxmlformats.org/officeDocument/2006/relationships/hyperlink" Target="http://www.sec.gov/Archives/edgar/data/1318484/000110465918018002/a18-8439_1ex10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2019-12-28T21:36:10Z</dcterms:created>
  <dcterms:modified xsi:type="dcterms:W3CDTF">2019-12-28T21:36:10Z</dcterms:modified>
</cp:coreProperties>
</file>