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EE"/>
        </w:rPr>
        <w:t xml:space="preserve">Table </w:t>
      </w:r>
      <w:r>
        <w:rPr>
          <w:rFonts w:ascii="Arial" w:cs="Arial" w:eastAsia="Arial" w:hAnsi="Arial"/>
          <w:sz w:val="18"/>
          <w:szCs w:val="18"/>
          <w:u w:val="single" w:color="auto"/>
          <w:color w:val="0000EE"/>
        </w:rPr>
        <w:t>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358140</wp:posOffset>
            </wp:positionV>
            <wp:extent cx="629602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6025" cy="323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398780</wp:posOffset>
            </wp:positionV>
            <wp:extent cx="62960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60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231" w:lineRule="exact"/>
        <w:rPr>
          <w:sz w:val="24"/>
          <w:szCs w:val="24"/>
          <w:color w:val="auto"/>
        </w:rPr>
      </w:pPr>
    </w:p>
    <w:p>
      <w:pPr>
        <w:ind w:left="660" w:hanging="398"/>
        <w:spacing w:after="0"/>
        <w:tabs>
          <w:tab w:leader="none" w:pos="66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QUARTERLY REPORT PURSUANT TO SECTION 13 OR 15(d) OF THE SECURITIES EXCHANGE ACT OF 1934</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quarterly period ended May 1, 2021</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93" w:lineRule="exact"/>
        <w:rPr>
          <w:sz w:val="24"/>
          <w:szCs w:val="24"/>
          <w:color w:val="auto"/>
        </w:rPr>
      </w:pPr>
    </w:p>
    <w:p>
      <w:pPr>
        <w:ind w:left="660" w:hanging="398"/>
        <w:spacing w:after="0"/>
        <w:tabs>
          <w:tab w:leader="none" w:pos="66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000-51315</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CITI TRENDS,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346" w:lineRule="exact"/>
        <w:rPr>
          <w:sz w:val="24"/>
          <w:szCs w:val="24"/>
          <w:color w:val="auto"/>
        </w:rPr>
      </w:pPr>
    </w:p>
    <w:tbl>
      <w:tblPr>
        <w:tblLayout w:type="fixed"/>
        <w:tblInd w:w="1120" w:type="dxa"/>
        <w:tblCellMar>
          <w:top w:w="0" w:type="dxa"/>
          <w:left w:w="0" w:type="dxa"/>
          <w:bottom w:w="0" w:type="dxa"/>
          <w:right w:w="0" w:type="dxa"/>
        </w:tblCellMar>
      </w:tblPr>
      <w:tr>
        <w:trPr>
          <w:trHeight w:val="197"/>
        </w:trPr>
        <w:tc>
          <w:tcPr>
            <w:tcW w:w="4200" w:type="dxa"/>
            <w:vAlign w:val="bottom"/>
          </w:tcPr>
          <w:p>
            <w:pPr>
              <w:jc w:val="center"/>
              <w:ind w:right="1483"/>
              <w:spacing w:after="0"/>
              <w:rPr>
                <w:sz w:val="20"/>
                <w:szCs w:val="20"/>
                <w:color w:val="auto"/>
              </w:rPr>
            </w:pPr>
            <w:r>
              <w:rPr>
                <w:rFonts w:ascii="Arial" w:cs="Arial" w:eastAsia="Arial" w:hAnsi="Arial"/>
                <w:sz w:val="15"/>
                <w:szCs w:val="15"/>
                <w:b w:val="1"/>
                <w:bCs w:val="1"/>
                <w:color w:val="auto"/>
              </w:rPr>
              <w:t>Delaware</w:t>
            </w:r>
          </w:p>
        </w:tc>
        <w:tc>
          <w:tcPr>
            <w:tcW w:w="2780" w:type="dxa"/>
            <w:vAlign w:val="bottom"/>
          </w:tcPr>
          <w:p>
            <w:pPr>
              <w:jc w:val="right"/>
              <w:ind w:right="123"/>
              <w:spacing w:after="0"/>
              <w:rPr>
                <w:sz w:val="20"/>
                <w:szCs w:val="20"/>
                <w:color w:val="auto"/>
              </w:rPr>
            </w:pPr>
            <w:r>
              <w:rPr>
                <w:rFonts w:ascii="Arial" w:cs="Arial" w:eastAsia="Arial" w:hAnsi="Arial"/>
                <w:sz w:val="15"/>
                <w:szCs w:val="15"/>
                <w:b w:val="1"/>
                <w:bCs w:val="1"/>
                <w:color w:val="auto"/>
              </w:rPr>
              <w:t>52-2150697</w:t>
            </w:r>
          </w:p>
        </w:tc>
      </w:tr>
      <w:tr>
        <w:trPr>
          <w:trHeight w:val="179"/>
        </w:trPr>
        <w:tc>
          <w:tcPr>
            <w:tcW w:w="4200" w:type="dxa"/>
            <w:vAlign w:val="bottom"/>
          </w:tcPr>
          <w:p>
            <w:pPr>
              <w:jc w:val="center"/>
              <w:ind w:right="1483"/>
              <w:spacing w:after="0"/>
              <w:rPr>
                <w:sz w:val="20"/>
                <w:szCs w:val="20"/>
                <w:color w:val="auto"/>
              </w:rPr>
            </w:pPr>
            <w:r>
              <w:rPr>
                <w:rFonts w:ascii="Arial" w:cs="Arial" w:eastAsia="Arial" w:hAnsi="Arial"/>
                <w:sz w:val="15"/>
                <w:szCs w:val="15"/>
                <w:color w:val="auto"/>
              </w:rPr>
              <w:t>(State or other jurisdiction of</w:t>
            </w:r>
          </w:p>
        </w:tc>
        <w:tc>
          <w:tcPr>
            <w:tcW w:w="2780" w:type="dxa"/>
            <w:vAlign w:val="bottom"/>
          </w:tcPr>
          <w:p>
            <w:pPr>
              <w:jc w:val="center"/>
              <w:ind w:left="1503"/>
              <w:spacing w:after="0"/>
              <w:rPr>
                <w:sz w:val="20"/>
                <w:szCs w:val="20"/>
                <w:color w:val="auto"/>
              </w:rPr>
            </w:pPr>
            <w:r>
              <w:rPr>
                <w:rFonts w:ascii="Arial" w:cs="Arial" w:eastAsia="Arial" w:hAnsi="Arial"/>
                <w:sz w:val="15"/>
                <w:szCs w:val="15"/>
                <w:color w:val="auto"/>
              </w:rPr>
              <w:t>(I.R.S. Employer</w:t>
            </w:r>
          </w:p>
        </w:tc>
      </w:tr>
      <w:tr>
        <w:trPr>
          <w:trHeight w:val="185"/>
        </w:trPr>
        <w:tc>
          <w:tcPr>
            <w:tcW w:w="4200" w:type="dxa"/>
            <w:vAlign w:val="bottom"/>
          </w:tcPr>
          <w:p>
            <w:pPr>
              <w:jc w:val="center"/>
              <w:ind w:right="1483"/>
              <w:spacing w:after="0"/>
              <w:rPr>
                <w:sz w:val="20"/>
                <w:szCs w:val="20"/>
                <w:color w:val="auto"/>
              </w:rPr>
            </w:pPr>
            <w:r>
              <w:rPr>
                <w:rFonts w:ascii="Arial" w:cs="Arial" w:eastAsia="Arial" w:hAnsi="Arial"/>
                <w:sz w:val="15"/>
                <w:szCs w:val="15"/>
                <w:color w:val="auto"/>
              </w:rPr>
              <w:t>incorporation or organization)</w:t>
            </w:r>
          </w:p>
        </w:tc>
        <w:tc>
          <w:tcPr>
            <w:tcW w:w="2780" w:type="dxa"/>
            <w:vAlign w:val="bottom"/>
          </w:tcPr>
          <w:p>
            <w:pPr>
              <w:jc w:val="center"/>
              <w:ind w:left="1503"/>
              <w:spacing w:after="0"/>
              <w:rPr>
                <w:sz w:val="20"/>
                <w:szCs w:val="20"/>
                <w:color w:val="auto"/>
              </w:rPr>
            </w:pPr>
            <w:r>
              <w:rPr>
                <w:rFonts w:ascii="Arial" w:cs="Arial" w:eastAsia="Arial" w:hAnsi="Arial"/>
                <w:sz w:val="15"/>
                <w:szCs w:val="15"/>
                <w:color w:val="auto"/>
              </w:rPr>
              <w:t>Identification No.)</w:t>
            </w:r>
          </w:p>
        </w:tc>
      </w:tr>
      <w:tr>
        <w:trPr>
          <w:trHeight w:val="513"/>
        </w:trPr>
        <w:tc>
          <w:tcPr>
            <w:tcW w:w="4200" w:type="dxa"/>
            <w:vAlign w:val="bottom"/>
          </w:tcPr>
          <w:p>
            <w:pPr>
              <w:jc w:val="center"/>
              <w:ind w:right="1483"/>
              <w:spacing w:after="0"/>
              <w:rPr>
                <w:sz w:val="20"/>
                <w:szCs w:val="20"/>
                <w:color w:val="auto"/>
              </w:rPr>
            </w:pPr>
            <w:r>
              <w:rPr>
                <w:rFonts w:ascii="Arial" w:cs="Arial" w:eastAsia="Arial" w:hAnsi="Arial"/>
                <w:sz w:val="15"/>
                <w:szCs w:val="15"/>
                <w:b w:val="1"/>
                <w:bCs w:val="1"/>
                <w:color w:val="auto"/>
              </w:rPr>
              <w:t>104 Coleman Boulevard</w:t>
            </w:r>
          </w:p>
        </w:tc>
        <w:tc>
          <w:tcPr>
            <w:tcW w:w="2780" w:type="dxa"/>
            <w:vAlign w:val="bottom"/>
          </w:tcPr>
          <w:p>
            <w:pPr>
              <w:spacing w:after="0"/>
              <w:rPr>
                <w:sz w:val="24"/>
                <w:szCs w:val="24"/>
                <w:color w:val="auto"/>
              </w:rPr>
            </w:pPr>
          </w:p>
        </w:tc>
      </w:tr>
      <w:tr>
        <w:trPr>
          <w:trHeight w:val="197"/>
        </w:trPr>
        <w:tc>
          <w:tcPr>
            <w:tcW w:w="4200" w:type="dxa"/>
            <w:vAlign w:val="bottom"/>
          </w:tcPr>
          <w:p>
            <w:pPr>
              <w:jc w:val="center"/>
              <w:ind w:right="1483"/>
              <w:spacing w:after="0"/>
              <w:rPr>
                <w:sz w:val="20"/>
                <w:szCs w:val="20"/>
                <w:color w:val="auto"/>
              </w:rPr>
            </w:pPr>
            <w:r>
              <w:rPr>
                <w:rFonts w:ascii="Arial" w:cs="Arial" w:eastAsia="Arial" w:hAnsi="Arial"/>
                <w:sz w:val="15"/>
                <w:szCs w:val="15"/>
                <w:b w:val="1"/>
                <w:bCs w:val="1"/>
                <w:color w:val="auto"/>
              </w:rPr>
              <w:t>Savannah, Georgia</w:t>
            </w:r>
          </w:p>
        </w:tc>
        <w:tc>
          <w:tcPr>
            <w:tcW w:w="2780" w:type="dxa"/>
            <w:vAlign w:val="bottom"/>
          </w:tcPr>
          <w:p>
            <w:pPr>
              <w:jc w:val="right"/>
              <w:ind w:right="323"/>
              <w:spacing w:after="0"/>
              <w:rPr>
                <w:sz w:val="20"/>
                <w:szCs w:val="20"/>
                <w:color w:val="auto"/>
              </w:rPr>
            </w:pPr>
            <w:r>
              <w:rPr>
                <w:rFonts w:ascii="Arial" w:cs="Arial" w:eastAsia="Arial" w:hAnsi="Arial"/>
                <w:sz w:val="15"/>
                <w:szCs w:val="15"/>
                <w:b w:val="1"/>
                <w:bCs w:val="1"/>
                <w:color w:val="auto"/>
              </w:rPr>
              <w:t>31408</w:t>
            </w:r>
          </w:p>
        </w:tc>
      </w:tr>
      <w:tr>
        <w:trPr>
          <w:trHeight w:val="185"/>
        </w:trPr>
        <w:tc>
          <w:tcPr>
            <w:tcW w:w="4200" w:type="dxa"/>
            <w:vAlign w:val="bottom"/>
          </w:tcPr>
          <w:p>
            <w:pPr>
              <w:jc w:val="center"/>
              <w:ind w:right="1483"/>
              <w:spacing w:after="0"/>
              <w:rPr>
                <w:sz w:val="20"/>
                <w:szCs w:val="20"/>
                <w:color w:val="auto"/>
              </w:rPr>
            </w:pPr>
            <w:r>
              <w:rPr>
                <w:rFonts w:ascii="Arial" w:cs="Arial" w:eastAsia="Arial" w:hAnsi="Arial"/>
                <w:sz w:val="15"/>
                <w:szCs w:val="15"/>
                <w:color w:val="auto"/>
              </w:rPr>
              <w:t>(Address of principal executive offices)</w:t>
            </w:r>
          </w:p>
        </w:tc>
        <w:tc>
          <w:tcPr>
            <w:tcW w:w="2780" w:type="dxa"/>
            <w:vAlign w:val="bottom"/>
          </w:tcPr>
          <w:p>
            <w:pPr>
              <w:jc w:val="center"/>
              <w:ind w:left="1503"/>
              <w:spacing w:after="0"/>
              <w:rPr>
                <w:sz w:val="20"/>
                <w:szCs w:val="20"/>
                <w:color w:val="auto"/>
              </w:rPr>
            </w:pPr>
            <w:r>
              <w:rPr>
                <w:rFonts w:ascii="Arial" w:cs="Arial" w:eastAsia="Arial" w:hAnsi="Arial"/>
                <w:sz w:val="15"/>
                <w:szCs w:val="15"/>
                <w:color w:val="auto"/>
              </w:rPr>
              <w:t>(Zip Code)</w:t>
            </w:r>
          </w:p>
        </w:tc>
      </w:tr>
    </w:tbl>
    <w:p>
      <w:pPr>
        <w:spacing w:after="0" w:line="155" w:lineRule="exact"/>
        <w:rPr>
          <w:sz w:val="24"/>
          <w:szCs w:val="24"/>
          <w:color w:val="auto"/>
        </w:rPr>
      </w:pPr>
    </w:p>
    <w:p>
      <w:pPr>
        <w:ind w:left="2680"/>
        <w:spacing w:after="0"/>
        <w:rPr>
          <w:sz w:val="20"/>
          <w:szCs w:val="20"/>
          <w:color w:val="auto"/>
        </w:rPr>
      </w:pPr>
      <w:r>
        <w:rPr>
          <w:rFonts w:ascii="Arial" w:cs="Arial" w:eastAsia="Arial" w:hAnsi="Arial"/>
          <w:sz w:val="15"/>
          <w:szCs w:val="15"/>
          <w:color w:val="auto"/>
        </w:rPr>
        <w:t>Registrant’s telephone number, including area code (</w:t>
      </w:r>
      <w:r>
        <w:rPr>
          <w:rFonts w:ascii="Arial" w:cs="Arial" w:eastAsia="Arial" w:hAnsi="Arial"/>
          <w:sz w:val="15"/>
          <w:szCs w:val="15"/>
          <w:b w:val="1"/>
          <w:bCs w:val="1"/>
          <w:color w:val="auto"/>
        </w:rPr>
        <w:t>912) 236-1561</w:t>
      </w:r>
    </w:p>
    <w:p>
      <w:pPr>
        <w:spacing w:after="0" w:line="203"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63" w:lineRule="exact"/>
        <w:rPr>
          <w:sz w:val="24"/>
          <w:szCs w:val="24"/>
          <w:color w:val="auto"/>
        </w:rPr>
      </w:pPr>
    </w:p>
    <w:tbl>
      <w:tblPr>
        <w:tblLayout w:type="fixed"/>
        <w:tblInd w:w="10" w:type="dxa"/>
        <w:tblCellMar>
          <w:top w:w="0" w:type="dxa"/>
          <w:left w:w="0" w:type="dxa"/>
          <w:bottom w:w="0" w:type="dxa"/>
          <w:right w:w="0" w:type="dxa"/>
        </w:tblCellMar>
      </w:tblPr>
      <w:tr>
        <w:trPr>
          <w:trHeight w:val="192"/>
        </w:trPr>
        <w:tc>
          <w:tcPr>
            <w:tcW w:w="340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160" w:type="dxa"/>
            <w:vAlign w:val="bottom"/>
            <w:tcBorders>
              <w:top w:val="single" w:sz="8" w:color="auto"/>
            </w:tcBorders>
          </w:tcPr>
          <w:p>
            <w:pPr>
              <w:spacing w:after="0"/>
              <w:rPr>
                <w:sz w:val="16"/>
                <w:szCs w:val="16"/>
                <w:color w:val="auto"/>
              </w:rPr>
            </w:pPr>
          </w:p>
        </w:tc>
        <w:tc>
          <w:tcPr>
            <w:tcW w:w="2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w:t>
            </w:r>
          </w:p>
        </w:tc>
        <w:tc>
          <w:tcPr>
            <w:tcW w:w="140" w:type="dxa"/>
            <w:vAlign w:val="bottom"/>
            <w:tcBorders>
              <w:top w:val="single" w:sz="8" w:color="auto"/>
            </w:tcBorders>
          </w:tcPr>
          <w:p>
            <w:pPr>
              <w:spacing w:after="0"/>
              <w:rPr>
                <w:sz w:val="16"/>
                <w:szCs w:val="16"/>
                <w:color w:val="auto"/>
              </w:rPr>
            </w:pPr>
          </w:p>
        </w:tc>
        <w:tc>
          <w:tcPr>
            <w:tcW w:w="4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172"/>
        </w:trPr>
        <w:tc>
          <w:tcPr>
            <w:tcW w:w="3560" w:type="dxa"/>
            <w:vAlign w:val="bottom"/>
            <w:tcBorders>
              <w:left w:val="single" w:sz="8" w:color="auto"/>
              <w:bottom w:val="single" w:sz="8" w:color="auto"/>
            </w:tcBorders>
            <w:gridSpan w:val="2"/>
          </w:tcPr>
          <w:p>
            <w:pPr>
              <w:jc w:val="center"/>
              <w:ind w:right="140"/>
              <w:spacing w:after="0"/>
              <w:rPr>
                <w:sz w:val="20"/>
                <w:szCs w:val="20"/>
                <w:color w:val="auto"/>
              </w:rPr>
            </w:pPr>
            <w:r>
              <w:rPr>
                <w:rFonts w:ascii="Arial" w:cs="Arial" w:eastAsia="Arial" w:hAnsi="Arial"/>
                <w:sz w:val="15"/>
                <w:szCs w:val="15"/>
                <w:color w:val="auto"/>
              </w:rPr>
              <w:t>Common Stock, $0.01 par value</w:t>
            </w:r>
          </w:p>
        </w:tc>
        <w:tc>
          <w:tcPr>
            <w:tcW w:w="21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5"/>
                <w:szCs w:val="15"/>
                <w:color w:val="auto"/>
              </w:rPr>
              <w:t>CTRN</w:t>
            </w:r>
          </w:p>
        </w:tc>
        <w:tc>
          <w:tcPr>
            <w:tcW w:w="4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NASDAQ Stock Market</w:t>
            </w:r>
          </w:p>
        </w:tc>
      </w:tr>
    </w:tbl>
    <w:p>
      <w:pPr>
        <w:spacing w:after="0" w:line="181" w:lineRule="exact"/>
        <w:rPr>
          <w:sz w:val="24"/>
          <w:szCs w:val="24"/>
          <w:color w:val="auto"/>
        </w:rPr>
      </w:pPr>
    </w:p>
    <w:p>
      <w:pPr>
        <w:jc w:val="both"/>
        <w:ind w:right="100"/>
        <w:spacing w:after="0" w:line="187"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7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w:t>
      </w:r>
    </w:p>
    <w:p>
      <w:pPr>
        <w:spacing w:after="0" w:line="6" w:lineRule="exact"/>
        <w:rPr>
          <w:sz w:val="24"/>
          <w:szCs w:val="24"/>
          <w:color w:val="auto"/>
        </w:rPr>
      </w:pPr>
    </w:p>
    <w:p>
      <w:pPr>
        <w:jc w:val="both"/>
        <w:ind w:right="120"/>
        <w:spacing w:after="0" w:line="190" w:lineRule="exact"/>
        <w:rPr>
          <w:sz w:val="20"/>
          <w:szCs w:val="20"/>
          <w:color w:val="auto"/>
        </w:rPr>
      </w:pPr>
      <w:r>
        <w:rPr>
          <w:rFonts w:ascii="Arial" w:cs="Arial" w:eastAsia="Arial" w:hAnsi="Arial"/>
          <w:sz w:val="15"/>
          <w:szCs w:val="15"/>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70" w:lineRule="exact"/>
        <w:rPr>
          <w:sz w:val="24"/>
          <w:szCs w:val="24"/>
          <w:color w:val="auto"/>
        </w:rPr>
      </w:pPr>
    </w:p>
    <w:p>
      <w:pPr>
        <w:ind w:right="20"/>
        <w:spacing w:after="0" w:line="25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34" w:right="999" w:bottom="1440" w:gutter="0" w:footer="0" w:header="0"/>
        </w:sectPr>
      </w:pPr>
    </w:p>
    <w:p>
      <w:pPr>
        <w:spacing w:after="0" w:line="12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200"/>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98" w:lineRule="exact"/>
        <w:rPr>
          <w:sz w:val="24"/>
          <w:szCs w:val="24"/>
          <w:color w:val="auto"/>
        </w:rPr>
      </w:pPr>
    </w:p>
    <w:p>
      <w:pPr>
        <w:sectPr>
          <w:pgSz w:w="11900" w:h="16838" w:orient="portrait"/>
          <w:cols w:equalWidth="0" w:num="3">
            <w:col w:w="2880" w:space="720"/>
            <w:col w:w="2540" w:space="720"/>
            <w:col w:w="3060"/>
          </w:cols>
          <w:pgMar w:left="980" w:top="634" w:right="999" w:bottom="1440" w:gutter="0" w:footer="0" w:header="0"/>
          <w:type w:val="continuous"/>
        </w:sect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2">
            <w:col w:w="6140" w:space="720"/>
            <w:col w:w="3060"/>
          </w:cols>
          <w:pgMar w:left="980" w:top="634" w:right="999" w:bottom="1440" w:gutter="0" w:footer="0" w:header="0"/>
          <w:type w:val="continuous"/>
        </w:sectPr>
      </w:pPr>
    </w:p>
    <w:p>
      <w:pPr>
        <w:spacing w:after="0" w:line="38" w:lineRule="exact"/>
        <w:rPr>
          <w:sz w:val="24"/>
          <w:szCs w:val="24"/>
          <w:color w:val="auto"/>
        </w:rPr>
      </w:pPr>
    </w:p>
    <w:p>
      <w:pPr>
        <w:ind w:right="200"/>
        <w:spacing w:after="0" w:line="19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3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5"/>
          <w:szCs w:val="15"/>
          <w:color w:val="auto"/>
        </w:rPr>
        <w:t>As of May 17, 2021, the registrant had 9,287,006 outstanding shares of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506095</wp:posOffset>
            </wp:positionV>
            <wp:extent cx="629602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6025" cy="165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149225</wp:posOffset>
            </wp:positionV>
            <wp:extent cx="629602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6025" cy="323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132715</wp:posOffset>
            </wp:positionV>
            <wp:extent cx="62960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6025" cy="8255"/>
                    </a:xfrm>
                    <a:prstGeom prst="rect">
                      <a:avLst/>
                    </a:prstGeom>
                    <a:noFill/>
                  </pic:spPr>
                </pic:pic>
              </a:graphicData>
            </a:graphic>
          </wp:anchor>
        </w:drawing>
      </w:r>
    </w:p>
    <w:p>
      <w:pPr>
        <w:sectPr>
          <w:pgSz w:w="11900" w:h="16838" w:orient="portrait"/>
          <w:cols w:equalWidth="0" w:num="1">
            <w:col w:w="9920"/>
          </w:cols>
          <w:pgMar w:left="980" w:top="634" w:right="999" w:bottom="1440" w:gutter="0" w:footer="0" w:header="0"/>
          <w:type w:val="continuous"/>
        </w:sectPr>
      </w:pPr>
    </w:p>
    <w:bookmarkStart w:id="1" w:name="page2"/>
    <w:bookmarkEnd w:id="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gridSpan w:val="11"/>
          </w:tcPr>
          <w:p>
            <w:pPr>
              <w:jc w:val="center"/>
              <w:ind w:right="3020"/>
              <w:spacing w:after="0"/>
              <w:rPr>
                <w:sz w:val="20"/>
                <w:szCs w:val="20"/>
                <w:color w:val="auto"/>
              </w:rPr>
            </w:pPr>
            <w:r>
              <w:rPr>
                <w:rFonts w:ascii="Arial" w:cs="Arial" w:eastAsia="Arial" w:hAnsi="Arial"/>
                <w:sz w:val="15"/>
                <w:szCs w:val="15"/>
                <w:b w:val="1"/>
                <w:bCs w:val="1"/>
                <w:color w:val="auto"/>
              </w:rPr>
              <w:t>CITI TRENDS, INC.</w:t>
            </w:r>
          </w:p>
        </w:tc>
        <w:tc>
          <w:tcPr>
            <w:tcW w:w="860" w:type="dxa"/>
            <w:vAlign w:val="bottom"/>
          </w:tcPr>
          <w:p>
            <w:pPr>
              <w:spacing w:after="0"/>
              <w:rPr>
                <w:sz w:val="14"/>
                <w:szCs w:val="14"/>
                <w:color w:val="auto"/>
              </w:rPr>
            </w:pPr>
          </w:p>
        </w:tc>
      </w:tr>
      <w:tr>
        <w:trPr>
          <w:trHeight w:val="184"/>
        </w:trPr>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6"/>
          </w:tcPr>
          <w:p>
            <w:pPr>
              <w:jc w:val="center"/>
              <w:ind w:right="20"/>
              <w:spacing w:after="0"/>
              <w:rPr>
                <w:sz w:val="20"/>
                <w:szCs w:val="20"/>
                <w:color w:val="auto"/>
              </w:rPr>
            </w:pPr>
            <w:r>
              <w:rPr>
                <w:rFonts w:ascii="Arial" w:cs="Arial" w:eastAsia="Arial" w:hAnsi="Arial"/>
                <w:sz w:val="15"/>
                <w:szCs w:val="15"/>
                <w:b w:val="1"/>
                <w:bCs w:val="1"/>
                <w:color w:val="auto"/>
              </w:rPr>
              <w:t>FORM 10-Q</w:t>
            </w:r>
          </w:p>
        </w:tc>
        <w:tc>
          <w:tcPr>
            <w:tcW w:w="240" w:type="dxa"/>
            <w:vAlign w:val="bottom"/>
            <w:tcBorders>
              <w:top w:val="single" w:sz="8" w:color="auto"/>
            </w:tcBorders>
          </w:tcPr>
          <w:p>
            <w:pPr>
              <w:spacing w:after="0"/>
              <w:rPr>
                <w:sz w:val="16"/>
                <w:szCs w:val="16"/>
                <w:color w:val="auto"/>
              </w:rPr>
            </w:pPr>
          </w:p>
        </w:tc>
        <w:tc>
          <w:tcPr>
            <w:tcW w:w="302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r>
      <w:tr>
        <w:trPr>
          <w:trHeight w:val="172"/>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580" w:type="dxa"/>
            <w:vAlign w:val="bottom"/>
            <w:gridSpan w:val="13"/>
          </w:tcPr>
          <w:p>
            <w:pPr>
              <w:jc w:val="center"/>
              <w:ind w:right="2820"/>
              <w:spacing w:after="0"/>
              <w:rPr>
                <w:sz w:val="20"/>
                <w:szCs w:val="20"/>
                <w:color w:val="auto"/>
              </w:rPr>
            </w:pPr>
            <w:r>
              <w:rPr>
                <w:rFonts w:ascii="Arial" w:cs="Arial" w:eastAsia="Arial" w:hAnsi="Arial"/>
                <w:sz w:val="15"/>
                <w:szCs w:val="15"/>
                <w:b w:val="1"/>
                <w:bCs w:val="1"/>
                <w:color w:val="auto"/>
              </w:rPr>
              <w:t>TABLE OF CONTENTS</w:t>
            </w:r>
          </w:p>
        </w:tc>
        <w:tc>
          <w:tcPr>
            <w:tcW w:w="860" w:type="dxa"/>
            <w:vAlign w:val="bottom"/>
          </w:tcPr>
          <w:p>
            <w:pPr>
              <w:spacing w:after="0"/>
              <w:rPr>
                <w:sz w:val="14"/>
                <w:szCs w:val="14"/>
                <w:color w:val="auto"/>
              </w:rPr>
            </w:pPr>
          </w:p>
        </w:tc>
      </w:tr>
      <w:tr>
        <w:trPr>
          <w:trHeight w:val="243"/>
        </w:trPr>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60" w:type="dxa"/>
            <w:vAlign w:val="bottom"/>
          </w:tcPr>
          <w:p>
            <w:pPr>
              <w:jc w:val="right"/>
              <w:ind w:right="143"/>
              <w:spacing w:after="0"/>
              <w:rPr>
                <w:sz w:val="20"/>
                <w:szCs w:val="20"/>
                <w:color w:val="auto"/>
              </w:rPr>
            </w:pPr>
            <w:r>
              <w:rPr>
                <w:rFonts w:ascii="Arial" w:cs="Arial" w:eastAsia="Arial" w:hAnsi="Arial"/>
                <w:sz w:val="15"/>
                <w:szCs w:val="15"/>
                <w:b w:val="1"/>
                <w:bCs w:val="1"/>
                <w:color w:val="auto"/>
              </w:rPr>
              <w:t>PAGE</w:t>
            </w:r>
          </w:p>
        </w:tc>
      </w:tr>
      <w:tr>
        <w:trPr>
          <w:trHeight w:val="228"/>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NUMBER</w:t>
            </w:r>
          </w:p>
        </w:tc>
      </w:tr>
      <w:tr>
        <w:trPr>
          <w:trHeight w:val="166"/>
        </w:trPr>
        <w:tc>
          <w:tcPr>
            <w:tcW w:w="480" w:type="dxa"/>
            <w:vAlign w:val="bottom"/>
            <w:tcBorders>
              <w:bottom w:val="single" w:sz="8" w:color="0000EE"/>
            </w:tcBorders>
            <w:gridSpan w:val="3"/>
          </w:tcPr>
          <w:p>
            <w:pPr>
              <w:spacing w:after="0" w:line="167" w:lineRule="exact"/>
              <w:rPr>
                <w:rFonts w:ascii="Arial" w:cs="Arial" w:eastAsia="Arial" w:hAnsi="Arial"/>
                <w:sz w:val="15"/>
                <w:szCs w:val="15"/>
                <w:color w:val="0000EE"/>
                <w:w w:val="95"/>
              </w:rPr>
            </w:pPr>
            <w:hyperlink w:anchor="page3">
              <w:r>
                <w:rPr>
                  <w:rFonts w:ascii="Arial" w:cs="Arial" w:eastAsia="Arial" w:hAnsi="Arial"/>
                  <w:sz w:val="15"/>
                  <w:szCs w:val="15"/>
                  <w:color w:val="0000EE"/>
                  <w:w w:val="95"/>
                </w:rPr>
                <w:t>PART I</w:t>
              </w:r>
            </w:hyperlink>
          </w:p>
        </w:tc>
        <w:tc>
          <w:tcPr>
            <w:tcW w:w="360" w:type="dxa"/>
            <w:vAlign w:val="bottom"/>
            <w:gridSpan w:val="3"/>
          </w:tcPr>
          <w:p>
            <w:pPr>
              <w:spacing w:after="0"/>
              <w:rPr>
                <w:sz w:val="14"/>
                <w:szCs w:val="14"/>
                <w:color w:val="auto"/>
              </w:rPr>
            </w:pPr>
          </w:p>
        </w:tc>
        <w:tc>
          <w:tcPr>
            <w:tcW w:w="1920" w:type="dxa"/>
            <w:vAlign w:val="bottom"/>
            <w:tcBorders>
              <w:bottom w:val="single" w:sz="8" w:color="0000EE"/>
            </w:tcBorders>
            <w:gridSpan w:val="8"/>
          </w:tcPr>
          <w:p>
            <w:pPr>
              <w:spacing w:after="0" w:line="167" w:lineRule="exact"/>
              <w:rPr>
                <w:rFonts w:ascii="Arial" w:cs="Arial" w:eastAsia="Arial" w:hAnsi="Arial"/>
                <w:sz w:val="15"/>
                <w:szCs w:val="15"/>
                <w:color w:val="0000EE"/>
              </w:rPr>
            </w:pPr>
            <w:hyperlink w:anchor="page3">
              <w:r>
                <w:rPr>
                  <w:rFonts w:ascii="Arial" w:cs="Arial" w:eastAsia="Arial" w:hAnsi="Arial"/>
                  <w:sz w:val="15"/>
                  <w:szCs w:val="15"/>
                  <w:color w:val="0000EE"/>
                </w:rPr>
                <w:t>FINANCIAL INFORMATION</w:t>
              </w:r>
            </w:hyperlink>
          </w:p>
        </w:tc>
        <w:tc>
          <w:tcPr>
            <w:tcW w:w="5500" w:type="dxa"/>
            <w:vAlign w:val="bottom"/>
            <w:gridSpan w:val="16"/>
          </w:tcPr>
          <w:p>
            <w:pPr>
              <w:spacing w:after="0"/>
              <w:rPr>
                <w:sz w:val="14"/>
                <w:szCs w:val="14"/>
                <w:color w:val="auto"/>
              </w:rPr>
            </w:pPr>
          </w:p>
        </w:tc>
        <w:tc>
          <w:tcPr>
            <w:tcW w:w="860" w:type="dxa"/>
            <w:vAlign w:val="bottom"/>
          </w:tcPr>
          <w:p>
            <w:pPr>
              <w:spacing w:after="0"/>
              <w:rPr>
                <w:sz w:val="14"/>
                <w:szCs w:val="14"/>
                <w:color w:val="auto"/>
              </w:rPr>
            </w:pPr>
          </w:p>
        </w:tc>
      </w:tr>
      <w:tr>
        <w:trPr>
          <w:trHeight w:val="414"/>
        </w:trPr>
        <w:tc>
          <w:tcPr>
            <w:tcW w:w="840" w:type="dxa"/>
            <w:vAlign w:val="bottom"/>
            <w:gridSpan w:val="6"/>
          </w:tcPr>
          <w:p>
            <w:pPr>
              <w:spacing w:after="0"/>
              <w:rPr>
                <w:rFonts w:ascii="Arial" w:cs="Arial" w:eastAsia="Arial" w:hAnsi="Arial"/>
                <w:sz w:val="15"/>
                <w:szCs w:val="15"/>
                <w:color w:val="0000EE"/>
              </w:rPr>
            </w:pPr>
            <w:hyperlink w:anchor="page3">
              <w:r>
                <w:rPr>
                  <w:rFonts w:ascii="Arial" w:cs="Arial" w:eastAsia="Arial" w:hAnsi="Arial"/>
                  <w:sz w:val="15"/>
                  <w:szCs w:val="15"/>
                  <w:color w:val="0000EE"/>
                </w:rPr>
                <w:t>Item 1</w:t>
              </w:r>
            </w:hyperlink>
          </w:p>
        </w:tc>
        <w:tc>
          <w:tcPr>
            <w:tcW w:w="7420" w:type="dxa"/>
            <w:vAlign w:val="bottom"/>
            <w:gridSpan w:val="24"/>
          </w:tcPr>
          <w:p>
            <w:pPr>
              <w:spacing w:after="0"/>
              <w:rPr>
                <w:rFonts w:ascii="Arial" w:cs="Arial" w:eastAsia="Arial" w:hAnsi="Arial"/>
                <w:sz w:val="15"/>
                <w:szCs w:val="15"/>
                <w:color w:val="0000EE"/>
              </w:rPr>
            </w:pPr>
            <w:hyperlink w:anchor="page3">
              <w:r>
                <w:rPr>
                  <w:rFonts w:ascii="Arial" w:cs="Arial" w:eastAsia="Arial" w:hAnsi="Arial"/>
                  <w:sz w:val="15"/>
                  <w:szCs w:val="15"/>
                  <w:color w:val="0000EE"/>
                </w:rPr>
                <w:t>Financial Statements (unaudited)</w:t>
              </w:r>
            </w:hyperlink>
          </w:p>
        </w:tc>
        <w:tc>
          <w:tcPr>
            <w:tcW w:w="86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20" w:type="dxa"/>
            <w:vAlign w:val="bottom"/>
            <w:gridSpan w:val="24"/>
          </w:tcPr>
          <w:p>
            <w:pPr>
              <w:spacing w:after="0"/>
              <w:rPr>
                <w:rFonts w:ascii="Arial" w:cs="Arial" w:eastAsia="Arial" w:hAnsi="Arial"/>
                <w:sz w:val="15"/>
                <w:szCs w:val="15"/>
                <w:color w:val="0000EE"/>
              </w:rPr>
            </w:pPr>
            <w:hyperlink w:anchor="page3">
              <w:r>
                <w:rPr>
                  <w:rFonts w:ascii="Arial" w:cs="Arial" w:eastAsia="Arial" w:hAnsi="Arial"/>
                  <w:sz w:val="15"/>
                  <w:szCs w:val="15"/>
                  <w:color w:val="0000EE"/>
                </w:rPr>
                <w:t>Condensed Consolidated Balance Sheets</w:t>
              </w:r>
            </w:hyperlink>
          </w:p>
        </w:tc>
        <w:tc>
          <w:tcPr>
            <w:tcW w:w="86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20" w:type="dxa"/>
            <w:vAlign w:val="bottom"/>
            <w:gridSpan w:val="24"/>
          </w:tcPr>
          <w:p>
            <w:pPr>
              <w:spacing w:after="0"/>
              <w:rPr>
                <w:rFonts w:ascii="Arial" w:cs="Arial" w:eastAsia="Arial" w:hAnsi="Arial"/>
                <w:sz w:val="15"/>
                <w:szCs w:val="15"/>
                <w:color w:val="0000EE"/>
              </w:rPr>
            </w:pPr>
            <w:hyperlink w:anchor="page4">
              <w:r>
                <w:rPr>
                  <w:rFonts w:ascii="Arial" w:cs="Arial" w:eastAsia="Arial" w:hAnsi="Arial"/>
                  <w:sz w:val="15"/>
                  <w:szCs w:val="15"/>
                  <w:color w:val="0000EE"/>
                </w:rPr>
                <w:t>Condensed Consolidated Statements of Operations</w:t>
              </w:r>
            </w:hyperlink>
          </w:p>
        </w:tc>
        <w:tc>
          <w:tcPr>
            <w:tcW w:w="8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60" w:type="dxa"/>
            <w:vAlign w:val="bottom"/>
            <w:tcBorders>
              <w:bottom w:val="single" w:sz="8" w:color="0000EE"/>
            </w:tcBorders>
            <w:gridSpan w:val="16"/>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Condensed Consolidated Statements of Cash Flows</w:t>
              </w:r>
            </w:hyperlink>
          </w:p>
        </w:tc>
        <w:tc>
          <w:tcPr>
            <w:tcW w:w="3860" w:type="dxa"/>
            <w:vAlign w:val="bottom"/>
            <w:gridSpan w:val="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41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tcBorders>
              <w:bottom w:val="single" w:sz="8" w:color="0000EE"/>
            </w:tcBorders>
            <w:gridSpan w:val="20"/>
          </w:tcPr>
          <w:p>
            <w:pPr>
              <w:spacing w:after="0"/>
              <w:rPr>
                <w:rFonts w:ascii="Arial" w:cs="Arial" w:eastAsia="Arial" w:hAnsi="Arial"/>
                <w:sz w:val="15"/>
                <w:szCs w:val="15"/>
                <w:color w:val="0000EE"/>
              </w:rPr>
            </w:pPr>
            <w:hyperlink w:anchor="page6">
              <w:r>
                <w:rPr>
                  <w:rFonts w:ascii="Arial" w:cs="Arial" w:eastAsia="Arial" w:hAnsi="Arial"/>
                  <w:sz w:val="15"/>
                  <w:szCs w:val="15"/>
                  <w:color w:val="0000EE"/>
                </w:rPr>
                <w:t>Condensed Consolidated Statements of Stockholders’ Equity</w:t>
              </w:r>
            </w:hyperlink>
          </w:p>
        </w:tc>
        <w:tc>
          <w:tcPr>
            <w:tcW w:w="326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41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80" w:type="dxa"/>
            <w:vAlign w:val="bottom"/>
            <w:tcBorders>
              <w:bottom w:val="single" w:sz="8" w:color="0000EE"/>
            </w:tcBorders>
            <w:gridSpan w:val="18"/>
          </w:tcPr>
          <w:p>
            <w:pPr>
              <w:spacing w:after="0"/>
              <w:rPr>
                <w:rFonts w:ascii="Arial" w:cs="Arial" w:eastAsia="Arial" w:hAnsi="Arial"/>
                <w:sz w:val="15"/>
                <w:szCs w:val="15"/>
                <w:color w:val="0000EE"/>
              </w:rPr>
            </w:pPr>
            <w:hyperlink w:anchor="page7">
              <w:r>
                <w:rPr>
                  <w:rFonts w:ascii="Arial" w:cs="Arial" w:eastAsia="Arial" w:hAnsi="Arial"/>
                  <w:sz w:val="15"/>
                  <w:szCs w:val="15"/>
                  <w:color w:val="0000EE"/>
                </w:rPr>
                <w:t>Notes to the Condensed Consolidated Financial Statements</w:t>
              </w:r>
            </w:hyperlink>
          </w:p>
        </w:tc>
        <w:tc>
          <w:tcPr>
            <w:tcW w:w="334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414"/>
        </w:trPr>
        <w:tc>
          <w:tcPr>
            <w:tcW w:w="440" w:type="dxa"/>
            <w:vAlign w:val="bottom"/>
            <w:tcBorders>
              <w:bottom w:val="single" w:sz="8" w:color="0000EE"/>
            </w:tcBorders>
            <w:gridSpan w:val="2"/>
          </w:tcPr>
          <w:p>
            <w:pPr>
              <w:spacing w:after="0"/>
              <w:rPr>
                <w:rFonts w:ascii="Arial" w:cs="Arial" w:eastAsia="Arial" w:hAnsi="Arial"/>
                <w:sz w:val="15"/>
                <w:szCs w:val="15"/>
                <w:color w:val="0000EE"/>
              </w:rPr>
            </w:pPr>
            <w:hyperlink w:anchor="page12">
              <w:r>
                <w:rPr>
                  <w:rFonts w:ascii="Arial" w:cs="Arial" w:eastAsia="Arial" w:hAnsi="Arial"/>
                  <w:sz w:val="15"/>
                  <w:szCs w:val="15"/>
                  <w:color w:val="0000EE"/>
                </w:rPr>
                <w:t>Item 2</w:t>
              </w:r>
            </w:hyperlink>
          </w:p>
        </w:tc>
        <w:tc>
          <w:tcPr>
            <w:tcW w:w="400" w:type="dxa"/>
            <w:vAlign w:val="bottom"/>
            <w:gridSpan w:val="4"/>
          </w:tcPr>
          <w:p>
            <w:pPr>
              <w:spacing w:after="0"/>
              <w:rPr>
                <w:sz w:val="24"/>
                <w:szCs w:val="24"/>
                <w:color w:val="auto"/>
              </w:rPr>
            </w:pPr>
          </w:p>
        </w:tc>
        <w:tc>
          <w:tcPr>
            <w:tcW w:w="6040" w:type="dxa"/>
            <w:vAlign w:val="bottom"/>
            <w:tcBorders>
              <w:bottom w:val="single" w:sz="8" w:color="0000EE"/>
            </w:tcBorders>
            <w:gridSpan w:val="23"/>
          </w:tcPr>
          <w:p>
            <w:pPr>
              <w:spacing w:after="0"/>
              <w:rPr>
                <w:rFonts w:ascii="Arial" w:cs="Arial" w:eastAsia="Arial" w:hAnsi="Arial"/>
                <w:sz w:val="15"/>
                <w:szCs w:val="15"/>
                <w:color w:val="0000EE"/>
              </w:rPr>
            </w:pPr>
            <w:hyperlink w:anchor="page12">
              <w:r>
                <w:rPr>
                  <w:rFonts w:ascii="Arial" w:cs="Arial" w:eastAsia="Arial" w:hAnsi="Arial"/>
                  <w:sz w:val="15"/>
                  <w:szCs w:val="15"/>
                  <w:color w:val="0000EE"/>
                </w:rPr>
                <w:t>Management’s Discussion and Analysis of Financial Condition and Results of Operations</w:t>
              </w:r>
            </w:hyperlink>
          </w:p>
        </w:tc>
        <w:tc>
          <w:tcPr>
            <w:tcW w:w="1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414"/>
        </w:trPr>
        <w:tc>
          <w:tcPr>
            <w:tcW w:w="440" w:type="dxa"/>
            <w:vAlign w:val="bottom"/>
            <w:tcBorders>
              <w:bottom w:val="single" w:sz="8" w:color="0000EE"/>
            </w:tcBorders>
            <w:gridSpan w:val="2"/>
          </w:tcPr>
          <w:p>
            <w:pPr>
              <w:spacing w:after="0"/>
              <w:rPr>
                <w:rFonts w:ascii="Arial" w:cs="Arial" w:eastAsia="Arial" w:hAnsi="Arial"/>
                <w:sz w:val="15"/>
                <w:szCs w:val="15"/>
                <w:color w:val="0000EE"/>
              </w:rPr>
            </w:pPr>
            <w:hyperlink w:anchor="page15">
              <w:r>
                <w:rPr>
                  <w:rFonts w:ascii="Arial" w:cs="Arial" w:eastAsia="Arial" w:hAnsi="Arial"/>
                  <w:sz w:val="15"/>
                  <w:szCs w:val="15"/>
                  <w:color w:val="0000EE"/>
                </w:rPr>
                <w:t>Item 3</w:t>
              </w:r>
            </w:hyperlink>
          </w:p>
        </w:tc>
        <w:tc>
          <w:tcPr>
            <w:tcW w:w="400" w:type="dxa"/>
            <w:vAlign w:val="bottom"/>
            <w:gridSpan w:val="4"/>
          </w:tcPr>
          <w:p>
            <w:pPr>
              <w:spacing w:after="0"/>
              <w:rPr>
                <w:sz w:val="24"/>
                <w:szCs w:val="24"/>
                <w:color w:val="auto"/>
              </w:rPr>
            </w:pPr>
          </w:p>
        </w:tc>
        <w:tc>
          <w:tcPr>
            <w:tcW w:w="4020" w:type="dxa"/>
            <w:vAlign w:val="bottom"/>
            <w:tcBorders>
              <w:bottom w:val="single" w:sz="8" w:color="0000EE"/>
            </w:tcBorders>
            <w:gridSpan w:val="17"/>
          </w:tcPr>
          <w:p>
            <w:pPr>
              <w:spacing w:after="0"/>
              <w:rPr>
                <w:rFonts w:ascii="Arial" w:cs="Arial" w:eastAsia="Arial" w:hAnsi="Arial"/>
                <w:sz w:val="15"/>
                <w:szCs w:val="15"/>
                <w:color w:val="0000EE"/>
              </w:rPr>
            </w:pPr>
            <w:hyperlink w:anchor="page15">
              <w:r>
                <w:rPr>
                  <w:rFonts w:ascii="Arial" w:cs="Arial" w:eastAsia="Arial" w:hAnsi="Arial"/>
                  <w:sz w:val="15"/>
                  <w:szCs w:val="15"/>
                  <w:color w:val="0000EE"/>
                </w:rPr>
                <w:t>Quantitative and Qualitative Disclosures About Market Risk</w:t>
              </w:r>
            </w:hyperlink>
          </w:p>
        </w:tc>
        <w:tc>
          <w:tcPr>
            <w:tcW w:w="340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414"/>
        </w:trPr>
        <w:tc>
          <w:tcPr>
            <w:tcW w:w="840" w:type="dxa"/>
            <w:vAlign w:val="bottom"/>
            <w:gridSpan w:val="6"/>
          </w:tcPr>
          <w:p>
            <w:pPr>
              <w:spacing w:after="0"/>
              <w:rPr>
                <w:rFonts w:ascii="Arial" w:cs="Arial" w:eastAsia="Arial" w:hAnsi="Arial"/>
                <w:sz w:val="15"/>
                <w:szCs w:val="15"/>
                <w:color w:val="0000EE"/>
              </w:rPr>
            </w:pPr>
            <w:hyperlink w:anchor="page16">
              <w:r>
                <w:rPr>
                  <w:rFonts w:ascii="Arial" w:cs="Arial" w:eastAsia="Arial" w:hAnsi="Arial"/>
                  <w:sz w:val="15"/>
                  <w:szCs w:val="15"/>
                  <w:color w:val="0000EE"/>
                </w:rPr>
                <w:t>Item 4</w:t>
              </w:r>
            </w:hyperlink>
          </w:p>
        </w:tc>
        <w:tc>
          <w:tcPr>
            <w:tcW w:w="7420" w:type="dxa"/>
            <w:vAlign w:val="bottom"/>
            <w:gridSpan w:val="24"/>
          </w:tcPr>
          <w:p>
            <w:pPr>
              <w:spacing w:after="0"/>
              <w:rPr>
                <w:rFonts w:ascii="Arial" w:cs="Arial" w:eastAsia="Arial" w:hAnsi="Arial"/>
                <w:sz w:val="15"/>
                <w:szCs w:val="15"/>
                <w:color w:val="0000EE"/>
              </w:rPr>
            </w:pPr>
            <w:hyperlink w:anchor="page16">
              <w:r>
                <w:rPr>
                  <w:rFonts w:ascii="Arial" w:cs="Arial" w:eastAsia="Arial" w:hAnsi="Arial"/>
                  <w:sz w:val="15"/>
                  <w:szCs w:val="15"/>
                  <w:color w:val="0000EE"/>
                </w:rPr>
                <w:t>Controls and Procedures</w:t>
              </w:r>
            </w:hyperlink>
          </w:p>
        </w:tc>
        <w:tc>
          <w:tcPr>
            <w:tcW w:w="86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0"/>
        </w:trPr>
        <w:tc>
          <w:tcPr>
            <w:tcW w:w="42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4"/>
        </w:trPr>
        <w:tc>
          <w:tcPr>
            <w:tcW w:w="840" w:type="dxa"/>
            <w:vAlign w:val="bottom"/>
            <w:gridSpan w:val="6"/>
          </w:tcPr>
          <w:p>
            <w:pPr>
              <w:spacing w:after="0"/>
              <w:rPr>
                <w:rFonts w:ascii="Arial" w:cs="Arial" w:eastAsia="Arial" w:hAnsi="Arial"/>
                <w:sz w:val="15"/>
                <w:szCs w:val="15"/>
                <w:color w:val="0000EE"/>
              </w:rPr>
            </w:pPr>
            <w:hyperlink w:anchor="page16">
              <w:r>
                <w:rPr>
                  <w:rFonts w:ascii="Arial" w:cs="Arial" w:eastAsia="Arial" w:hAnsi="Arial"/>
                  <w:sz w:val="15"/>
                  <w:szCs w:val="15"/>
                  <w:color w:val="0000EE"/>
                </w:rPr>
                <w:t>PART II</w:t>
              </w:r>
            </w:hyperlink>
          </w:p>
        </w:tc>
        <w:tc>
          <w:tcPr>
            <w:tcW w:w="7420" w:type="dxa"/>
            <w:vAlign w:val="bottom"/>
            <w:gridSpan w:val="24"/>
          </w:tcPr>
          <w:p>
            <w:pPr>
              <w:spacing w:after="0"/>
              <w:rPr>
                <w:rFonts w:ascii="Arial" w:cs="Arial" w:eastAsia="Arial" w:hAnsi="Arial"/>
                <w:sz w:val="15"/>
                <w:szCs w:val="15"/>
                <w:color w:val="0000EE"/>
              </w:rPr>
            </w:pPr>
            <w:hyperlink w:anchor="page16">
              <w:r>
                <w:rPr>
                  <w:rFonts w:ascii="Arial" w:cs="Arial" w:eastAsia="Arial" w:hAnsi="Arial"/>
                  <w:sz w:val="15"/>
                  <w:szCs w:val="15"/>
                  <w:color w:val="0000EE"/>
                </w:rPr>
                <w:t>OTHER INFORMATION</w:t>
              </w:r>
            </w:hyperlink>
          </w:p>
        </w:tc>
        <w:tc>
          <w:tcPr>
            <w:tcW w:w="860" w:type="dxa"/>
            <w:vAlign w:val="bottom"/>
          </w:tcPr>
          <w:p>
            <w:pPr>
              <w:spacing w:after="0"/>
              <w:rPr>
                <w:sz w:val="24"/>
                <w:szCs w:val="24"/>
                <w:color w:val="auto"/>
              </w:rPr>
            </w:pPr>
          </w:p>
        </w:tc>
      </w:tr>
      <w:tr>
        <w:trPr>
          <w:trHeight w:val="414"/>
        </w:trPr>
        <w:tc>
          <w:tcPr>
            <w:tcW w:w="440" w:type="dxa"/>
            <w:vAlign w:val="bottom"/>
            <w:tcBorders>
              <w:top w:val="single" w:sz="8" w:color="0000EE"/>
              <w:bottom w:val="single" w:sz="8" w:color="0000EE"/>
            </w:tcBorders>
            <w:gridSpan w:val="2"/>
          </w:tcPr>
          <w:p>
            <w:pPr>
              <w:spacing w:after="0"/>
              <w:rPr>
                <w:rFonts w:ascii="Arial" w:cs="Arial" w:eastAsia="Arial" w:hAnsi="Arial"/>
                <w:sz w:val="15"/>
                <w:szCs w:val="15"/>
                <w:color w:val="0000EE"/>
              </w:rPr>
            </w:pPr>
            <w:hyperlink w:anchor="page16">
              <w:r>
                <w:rPr>
                  <w:rFonts w:ascii="Arial" w:cs="Arial" w:eastAsia="Arial" w:hAnsi="Arial"/>
                  <w:sz w:val="15"/>
                  <w:szCs w:val="15"/>
                  <w:color w:val="0000EE"/>
                </w:rPr>
                <w:t>Item 1</w:t>
              </w:r>
            </w:hyperlink>
          </w:p>
        </w:tc>
        <w:tc>
          <w:tcPr>
            <w:tcW w:w="80" w:type="dxa"/>
            <w:vAlign w:val="bottom"/>
            <w:tcBorders>
              <w:top w:val="single" w:sz="8" w:color="0000EE"/>
            </w:tcBorders>
            <w:gridSpan w:val="2"/>
          </w:tcPr>
          <w:p>
            <w:pPr>
              <w:spacing w:after="0"/>
              <w:rPr>
                <w:sz w:val="24"/>
                <w:szCs w:val="24"/>
                <w:color w:val="auto"/>
              </w:rPr>
            </w:pPr>
          </w:p>
        </w:tc>
        <w:tc>
          <w:tcPr>
            <w:tcW w:w="320" w:type="dxa"/>
            <w:vAlign w:val="bottom"/>
            <w:gridSpan w:val="2"/>
          </w:tcPr>
          <w:p>
            <w:pPr>
              <w:spacing w:after="0"/>
              <w:rPr>
                <w:sz w:val="24"/>
                <w:szCs w:val="24"/>
                <w:color w:val="auto"/>
              </w:rPr>
            </w:pPr>
          </w:p>
        </w:tc>
        <w:tc>
          <w:tcPr>
            <w:tcW w:w="1280" w:type="dxa"/>
            <w:vAlign w:val="bottom"/>
            <w:tcBorders>
              <w:top w:val="single" w:sz="8" w:color="0000EE"/>
              <w:bottom w:val="single" w:sz="8" w:color="0000EE"/>
            </w:tcBorders>
            <w:gridSpan w:val="5"/>
          </w:tcPr>
          <w:p>
            <w:pPr>
              <w:spacing w:after="0"/>
              <w:rPr>
                <w:rFonts w:ascii="Arial" w:cs="Arial" w:eastAsia="Arial" w:hAnsi="Arial"/>
                <w:sz w:val="15"/>
                <w:szCs w:val="15"/>
                <w:color w:val="0000EE"/>
              </w:rPr>
            </w:pPr>
            <w:hyperlink w:anchor="page16">
              <w:r>
                <w:rPr>
                  <w:rFonts w:ascii="Arial" w:cs="Arial" w:eastAsia="Arial" w:hAnsi="Arial"/>
                  <w:sz w:val="15"/>
                  <w:szCs w:val="15"/>
                  <w:color w:val="0000EE"/>
                </w:rPr>
                <w:t>Legal Proceedings</w:t>
              </w:r>
            </w:hyperlink>
          </w:p>
        </w:tc>
        <w:tc>
          <w:tcPr>
            <w:tcW w:w="360" w:type="dxa"/>
            <w:vAlign w:val="bottom"/>
            <w:tcBorders>
              <w:top w:val="single" w:sz="8" w:color="0000EE"/>
            </w:tcBorders>
          </w:tcPr>
          <w:p>
            <w:pPr>
              <w:spacing w:after="0"/>
              <w:rPr>
                <w:sz w:val="24"/>
                <w:szCs w:val="24"/>
                <w:color w:val="auto"/>
              </w:rPr>
            </w:pPr>
          </w:p>
        </w:tc>
        <w:tc>
          <w:tcPr>
            <w:tcW w:w="5780" w:type="dxa"/>
            <w:vAlign w:val="bottom"/>
            <w:gridSpan w:val="1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414"/>
        </w:trPr>
        <w:tc>
          <w:tcPr>
            <w:tcW w:w="540" w:type="dxa"/>
            <w:vAlign w:val="bottom"/>
            <w:tcBorders>
              <w:bottom w:val="single" w:sz="8" w:color="0000EE"/>
            </w:tcBorders>
            <w:gridSpan w:val="5"/>
          </w:tcPr>
          <w:p>
            <w:pPr>
              <w:spacing w:after="0"/>
              <w:rPr>
                <w:rFonts w:ascii="Arial" w:cs="Arial" w:eastAsia="Arial" w:hAnsi="Arial"/>
                <w:sz w:val="15"/>
                <w:szCs w:val="15"/>
                <w:color w:val="0000EE"/>
              </w:rPr>
            </w:pPr>
            <w:hyperlink w:anchor="page16">
              <w:r>
                <w:rPr>
                  <w:rFonts w:ascii="Arial" w:cs="Arial" w:eastAsia="Arial" w:hAnsi="Arial"/>
                  <w:sz w:val="15"/>
                  <w:szCs w:val="15"/>
                  <w:color w:val="0000EE"/>
                </w:rPr>
                <w:t>Item 1A</w:t>
              </w:r>
            </w:hyperlink>
          </w:p>
        </w:tc>
        <w:tc>
          <w:tcPr>
            <w:tcW w:w="300" w:type="dxa"/>
            <w:vAlign w:val="bottom"/>
          </w:tcPr>
          <w:p>
            <w:pPr>
              <w:spacing w:after="0"/>
              <w:rPr>
                <w:sz w:val="24"/>
                <w:szCs w:val="24"/>
                <w:color w:val="auto"/>
              </w:rPr>
            </w:pPr>
          </w:p>
        </w:tc>
        <w:tc>
          <w:tcPr>
            <w:tcW w:w="860" w:type="dxa"/>
            <w:vAlign w:val="bottom"/>
            <w:tcBorders>
              <w:bottom w:val="single" w:sz="8" w:color="0000EE"/>
            </w:tcBorders>
            <w:gridSpan w:val="2"/>
          </w:tcPr>
          <w:p>
            <w:pPr>
              <w:spacing w:after="0"/>
              <w:rPr>
                <w:rFonts w:ascii="Arial" w:cs="Arial" w:eastAsia="Arial" w:hAnsi="Arial"/>
                <w:sz w:val="15"/>
                <w:szCs w:val="15"/>
                <w:color w:val="0000EE"/>
              </w:rPr>
            </w:pPr>
            <w:hyperlink w:anchor="page16">
              <w:r>
                <w:rPr>
                  <w:rFonts w:ascii="Arial" w:cs="Arial" w:eastAsia="Arial" w:hAnsi="Arial"/>
                  <w:sz w:val="15"/>
                  <w:szCs w:val="15"/>
                  <w:color w:val="0000EE"/>
                </w:rPr>
                <w:t>Risk Factors</w:t>
              </w:r>
            </w:hyperlink>
          </w:p>
        </w:tc>
        <w:tc>
          <w:tcPr>
            <w:tcW w:w="6560" w:type="dxa"/>
            <w:vAlign w:val="bottom"/>
            <w:gridSpan w:val="2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414"/>
        </w:trPr>
        <w:tc>
          <w:tcPr>
            <w:tcW w:w="440" w:type="dxa"/>
            <w:vAlign w:val="bottom"/>
            <w:tcBorders>
              <w:bottom w:val="single" w:sz="8" w:color="0000EE"/>
            </w:tcBorders>
            <w:gridSpan w:val="2"/>
          </w:tcPr>
          <w:p>
            <w:pPr>
              <w:spacing w:after="0"/>
              <w:rPr>
                <w:rFonts w:ascii="Arial" w:cs="Arial" w:eastAsia="Arial" w:hAnsi="Arial"/>
                <w:sz w:val="15"/>
                <w:szCs w:val="15"/>
                <w:color w:val="0000EE"/>
              </w:rPr>
            </w:pPr>
            <w:hyperlink w:anchor="page16">
              <w:r>
                <w:rPr>
                  <w:rFonts w:ascii="Arial" w:cs="Arial" w:eastAsia="Arial" w:hAnsi="Arial"/>
                  <w:sz w:val="15"/>
                  <w:szCs w:val="15"/>
                  <w:color w:val="0000EE"/>
                </w:rPr>
                <w:t>Item 2</w:t>
              </w:r>
            </w:hyperlink>
          </w:p>
        </w:tc>
        <w:tc>
          <w:tcPr>
            <w:tcW w:w="400" w:type="dxa"/>
            <w:vAlign w:val="bottom"/>
            <w:gridSpan w:val="4"/>
          </w:tcPr>
          <w:p>
            <w:pPr>
              <w:spacing w:after="0"/>
              <w:rPr>
                <w:sz w:val="24"/>
                <w:szCs w:val="24"/>
                <w:color w:val="auto"/>
              </w:rPr>
            </w:pPr>
          </w:p>
        </w:tc>
        <w:tc>
          <w:tcPr>
            <w:tcW w:w="4140" w:type="dxa"/>
            <w:vAlign w:val="bottom"/>
            <w:tcBorders>
              <w:bottom w:val="single" w:sz="8" w:color="0000EE"/>
            </w:tcBorders>
            <w:gridSpan w:val="19"/>
          </w:tcPr>
          <w:p>
            <w:pPr>
              <w:spacing w:after="0"/>
              <w:rPr>
                <w:rFonts w:ascii="Arial" w:cs="Arial" w:eastAsia="Arial" w:hAnsi="Arial"/>
                <w:sz w:val="15"/>
                <w:szCs w:val="15"/>
                <w:color w:val="0000EE"/>
              </w:rPr>
            </w:pPr>
            <w:hyperlink w:anchor="page16">
              <w:r>
                <w:rPr>
                  <w:rFonts w:ascii="Arial" w:cs="Arial" w:eastAsia="Arial" w:hAnsi="Arial"/>
                  <w:sz w:val="15"/>
                  <w:szCs w:val="15"/>
                  <w:color w:val="0000EE"/>
                </w:rPr>
                <w:t>Unregistered Sales of Equity Securities and Use of Proceeds</w:t>
              </w:r>
            </w:hyperlink>
          </w:p>
        </w:tc>
        <w:tc>
          <w:tcPr>
            <w:tcW w:w="328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414"/>
        </w:trPr>
        <w:tc>
          <w:tcPr>
            <w:tcW w:w="440" w:type="dxa"/>
            <w:vAlign w:val="bottom"/>
            <w:tcBorders>
              <w:bottom w:val="single" w:sz="8" w:color="0000EE"/>
            </w:tcBorders>
            <w:gridSpan w:val="2"/>
          </w:tcPr>
          <w:p>
            <w:pPr>
              <w:spacing w:after="0"/>
              <w:rPr>
                <w:rFonts w:ascii="Arial" w:cs="Arial" w:eastAsia="Arial" w:hAnsi="Arial"/>
                <w:sz w:val="15"/>
                <w:szCs w:val="15"/>
                <w:color w:val="0000EE"/>
              </w:rPr>
            </w:pPr>
            <w:hyperlink w:anchor="page17">
              <w:r>
                <w:rPr>
                  <w:rFonts w:ascii="Arial" w:cs="Arial" w:eastAsia="Arial" w:hAnsi="Arial"/>
                  <w:sz w:val="15"/>
                  <w:szCs w:val="15"/>
                  <w:color w:val="0000EE"/>
                </w:rPr>
                <w:t>Item 3</w:t>
              </w:r>
            </w:hyperlink>
          </w:p>
        </w:tc>
        <w:tc>
          <w:tcPr>
            <w:tcW w:w="400" w:type="dxa"/>
            <w:vAlign w:val="bottom"/>
            <w:gridSpan w:val="4"/>
          </w:tcPr>
          <w:p>
            <w:pPr>
              <w:spacing w:after="0"/>
              <w:rPr>
                <w:sz w:val="24"/>
                <w:szCs w:val="24"/>
                <w:color w:val="auto"/>
              </w:rPr>
            </w:pPr>
          </w:p>
        </w:tc>
        <w:tc>
          <w:tcPr>
            <w:tcW w:w="2180" w:type="dxa"/>
            <w:vAlign w:val="bottom"/>
            <w:tcBorders>
              <w:bottom w:val="single" w:sz="8" w:color="0000EE"/>
            </w:tcBorders>
            <w:gridSpan w:val="9"/>
          </w:tcPr>
          <w:p>
            <w:pPr>
              <w:spacing w:after="0"/>
              <w:rPr>
                <w:rFonts w:ascii="Arial" w:cs="Arial" w:eastAsia="Arial" w:hAnsi="Arial"/>
                <w:sz w:val="15"/>
                <w:szCs w:val="15"/>
                <w:color w:val="0000EE"/>
              </w:rPr>
            </w:pPr>
            <w:hyperlink w:anchor="page17">
              <w:r>
                <w:rPr>
                  <w:rFonts w:ascii="Arial" w:cs="Arial" w:eastAsia="Arial" w:hAnsi="Arial"/>
                  <w:sz w:val="15"/>
                  <w:szCs w:val="15"/>
                  <w:color w:val="0000EE"/>
                </w:rPr>
                <w:t>Defaults Upon Senior Securities</w:t>
              </w:r>
            </w:hyperlink>
          </w:p>
        </w:tc>
        <w:tc>
          <w:tcPr>
            <w:tcW w:w="5240" w:type="dxa"/>
            <w:vAlign w:val="bottom"/>
            <w:gridSpan w:val="1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414"/>
        </w:trPr>
        <w:tc>
          <w:tcPr>
            <w:tcW w:w="440" w:type="dxa"/>
            <w:vAlign w:val="bottom"/>
            <w:tcBorders>
              <w:bottom w:val="single" w:sz="8" w:color="0000EE"/>
            </w:tcBorders>
            <w:gridSpan w:val="2"/>
          </w:tcPr>
          <w:p>
            <w:pPr>
              <w:spacing w:after="0"/>
              <w:rPr>
                <w:rFonts w:ascii="Arial" w:cs="Arial" w:eastAsia="Arial" w:hAnsi="Arial"/>
                <w:sz w:val="15"/>
                <w:szCs w:val="15"/>
                <w:color w:val="0000EE"/>
              </w:rPr>
            </w:pPr>
            <w:hyperlink w:anchor="page17">
              <w:r>
                <w:rPr>
                  <w:rFonts w:ascii="Arial" w:cs="Arial" w:eastAsia="Arial" w:hAnsi="Arial"/>
                  <w:sz w:val="15"/>
                  <w:szCs w:val="15"/>
                  <w:color w:val="0000EE"/>
                </w:rPr>
                <w:t>Item 4</w:t>
              </w:r>
            </w:hyperlink>
          </w:p>
        </w:tc>
        <w:tc>
          <w:tcPr>
            <w:tcW w:w="400" w:type="dxa"/>
            <w:vAlign w:val="bottom"/>
            <w:gridSpan w:val="4"/>
          </w:tcPr>
          <w:p>
            <w:pPr>
              <w:spacing w:after="0"/>
              <w:rPr>
                <w:sz w:val="24"/>
                <w:szCs w:val="24"/>
                <w:color w:val="auto"/>
              </w:rPr>
            </w:pPr>
          </w:p>
        </w:tc>
        <w:tc>
          <w:tcPr>
            <w:tcW w:w="1700" w:type="dxa"/>
            <w:vAlign w:val="bottom"/>
            <w:tcBorders>
              <w:bottom w:val="single" w:sz="8" w:color="0000EE"/>
            </w:tcBorders>
            <w:gridSpan w:val="7"/>
          </w:tcPr>
          <w:p>
            <w:pPr>
              <w:spacing w:after="0"/>
              <w:rPr>
                <w:rFonts w:ascii="Arial" w:cs="Arial" w:eastAsia="Arial" w:hAnsi="Arial"/>
                <w:sz w:val="15"/>
                <w:szCs w:val="15"/>
                <w:color w:val="0000EE"/>
              </w:rPr>
            </w:pPr>
            <w:hyperlink w:anchor="page17">
              <w:r>
                <w:rPr>
                  <w:rFonts w:ascii="Arial" w:cs="Arial" w:eastAsia="Arial" w:hAnsi="Arial"/>
                  <w:sz w:val="15"/>
                  <w:szCs w:val="15"/>
                  <w:color w:val="0000EE"/>
                </w:rPr>
                <w:t>Mine Safety Disclosures</w:t>
              </w:r>
            </w:hyperlink>
          </w:p>
        </w:tc>
        <w:tc>
          <w:tcPr>
            <w:tcW w:w="5720" w:type="dxa"/>
            <w:vAlign w:val="bottom"/>
            <w:gridSpan w:val="1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414"/>
        </w:trPr>
        <w:tc>
          <w:tcPr>
            <w:tcW w:w="440" w:type="dxa"/>
            <w:vAlign w:val="bottom"/>
            <w:tcBorders>
              <w:bottom w:val="single" w:sz="8" w:color="0000EE"/>
            </w:tcBorders>
            <w:gridSpan w:val="2"/>
          </w:tcPr>
          <w:p>
            <w:pPr>
              <w:spacing w:after="0"/>
              <w:rPr>
                <w:rFonts w:ascii="Arial" w:cs="Arial" w:eastAsia="Arial" w:hAnsi="Arial"/>
                <w:sz w:val="15"/>
                <w:szCs w:val="15"/>
                <w:color w:val="0000EE"/>
              </w:rPr>
            </w:pPr>
            <w:hyperlink w:anchor="page17">
              <w:r>
                <w:rPr>
                  <w:rFonts w:ascii="Arial" w:cs="Arial" w:eastAsia="Arial" w:hAnsi="Arial"/>
                  <w:sz w:val="15"/>
                  <w:szCs w:val="15"/>
                  <w:color w:val="0000EE"/>
                </w:rPr>
                <w:t>Item 5</w:t>
              </w:r>
            </w:hyperlink>
          </w:p>
        </w:tc>
        <w:tc>
          <w:tcPr>
            <w:tcW w:w="400" w:type="dxa"/>
            <w:vAlign w:val="bottom"/>
            <w:gridSpan w:val="4"/>
          </w:tcPr>
          <w:p>
            <w:pPr>
              <w:spacing w:after="0"/>
              <w:rPr>
                <w:sz w:val="24"/>
                <w:szCs w:val="24"/>
                <w:color w:val="auto"/>
              </w:rPr>
            </w:pPr>
          </w:p>
        </w:tc>
        <w:tc>
          <w:tcPr>
            <w:tcW w:w="1200" w:type="dxa"/>
            <w:vAlign w:val="bottom"/>
            <w:tcBorders>
              <w:bottom w:val="single" w:sz="8" w:color="0000EE"/>
            </w:tcBorders>
            <w:gridSpan w:val="4"/>
          </w:tcPr>
          <w:p>
            <w:pPr>
              <w:spacing w:after="0"/>
              <w:rPr>
                <w:rFonts w:ascii="Arial" w:cs="Arial" w:eastAsia="Arial" w:hAnsi="Arial"/>
                <w:sz w:val="15"/>
                <w:szCs w:val="15"/>
                <w:color w:val="0000EE"/>
              </w:rPr>
            </w:pPr>
            <w:hyperlink w:anchor="page17">
              <w:r>
                <w:rPr>
                  <w:rFonts w:ascii="Arial" w:cs="Arial" w:eastAsia="Arial" w:hAnsi="Arial"/>
                  <w:sz w:val="15"/>
                  <w:szCs w:val="15"/>
                  <w:color w:val="0000EE"/>
                </w:rPr>
                <w:t>Other Information</w:t>
              </w:r>
            </w:hyperlink>
          </w:p>
        </w:tc>
        <w:tc>
          <w:tcPr>
            <w:tcW w:w="6220" w:type="dxa"/>
            <w:vAlign w:val="bottom"/>
            <w:gridSpan w:val="20"/>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414"/>
        </w:trPr>
        <w:tc>
          <w:tcPr>
            <w:tcW w:w="840" w:type="dxa"/>
            <w:vAlign w:val="bottom"/>
            <w:gridSpan w:val="6"/>
          </w:tcPr>
          <w:p>
            <w:pPr>
              <w:spacing w:after="0"/>
              <w:rPr>
                <w:rFonts w:ascii="Arial" w:cs="Arial" w:eastAsia="Arial" w:hAnsi="Arial"/>
                <w:sz w:val="15"/>
                <w:szCs w:val="15"/>
                <w:color w:val="0000EE"/>
              </w:rPr>
            </w:pPr>
            <w:hyperlink w:anchor="page18">
              <w:r>
                <w:rPr>
                  <w:rFonts w:ascii="Arial" w:cs="Arial" w:eastAsia="Arial" w:hAnsi="Arial"/>
                  <w:sz w:val="15"/>
                  <w:szCs w:val="15"/>
                  <w:color w:val="0000EE"/>
                </w:rPr>
                <w:t>Item 6</w:t>
              </w:r>
            </w:hyperlink>
          </w:p>
        </w:tc>
        <w:tc>
          <w:tcPr>
            <w:tcW w:w="7420" w:type="dxa"/>
            <w:vAlign w:val="bottom"/>
            <w:gridSpan w:val="24"/>
          </w:tcPr>
          <w:p>
            <w:pPr>
              <w:spacing w:after="0"/>
              <w:rPr>
                <w:rFonts w:ascii="Arial" w:cs="Arial" w:eastAsia="Arial" w:hAnsi="Arial"/>
                <w:sz w:val="15"/>
                <w:szCs w:val="15"/>
                <w:color w:val="0000EE"/>
              </w:rPr>
            </w:pPr>
            <w:hyperlink w:anchor="page18">
              <w:r>
                <w:rPr>
                  <w:rFonts w:ascii="Arial" w:cs="Arial" w:eastAsia="Arial" w:hAnsi="Arial"/>
                  <w:sz w:val="15"/>
                  <w:szCs w:val="15"/>
                  <w:color w:val="0000EE"/>
                </w:rPr>
                <w:t>Exhibits</w:t>
              </w:r>
            </w:hyperlink>
          </w:p>
        </w:tc>
        <w:tc>
          <w:tcPr>
            <w:tcW w:w="86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0"/>
        </w:trPr>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20" w:type="dxa"/>
            <w:vAlign w:val="bottom"/>
            <w:gridSpan w:val="2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Borders>
              <w:bottom w:val="single" w:sz="8" w:color="0000EE"/>
            </w:tcBorders>
            <w:gridSpan w:val="3"/>
          </w:tcPr>
          <w:p>
            <w:pPr>
              <w:spacing w:after="0"/>
              <w:rPr>
                <w:rFonts w:ascii="Arial" w:cs="Arial" w:eastAsia="Arial" w:hAnsi="Arial"/>
                <w:sz w:val="15"/>
                <w:szCs w:val="15"/>
                <w:color w:val="0000EE"/>
              </w:rPr>
            </w:pPr>
            <w:hyperlink w:anchor="page19">
              <w:r>
                <w:rPr>
                  <w:rFonts w:ascii="Arial" w:cs="Arial" w:eastAsia="Arial" w:hAnsi="Arial"/>
                  <w:sz w:val="15"/>
                  <w:szCs w:val="15"/>
                  <w:color w:val="0000EE"/>
                </w:rPr>
                <w:t>SIGNATURES</w:t>
              </w:r>
            </w:hyperlink>
          </w:p>
        </w:tc>
        <w:tc>
          <w:tcPr>
            <w:tcW w:w="6420" w:type="dxa"/>
            <w:vAlign w:val="bottom"/>
            <w:gridSpan w:val="21"/>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3105" cy="24130"/>
                    </a:xfrm>
                    <a:prstGeom prst="rect">
                      <a:avLst/>
                    </a:prstGeom>
                    <a:noFill/>
                  </pic:spPr>
                </pic:pic>
              </a:graphicData>
            </a:graphic>
          </wp:anchor>
        </w:drawing>
      </w:r>
    </w:p>
    <w:p>
      <w:pPr>
        <w:sectPr>
          <w:pgSz w:w="11900" w:h="16838" w:orient="portrait"/>
          <w:cols w:equalWidth="0" w:num="1">
            <w:col w:w="9120"/>
          </w:cols>
          <w:pgMar w:left="1380" w:top="498" w:right="139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PART I - FINANCIAL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Financial Statements.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Citi Trends,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(Unaudited)</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1,</w:t>
            </w: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30,</w:t>
            </w:r>
          </w:p>
        </w:tc>
      </w:tr>
      <w:tr>
        <w:trPr>
          <w:trHeight w:val="165"/>
        </w:trPr>
        <w:tc>
          <w:tcPr>
            <w:tcW w:w="6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r>
      <w:tr>
        <w:trPr>
          <w:trHeight w:val="184"/>
        </w:trPr>
        <w:tc>
          <w:tcPr>
            <w:tcW w:w="6840" w:type="dxa"/>
            <w:vAlign w:val="bottom"/>
            <w:shd w:val="clear" w:color="auto" w:fill="CCEEFF"/>
          </w:tcPr>
          <w:p>
            <w:pPr>
              <w:ind w:left="31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92"/>
        </w:trPr>
        <w:tc>
          <w:tcPr>
            <w:tcW w:w="6840" w:type="dxa"/>
            <w:vAlign w:val="bottom"/>
          </w:tcPr>
          <w:p>
            <w:pPr>
              <w:spacing w:after="0"/>
              <w:rPr>
                <w:sz w:val="20"/>
                <w:szCs w:val="20"/>
                <w:color w:val="auto"/>
              </w:rPr>
            </w:pPr>
            <w:r>
              <w:rPr>
                <w:rFonts w:ascii="Arial" w:cs="Arial" w:eastAsia="Arial" w:hAnsi="Arial"/>
                <w:sz w:val="15"/>
                <w:szCs w:val="15"/>
                <w:color w:val="auto"/>
              </w:rPr>
              <w:t>Current assets: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2"/>
        </w:trPr>
        <w:tc>
          <w:tcPr>
            <w:tcW w:w="6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131,276</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123,177</w:t>
            </w:r>
          </w:p>
        </w:tc>
        <w:tc>
          <w:tcPr>
            <w:tcW w:w="260" w:type="dxa"/>
            <w:vAlign w:val="bottom"/>
            <w:shd w:val="clear" w:color="auto" w:fill="CCEEFF"/>
          </w:tcPr>
          <w:p>
            <w:pPr>
              <w:spacing w:after="0"/>
              <w:rPr>
                <w:sz w:val="16"/>
                <w:szCs w:val="16"/>
                <w:color w:val="auto"/>
              </w:rPr>
            </w:pPr>
          </w:p>
        </w:tc>
      </w:tr>
      <w:tr>
        <w:trPr>
          <w:trHeight w:val="192"/>
        </w:trPr>
        <w:tc>
          <w:tcPr>
            <w:tcW w:w="6840" w:type="dxa"/>
            <w:vAlign w:val="bottom"/>
          </w:tcPr>
          <w:p>
            <w:pPr>
              <w:ind w:left="200"/>
              <w:spacing w:after="0"/>
              <w:rPr>
                <w:sz w:val="20"/>
                <w:szCs w:val="20"/>
                <w:color w:val="auto"/>
              </w:rPr>
            </w:pPr>
            <w:r>
              <w:rPr>
                <w:rFonts w:ascii="Arial" w:cs="Arial" w:eastAsia="Arial" w:hAnsi="Arial"/>
                <w:sz w:val="15"/>
                <w:szCs w:val="15"/>
                <w:color w:val="auto"/>
              </w:rPr>
              <w:t>Inventory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101,803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103,845</w:t>
            </w:r>
          </w:p>
        </w:tc>
        <w:tc>
          <w:tcPr>
            <w:tcW w:w="260" w:type="dxa"/>
            <w:vAlign w:val="bottom"/>
          </w:tcPr>
          <w:p>
            <w:pPr>
              <w:spacing w:after="0"/>
              <w:rPr>
                <w:sz w:val="16"/>
                <w:szCs w:val="16"/>
                <w:color w:val="auto"/>
              </w:rPr>
            </w:pPr>
          </w:p>
        </w:tc>
      </w:tr>
      <w:tr>
        <w:trPr>
          <w:trHeight w:val="192"/>
        </w:trPr>
        <w:tc>
          <w:tcPr>
            <w:tcW w:w="6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Prepaid and other current assets</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19,290</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17,420</w:t>
            </w:r>
          </w:p>
        </w:tc>
        <w:tc>
          <w:tcPr>
            <w:tcW w:w="260" w:type="dxa"/>
            <w:vAlign w:val="bottom"/>
            <w:shd w:val="clear" w:color="auto" w:fill="CCEEFF"/>
          </w:tcPr>
          <w:p>
            <w:pPr>
              <w:spacing w:after="0"/>
              <w:rPr>
                <w:sz w:val="16"/>
                <w:szCs w:val="16"/>
                <w:color w:val="auto"/>
              </w:rPr>
            </w:pPr>
          </w:p>
        </w:tc>
      </w:tr>
      <w:tr>
        <w:trPr>
          <w:trHeight w:val="172"/>
        </w:trPr>
        <w:tc>
          <w:tcPr>
            <w:tcW w:w="6840" w:type="dxa"/>
            <w:vAlign w:val="bottom"/>
          </w:tcPr>
          <w:p>
            <w:pPr>
              <w:ind w:left="300"/>
              <w:spacing w:after="0"/>
              <w:rPr>
                <w:sz w:val="20"/>
                <w:szCs w:val="20"/>
                <w:color w:val="auto"/>
              </w:rPr>
            </w:pPr>
            <w:r>
              <w:rPr>
                <w:rFonts w:ascii="Arial" w:cs="Arial" w:eastAsia="Arial" w:hAnsi="Arial"/>
                <w:sz w:val="15"/>
                <w:szCs w:val="15"/>
                <w:color w:val="auto"/>
              </w:rPr>
              <w:t>Total current assets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252,369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244,442</w:t>
            </w:r>
          </w:p>
        </w:tc>
        <w:tc>
          <w:tcPr>
            <w:tcW w:w="260" w:type="dxa"/>
            <w:vAlign w:val="bottom"/>
          </w:tcPr>
          <w:p>
            <w:pPr>
              <w:spacing w:after="0"/>
              <w:rPr>
                <w:sz w:val="14"/>
                <w:szCs w:val="14"/>
                <w:color w:val="auto"/>
              </w:rPr>
            </w:pPr>
          </w:p>
        </w:tc>
      </w:tr>
      <w:tr>
        <w:trPr>
          <w:trHeight w:val="181"/>
        </w:trPr>
        <w:tc>
          <w:tcPr>
            <w:tcW w:w="6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Property and equipment, net of accumulated depreciation of $281,842 and $279,080 as of May</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77"/>
        </w:trPr>
        <w:tc>
          <w:tcPr>
            <w:tcW w:w="6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1, 2021 and January 31, 2021, respectively</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65,532</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63,514</w:t>
            </w:r>
          </w:p>
        </w:tc>
        <w:tc>
          <w:tcPr>
            <w:tcW w:w="260" w:type="dxa"/>
            <w:vAlign w:val="bottom"/>
            <w:shd w:val="clear" w:color="auto" w:fill="CCEEFF"/>
          </w:tcPr>
          <w:p>
            <w:pPr>
              <w:spacing w:after="0"/>
              <w:rPr>
                <w:sz w:val="15"/>
                <w:szCs w:val="15"/>
                <w:color w:val="auto"/>
              </w:rPr>
            </w:pPr>
          </w:p>
        </w:tc>
      </w:tr>
      <w:tr>
        <w:trPr>
          <w:trHeight w:val="192"/>
        </w:trPr>
        <w:tc>
          <w:tcPr>
            <w:tcW w:w="6840" w:type="dxa"/>
            <w:vAlign w:val="bottom"/>
          </w:tcPr>
          <w:p>
            <w:pPr>
              <w:ind w:left="200"/>
              <w:spacing w:after="0"/>
              <w:rPr>
                <w:sz w:val="20"/>
                <w:szCs w:val="20"/>
                <w:color w:val="auto"/>
              </w:rPr>
            </w:pPr>
            <w:r>
              <w:rPr>
                <w:rFonts w:ascii="Arial" w:cs="Arial" w:eastAsia="Arial" w:hAnsi="Arial"/>
                <w:sz w:val="15"/>
                <w:szCs w:val="15"/>
                <w:color w:val="auto"/>
              </w:rPr>
              <w:t>Operating lease right of use assets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184,694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179,673</w:t>
            </w:r>
          </w:p>
        </w:tc>
        <w:tc>
          <w:tcPr>
            <w:tcW w:w="260" w:type="dxa"/>
            <w:vAlign w:val="bottom"/>
          </w:tcPr>
          <w:p>
            <w:pPr>
              <w:spacing w:after="0"/>
              <w:rPr>
                <w:sz w:val="16"/>
                <w:szCs w:val="16"/>
                <w:color w:val="auto"/>
              </w:rPr>
            </w:pPr>
          </w:p>
        </w:tc>
      </w:tr>
      <w:tr>
        <w:trPr>
          <w:trHeight w:val="192"/>
        </w:trPr>
        <w:tc>
          <w:tcPr>
            <w:tcW w:w="6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Deferred income taxes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6,195</w:t>
            </w:r>
          </w:p>
        </w:tc>
        <w:tc>
          <w:tcPr>
            <w:tcW w:w="260" w:type="dxa"/>
            <w:vAlign w:val="bottom"/>
            <w:shd w:val="clear" w:color="auto" w:fill="CCEEFF"/>
          </w:tcPr>
          <w:p>
            <w:pPr>
              <w:spacing w:after="0"/>
              <w:rPr>
                <w:sz w:val="16"/>
                <w:szCs w:val="16"/>
                <w:color w:val="auto"/>
              </w:rPr>
            </w:pPr>
          </w:p>
        </w:tc>
      </w:tr>
      <w:tr>
        <w:trPr>
          <w:trHeight w:val="192"/>
        </w:trPr>
        <w:tc>
          <w:tcPr>
            <w:tcW w:w="68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Other assets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1,441</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769</w:t>
            </w:r>
          </w:p>
        </w:tc>
        <w:tc>
          <w:tcPr>
            <w:tcW w:w="260" w:type="dxa"/>
            <w:vAlign w:val="bottom"/>
            <w:tcBorders>
              <w:bottom w:val="single" w:sz="8" w:color="CCEEFF"/>
            </w:tcBorders>
          </w:tcPr>
          <w:p>
            <w:pPr>
              <w:spacing w:after="0"/>
              <w:rPr>
                <w:sz w:val="16"/>
                <w:szCs w:val="16"/>
                <w:color w:val="auto"/>
              </w:rPr>
            </w:pPr>
          </w:p>
        </w:tc>
      </w:tr>
      <w:tr>
        <w:trPr>
          <w:trHeight w:val="172"/>
        </w:trPr>
        <w:tc>
          <w:tcPr>
            <w:tcW w:w="68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assets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509,177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494,593</w:t>
            </w:r>
          </w:p>
        </w:tc>
        <w:tc>
          <w:tcPr>
            <w:tcW w:w="260" w:type="dxa"/>
            <w:vAlign w:val="bottom"/>
            <w:shd w:val="clear" w:color="auto" w:fill="CCEEFF"/>
          </w:tcPr>
          <w:p>
            <w:pPr>
              <w:spacing w:after="0"/>
              <w:rPr>
                <w:sz w:val="14"/>
                <w:szCs w:val="14"/>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r>
        <w:trPr>
          <w:trHeight w:val="157"/>
        </w:trPr>
        <w:tc>
          <w:tcPr>
            <w:tcW w:w="6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92"/>
        </w:trPr>
        <w:tc>
          <w:tcPr>
            <w:tcW w:w="6840" w:type="dxa"/>
            <w:vAlign w:val="bottom"/>
            <w:shd w:val="clear" w:color="auto" w:fill="CCEEFF"/>
          </w:tcPr>
          <w:p>
            <w:pPr>
              <w:ind w:left="2100"/>
              <w:spacing w:after="0"/>
              <w:rPr>
                <w:sz w:val="20"/>
                <w:szCs w:val="20"/>
                <w:color w:val="auto"/>
              </w:rPr>
            </w:pPr>
            <w:r>
              <w:rPr>
                <w:rFonts w:ascii="Arial" w:cs="Arial" w:eastAsia="Arial" w:hAnsi="Arial"/>
                <w:sz w:val="15"/>
                <w:szCs w:val="15"/>
                <w:b w:val="1"/>
                <w:bCs w:val="1"/>
                <w:color w:val="auto"/>
              </w:rPr>
              <w:t>Liabilities and Stockholders’ Equity</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92"/>
        </w:trPr>
        <w:tc>
          <w:tcPr>
            <w:tcW w:w="6840" w:type="dxa"/>
            <w:vAlign w:val="bottom"/>
          </w:tcPr>
          <w:p>
            <w:pPr>
              <w:spacing w:after="0"/>
              <w:rPr>
                <w:sz w:val="20"/>
                <w:szCs w:val="20"/>
                <w:color w:val="auto"/>
              </w:rPr>
            </w:pPr>
            <w:r>
              <w:rPr>
                <w:rFonts w:ascii="Arial" w:cs="Arial" w:eastAsia="Arial" w:hAnsi="Arial"/>
                <w:sz w:val="15"/>
                <w:szCs w:val="15"/>
                <w:color w:val="auto"/>
              </w:rPr>
              <w:t>Current liabilities: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2"/>
        </w:trPr>
        <w:tc>
          <w:tcPr>
            <w:tcW w:w="6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payable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109,723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84,832</w:t>
            </w:r>
          </w:p>
        </w:tc>
        <w:tc>
          <w:tcPr>
            <w:tcW w:w="260" w:type="dxa"/>
            <w:vAlign w:val="bottom"/>
            <w:shd w:val="clear" w:color="auto" w:fill="CCEEFF"/>
          </w:tcPr>
          <w:p>
            <w:pPr>
              <w:spacing w:after="0"/>
              <w:rPr>
                <w:sz w:val="16"/>
                <w:szCs w:val="16"/>
                <w:color w:val="auto"/>
              </w:rPr>
            </w:pPr>
          </w:p>
        </w:tc>
      </w:tr>
      <w:tr>
        <w:trPr>
          <w:trHeight w:val="192"/>
        </w:trPr>
        <w:tc>
          <w:tcPr>
            <w:tcW w:w="6840" w:type="dxa"/>
            <w:vAlign w:val="bottom"/>
          </w:tcPr>
          <w:p>
            <w:pPr>
              <w:ind w:left="200"/>
              <w:spacing w:after="0"/>
              <w:rPr>
                <w:sz w:val="20"/>
                <w:szCs w:val="20"/>
                <w:color w:val="auto"/>
              </w:rPr>
            </w:pPr>
            <w:r>
              <w:rPr>
                <w:rFonts w:ascii="Arial" w:cs="Arial" w:eastAsia="Arial" w:hAnsi="Arial"/>
                <w:sz w:val="15"/>
                <w:szCs w:val="15"/>
                <w:color w:val="auto"/>
              </w:rPr>
              <w:t>Operating lease liabilities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48,908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46,983</w:t>
            </w:r>
          </w:p>
        </w:tc>
        <w:tc>
          <w:tcPr>
            <w:tcW w:w="260" w:type="dxa"/>
            <w:vAlign w:val="bottom"/>
          </w:tcPr>
          <w:p>
            <w:pPr>
              <w:spacing w:after="0"/>
              <w:rPr>
                <w:sz w:val="16"/>
                <w:szCs w:val="16"/>
                <w:color w:val="auto"/>
              </w:rPr>
            </w:pPr>
          </w:p>
        </w:tc>
      </w:tr>
      <w:tr>
        <w:trPr>
          <w:trHeight w:val="192"/>
        </w:trPr>
        <w:tc>
          <w:tcPr>
            <w:tcW w:w="6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Accrued expenses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21,247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260" w:type="dxa"/>
            <w:vAlign w:val="bottom"/>
            <w:shd w:val="clear" w:color="auto" w:fill="CCEEFF"/>
          </w:tcPr>
          <w:p>
            <w:pPr>
              <w:spacing w:after="0"/>
              <w:rPr>
                <w:sz w:val="16"/>
                <w:szCs w:val="16"/>
                <w:color w:val="auto"/>
              </w:rPr>
            </w:pPr>
          </w:p>
        </w:tc>
      </w:tr>
      <w:tr>
        <w:trPr>
          <w:trHeight w:val="192"/>
        </w:trPr>
        <w:tc>
          <w:tcPr>
            <w:tcW w:w="6840" w:type="dxa"/>
            <w:vAlign w:val="bottom"/>
          </w:tcPr>
          <w:p>
            <w:pPr>
              <w:ind w:left="200"/>
              <w:spacing w:after="0"/>
              <w:rPr>
                <w:sz w:val="20"/>
                <w:szCs w:val="20"/>
                <w:color w:val="auto"/>
              </w:rPr>
            </w:pPr>
            <w:r>
              <w:rPr>
                <w:rFonts w:ascii="Arial" w:cs="Arial" w:eastAsia="Arial" w:hAnsi="Arial"/>
                <w:sz w:val="15"/>
                <w:szCs w:val="15"/>
                <w:color w:val="auto"/>
              </w:rPr>
              <w:t>Accrued compensation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18,067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29,315</w:t>
            </w:r>
          </w:p>
        </w:tc>
        <w:tc>
          <w:tcPr>
            <w:tcW w:w="260" w:type="dxa"/>
            <w:vAlign w:val="bottom"/>
          </w:tcPr>
          <w:p>
            <w:pPr>
              <w:spacing w:after="0"/>
              <w:rPr>
                <w:sz w:val="16"/>
                <w:szCs w:val="16"/>
                <w:color w:val="auto"/>
              </w:rPr>
            </w:pPr>
          </w:p>
        </w:tc>
      </w:tr>
      <w:tr>
        <w:trPr>
          <w:trHeight w:val="192"/>
        </w:trPr>
        <w:tc>
          <w:tcPr>
            <w:tcW w:w="6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Income tax payable</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11,603</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4,623</w:t>
            </w:r>
          </w:p>
        </w:tc>
        <w:tc>
          <w:tcPr>
            <w:tcW w:w="260" w:type="dxa"/>
            <w:vAlign w:val="bottom"/>
            <w:shd w:val="clear" w:color="auto" w:fill="CCEEFF"/>
          </w:tcPr>
          <w:p>
            <w:pPr>
              <w:spacing w:after="0"/>
              <w:rPr>
                <w:sz w:val="16"/>
                <w:szCs w:val="16"/>
                <w:color w:val="auto"/>
              </w:rPr>
            </w:pPr>
          </w:p>
        </w:tc>
      </w:tr>
      <w:tr>
        <w:trPr>
          <w:trHeight w:val="192"/>
        </w:trPr>
        <w:tc>
          <w:tcPr>
            <w:tcW w:w="68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Layaway deposits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807</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w:t>
            </w:r>
          </w:p>
        </w:tc>
        <w:tc>
          <w:tcPr>
            <w:tcW w:w="260" w:type="dxa"/>
            <w:vAlign w:val="bottom"/>
            <w:tcBorders>
              <w:bottom w:val="single" w:sz="8" w:color="CCEEFF"/>
            </w:tcBorders>
          </w:tcPr>
          <w:p>
            <w:pPr>
              <w:spacing w:after="0"/>
              <w:rPr>
                <w:sz w:val="16"/>
                <w:szCs w:val="16"/>
                <w:color w:val="auto"/>
              </w:rPr>
            </w:pPr>
          </w:p>
        </w:tc>
      </w:tr>
      <w:tr>
        <w:trPr>
          <w:trHeight w:val="172"/>
        </w:trPr>
        <w:tc>
          <w:tcPr>
            <w:tcW w:w="68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current liabilities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210,355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182,845</w:t>
            </w:r>
          </w:p>
        </w:tc>
        <w:tc>
          <w:tcPr>
            <w:tcW w:w="260" w:type="dxa"/>
            <w:vAlign w:val="bottom"/>
            <w:shd w:val="clear" w:color="auto" w:fill="CCEEFF"/>
          </w:tcPr>
          <w:p>
            <w:pPr>
              <w:spacing w:after="0"/>
              <w:rPr>
                <w:sz w:val="14"/>
                <w:szCs w:val="14"/>
                <w:color w:val="auto"/>
              </w:rPr>
            </w:pPr>
          </w:p>
        </w:tc>
      </w:tr>
      <w:tr>
        <w:trPr>
          <w:trHeight w:val="192"/>
        </w:trPr>
        <w:tc>
          <w:tcPr>
            <w:tcW w:w="6840" w:type="dxa"/>
            <w:vAlign w:val="bottom"/>
          </w:tcPr>
          <w:p>
            <w:pPr>
              <w:spacing w:after="0"/>
              <w:rPr>
                <w:sz w:val="20"/>
                <w:szCs w:val="20"/>
                <w:color w:val="auto"/>
              </w:rPr>
            </w:pPr>
            <w:r>
              <w:rPr>
                <w:rFonts w:ascii="Arial" w:cs="Arial" w:eastAsia="Arial" w:hAnsi="Arial"/>
                <w:sz w:val="15"/>
                <w:szCs w:val="15"/>
                <w:color w:val="auto"/>
              </w:rPr>
              <w:t>Noncurrent operating lease liabilities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148,596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145,828</w:t>
            </w:r>
          </w:p>
        </w:tc>
        <w:tc>
          <w:tcPr>
            <w:tcW w:w="260" w:type="dxa"/>
            <w:vAlign w:val="bottom"/>
          </w:tcPr>
          <w:p>
            <w:pPr>
              <w:spacing w:after="0"/>
              <w:rPr>
                <w:sz w:val="16"/>
                <w:szCs w:val="16"/>
                <w:color w:val="auto"/>
              </w:rPr>
            </w:pPr>
          </w:p>
        </w:tc>
      </w:tr>
      <w:tr>
        <w:trPr>
          <w:trHeight w:val="192"/>
        </w:trPr>
        <w:tc>
          <w:tcPr>
            <w:tcW w:w="6840" w:type="dxa"/>
            <w:vAlign w:val="bottom"/>
            <w:shd w:val="clear" w:color="auto" w:fill="CCEEFF"/>
          </w:tcPr>
          <w:p>
            <w:pPr>
              <w:spacing w:after="0"/>
              <w:rPr>
                <w:sz w:val="20"/>
                <w:szCs w:val="20"/>
                <w:color w:val="auto"/>
              </w:rPr>
            </w:pPr>
            <w:r>
              <w:rPr>
                <w:rFonts w:ascii="Arial" w:cs="Arial" w:eastAsia="Arial" w:hAnsi="Arial"/>
                <w:sz w:val="15"/>
                <w:szCs w:val="15"/>
                <w:color w:val="auto"/>
              </w:rPr>
              <w:t>Other long-term liabilities</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2,233</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2,286</w:t>
            </w:r>
          </w:p>
        </w:tc>
        <w:tc>
          <w:tcPr>
            <w:tcW w:w="260" w:type="dxa"/>
            <w:vAlign w:val="bottom"/>
            <w:shd w:val="clear" w:color="auto" w:fill="CCEEFF"/>
          </w:tcPr>
          <w:p>
            <w:pPr>
              <w:spacing w:after="0"/>
              <w:rPr>
                <w:sz w:val="16"/>
                <w:szCs w:val="16"/>
                <w:color w:val="auto"/>
              </w:rPr>
            </w:pPr>
          </w:p>
        </w:tc>
      </w:tr>
      <w:tr>
        <w:trPr>
          <w:trHeight w:val="172"/>
        </w:trPr>
        <w:tc>
          <w:tcPr>
            <w:tcW w:w="684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Total liabilities</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361,184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330,959</w:t>
            </w:r>
          </w:p>
        </w:tc>
        <w:tc>
          <w:tcPr>
            <w:tcW w:w="260" w:type="dxa"/>
            <w:vAlign w:val="bottom"/>
            <w:tcBorders>
              <w:bottom w:val="single" w:sz="8" w:color="CCEEFF"/>
            </w:tcBorders>
          </w:tcPr>
          <w:p>
            <w:pPr>
              <w:spacing w:after="0"/>
              <w:rPr>
                <w:sz w:val="14"/>
                <w:szCs w:val="14"/>
                <w:color w:val="auto"/>
              </w:rPr>
            </w:pPr>
          </w:p>
        </w:tc>
      </w:tr>
      <w:tr>
        <w:trPr>
          <w:trHeight w:val="172"/>
        </w:trPr>
        <w:tc>
          <w:tcPr>
            <w:tcW w:w="6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92"/>
        </w:trPr>
        <w:tc>
          <w:tcPr>
            <w:tcW w:w="6840" w:type="dxa"/>
            <w:vAlign w:val="bottom"/>
          </w:tcPr>
          <w:p>
            <w:pPr>
              <w:spacing w:after="0"/>
              <w:rPr>
                <w:sz w:val="20"/>
                <w:szCs w:val="20"/>
                <w:color w:val="auto"/>
              </w:rPr>
            </w:pPr>
            <w:r>
              <w:rPr>
                <w:rFonts w:ascii="Arial" w:cs="Arial" w:eastAsia="Arial" w:hAnsi="Arial"/>
                <w:sz w:val="15"/>
                <w:szCs w:val="15"/>
                <w:color w:val="auto"/>
              </w:rPr>
              <w:t>Stockholders’ equity: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1"/>
        </w:trPr>
        <w:tc>
          <w:tcPr>
            <w:tcW w:w="6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Common stock, $0.01 par value. Authorized 32,000,000 shares; 15,973,001 shares issued as of</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79"/>
        </w:trPr>
        <w:tc>
          <w:tcPr>
            <w:tcW w:w="6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May 1, 2021 and 15,981,394 shares issued as of January 30, 2021; 9,331,012 shares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77"/>
        </w:trPr>
        <w:tc>
          <w:tcPr>
            <w:tcW w:w="6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outstanding as of May 1, 2021 and 9,876,901 shares outstanding as of January 30, 2021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260" w:type="dxa"/>
            <w:vAlign w:val="bottom"/>
            <w:shd w:val="clear" w:color="auto" w:fill="CCEEFF"/>
          </w:tcPr>
          <w:p>
            <w:pPr>
              <w:spacing w:after="0"/>
              <w:rPr>
                <w:sz w:val="15"/>
                <w:szCs w:val="15"/>
                <w:color w:val="auto"/>
              </w:rPr>
            </w:pPr>
          </w:p>
        </w:tc>
      </w:tr>
      <w:tr>
        <w:trPr>
          <w:trHeight w:val="192"/>
        </w:trPr>
        <w:tc>
          <w:tcPr>
            <w:tcW w:w="6840" w:type="dxa"/>
            <w:vAlign w:val="bottom"/>
          </w:tcPr>
          <w:p>
            <w:pPr>
              <w:ind w:left="200"/>
              <w:spacing w:after="0"/>
              <w:rPr>
                <w:sz w:val="20"/>
                <w:szCs w:val="20"/>
                <w:color w:val="auto"/>
              </w:rPr>
            </w:pPr>
            <w:r>
              <w:rPr>
                <w:rFonts w:ascii="Arial" w:cs="Arial" w:eastAsia="Arial" w:hAnsi="Arial"/>
                <w:sz w:val="15"/>
                <w:szCs w:val="15"/>
                <w:color w:val="auto"/>
              </w:rPr>
              <w:t>Paid in capital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94,416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95,484</w:t>
            </w:r>
          </w:p>
        </w:tc>
        <w:tc>
          <w:tcPr>
            <w:tcW w:w="260" w:type="dxa"/>
            <w:vAlign w:val="bottom"/>
          </w:tcPr>
          <w:p>
            <w:pPr>
              <w:spacing w:after="0"/>
              <w:rPr>
                <w:sz w:val="16"/>
                <w:szCs w:val="16"/>
                <w:color w:val="auto"/>
              </w:rPr>
            </w:pPr>
          </w:p>
        </w:tc>
      </w:tr>
      <w:tr>
        <w:trPr>
          <w:trHeight w:val="192"/>
        </w:trPr>
        <w:tc>
          <w:tcPr>
            <w:tcW w:w="68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Retained earnings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240,815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209,918</w:t>
            </w:r>
          </w:p>
        </w:tc>
        <w:tc>
          <w:tcPr>
            <w:tcW w:w="260" w:type="dxa"/>
            <w:vAlign w:val="bottom"/>
            <w:shd w:val="clear" w:color="auto" w:fill="CCEEFF"/>
          </w:tcPr>
          <w:p>
            <w:pPr>
              <w:spacing w:after="0"/>
              <w:rPr>
                <w:sz w:val="16"/>
                <w:szCs w:val="16"/>
                <w:color w:val="auto"/>
              </w:rPr>
            </w:pPr>
          </w:p>
        </w:tc>
      </w:tr>
      <w:tr>
        <w:trPr>
          <w:trHeight w:val="181"/>
        </w:trPr>
        <w:tc>
          <w:tcPr>
            <w:tcW w:w="6840" w:type="dxa"/>
            <w:vAlign w:val="bottom"/>
          </w:tcPr>
          <w:p>
            <w:pPr>
              <w:ind w:left="200"/>
              <w:spacing w:after="0"/>
              <w:rPr>
                <w:sz w:val="20"/>
                <w:szCs w:val="20"/>
                <w:color w:val="auto"/>
              </w:rPr>
            </w:pPr>
            <w:r>
              <w:rPr>
                <w:rFonts w:ascii="Arial" w:cs="Arial" w:eastAsia="Arial" w:hAnsi="Arial"/>
                <w:sz w:val="15"/>
                <w:szCs w:val="15"/>
                <w:color w:val="auto"/>
              </w:rPr>
              <w:t>Treasury stock, at cost; 6,641,989 shares held as of May 1, 2021 and 6,104,493 shares held as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7"/>
        </w:trPr>
        <w:tc>
          <w:tcPr>
            <w:tcW w:w="68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of January 30, 2021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(187,396)</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(141,926)</w:t>
            </w:r>
          </w:p>
        </w:tc>
        <w:tc>
          <w:tcPr>
            <w:tcW w:w="260" w:type="dxa"/>
            <w:vAlign w:val="bottom"/>
            <w:tcBorders>
              <w:bottom w:val="single" w:sz="8" w:color="CCEEFF"/>
            </w:tcBorders>
          </w:tcPr>
          <w:p>
            <w:pPr>
              <w:spacing w:after="0"/>
              <w:rPr>
                <w:sz w:val="15"/>
                <w:szCs w:val="15"/>
                <w:color w:val="auto"/>
              </w:rPr>
            </w:pPr>
          </w:p>
        </w:tc>
      </w:tr>
      <w:tr>
        <w:trPr>
          <w:trHeight w:val="172"/>
        </w:trPr>
        <w:tc>
          <w:tcPr>
            <w:tcW w:w="68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stockholders’ equity</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147,993</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163,634</w:t>
            </w:r>
          </w:p>
        </w:tc>
        <w:tc>
          <w:tcPr>
            <w:tcW w:w="260" w:type="dxa"/>
            <w:vAlign w:val="bottom"/>
            <w:shd w:val="clear" w:color="auto" w:fill="CCEEFF"/>
          </w:tcPr>
          <w:p>
            <w:pPr>
              <w:spacing w:after="0"/>
              <w:rPr>
                <w:sz w:val="14"/>
                <w:szCs w:val="14"/>
                <w:color w:val="auto"/>
              </w:rPr>
            </w:pPr>
          </w:p>
        </w:tc>
      </w:tr>
      <w:tr>
        <w:trPr>
          <w:trHeight w:val="172"/>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2"/>
        </w:trPr>
        <w:tc>
          <w:tcPr>
            <w:tcW w:w="684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 (Note 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79"/>
        </w:trPr>
        <w:tc>
          <w:tcPr>
            <w:tcW w:w="6840" w:type="dxa"/>
            <w:vAlign w:val="bottom"/>
          </w:tcPr>
          <w:p>
            <w:pPr>
              <w:ind w:left="200"/>
              <w:spacing w:after="0"/>
              <w:rPr>
                <w:sz w:val="20"/>
                <w:szCs w:val="20"/>
                <w:color w:val="auto"/>
              </w:rPr>
            </w:pPr>
            <w:r>
              <w:rPr>
                <w:rFonts w:ascii="Arial" w:cs="Arial" w:eastAsia="Arial" w:hAnsi="Arial"/>
                <w:sz w:val="15"/>
                <w:szCs w:val="15"/>
                <w:color w:val="auto"/>
              </w:rPr>
              <w:t>Total liabilities and stockholders’ equity</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509,177</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494,593</w:t>
            </w:r>
          </w:p>
        </w:tc>
        <w:tc>
          <w:tcPr>
            <w:tcW w:w="260" w:type="dxa"/>
            <w:vAlign w:val="bottom"/>
          </w:tcPr>
          <w:p>
            <w:pPr>
              <w:spacing w:after="0"/>
              <w:rPr>
                <w:sz w:val="15"/>
                <w:szCs w:val="15"/>
                <w:color w:val="auto"/>
              </w:rPr>
            </w:pPr>
          </w:p>
        </w:tc>
      </w:tr>
      <w:tr>
        <w:trPr>
          <w:trHeight w:val="20"/>
        </w:trPr>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the condensed consolidated financial statements (unaudited).</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3105" cy="16510"/>
                    </a:xfrm>
                    <a:prstGeom prst="rect">
                      <a:avLst/>
                    </a:prstGeom>
                    <a:noFill/>
                  </pic:spPr>
                </pic:pic>
              </a:graphicData>
            </a:graphic>
          </wp:anchor>
        </w:drawing>
      </w:r>
    </w:p>
    <w:p>
      <w:pPr>
        <w:sectPr>
          <w:pgSz w:w="11900" w:h="16838" w:orient="portrait"/>
          <w:cols w:equalWidth="0" w:num="1">
            <w:col w:w="9140"/>
          </w:cols>
          <w:pgMar w:left="1380" w:top="498" w:right="137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Citi Trends, Inc.</w:t>
      </w:r>
    </w:p>
    <w:p>
      <w:pPr>
        <w:spacing w:after="0" w:line="32" w:lineRule="exact"/>
        <w:rPr>
          <w:sz w:val="20"/>
          <w:szCs w:val="20"/>
          <w:color w:val="auto"/>
        </w:rPr>
      </w:pPr>
    </w:p>
    <w:p>
      <w:pPr>
        <w:ind w:left="268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Pr>
          <w:p>
            <w:pPr>
              <w:spacing w:after="0"/>
              <w:rPr>
                <w:sz w:val="15"/>
                <w:szCs w:val="15"/>
                <w:color w:val="auto"/>
              </w:rPr>
            </w:pPr>
          </w:p>
        </w:tc>
      </w:tr>
      <w:tr>
        <w:trPr>
          <w:trHeight w:val="173"/>
        </w:trPr>
        <w:tc>
          <w:tcPr>
            <w:tcW w:w="7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May 1,</w:t>
            </w:r>
          </w:p>
        </w:tc>
        <w:tc>
          <w:tcPr>
            <w:tcW w:w="18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2,</w:t>
            </w:r>
          </w:p>
        </w:tc>
      </w:tr>
      <w:tr>
        <w:trPr>
          <w:trHeight w:val="190"/>
        </w:trPr>
        <w:tc>
          <w:tcPr>
            <w:tcW w:w="7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r>
      <w:tr>
        <w:trPr>
          <w:trHeight w:val="184"/>
        </w:trPr>
        <w:tc>
          <w:tcPr>
            <w:tcW w:w="700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285,381</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116,124</w:t>
            </w:r>
          </w:p>
        </w:tc>
        <w:tc>
          <w:tcPr>
            <w:tcW w:w="80" w:type="dxa"/>
            <w:vAlign w:val="bottom"/>
            <w:shd w:val="clear" w:color="auto" w:fill="CCEEFF"/>
          </w:tcPr>
          <w:p>
            <w:pPr>
              <w:spacing w:after="0"/>
              <w:rPr>
                <w:sz w:val="16"/>
                <w:szCs w:val="16"/>
                <w:color w:val="auto"/>
              </w:rPr>
            </w:pPr>
          </w:p>
        </w:tc>
      </w:tr>
      <w:tr>
        <w:trPr>
          <w:trHeight w:val="192"/>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7000" w:type="dxa"/>
            <w:vAlign w:val="bottom"/>
            <w:shd w:val="clear" w:color="auto" w:fill="CCEEFF"/>
          </w:tcPr>
          <w:p>
            <w:pPr>
              <w:spacing w:after="0"/>
              <w:rPr>
                <w:sz w:val="20"/>
                <w:szCs w:val="20"/>
                <w:color w:val="auto"/>
              </w:rPr>
            </w:pPr>
            <w:r>
              <w:rPr>
                <w:rFonts w:ascii="Arial" w:cs="Arial" w:eastAsia="Arial" w:hAnsi="Arial"/>
                <w:sz w:val="15"/>
                <w:szCs w:val="15"/>
                <w:color w:val="auto"/>
              </w:rPr>
              <w:t>Cost of sales (exclusive of depreciation)</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(163,791)</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(84,370)</w:t>
            </w:r>
          </w:p>
        </w:tc>
        <w:tc>
          <w:tcPr>
            <w:tcW w:w="80" w:type="dxa"/>
            <w:vAlign w:val="bottom"/>
            <w:shd w:val="clear" w:color="auto" w:fill="CCEEFF"/>
          </w:tcPr>
          <w:p>
            <w:pPr>
              <w:spacing w:after="0"/>
              <w:rPr>
                <w:sz w:val="16"/>
                <w:szCs w:val="16"/>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5"/>
                <w:szCs w:val="15"/>
                <w:color w:val="auto"/>
              </w:rPr>
              <w:t>Selling, general and administrative expenses</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(77,892)</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(54,076)</w:t>
            </w:r>
          </w:p>
        </w:tc>
        <w:tc>
          <w:tcPr>
            <w:tcW w:w="80" w:type="dxa"/>
            <w:vAlign w:val="bottom"/>
          </w:tcPr>
          <w:p>
            <w:pPr>
              <w:spacing w:after="0"/>
              <w:rPr>
                <w:sz w:val="16"/>
                <w:szCs w:val="16"/>
                <w:color w:val="auto"/>
              </w:rPr>
            </w:pPr>
          </w:p>
        </w:tc>
      </w:tr>
      <w:tr>
        <w:trPr>
          <w:trHeight w:val="194"/>
        </w:trPr>
        <w:tc>
          <w:tcPr>
            <w:tcW w:w="7000" w:type="dxa"/>
            <w:vAlign w:val="bottom"/>
            <w:shd w:val="clear" w:color="auto" w:fill="CCEEFF"/>
          </w:tcPr>
          <w:p>
            <w:pPr>
              <w:spacing w:after="0"/>
              <w:rPr>
                <w:sz w:val="20"/>
                <w:szCs w:val="20"/>
                <w:color w:val="auto"/>
              </w:rPr>
            </w:pPr>
            <w:r>
              <w:rPr>
                <w:rFonts w:ascii="Arial" w:cs="Arial" w:eastAsia="Arial" w:hAnsi="Arial"/>
                <w:sz w:val="15"/>
                <w:szCs w:val="15"/>
                <w:color w:val="auto"/>
              </w:rPr>
              <w:t>Depreciation</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(4,697)</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(4,946)</w:t>
            </w:r>
          </w:p>
        </w:tc>
        <w:tc>
          <w:tcPr>
            <w:tcW w:w="80" w:type="dxa"/>
            <w:vAlign w:val="bottom"/>
            <w:shd w:val="clear" w:color="auto" w:fill="CCEEFF"/>
          </w:tcPr>
          <w:p>
            <w:pPr>
              <w:spacing w:after="0"/>
              <w:rPr>
                <w:sz w:val="16"/>
                <w:szCs w:val="16"/>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5"/>
                <w:szCs w:val="15"/>
                <w:color w:val="auto"/>
              </w:rPr>
              <w:t>Asset impairment</w:t>
            </w:r>
          </w:p>
        </w:tc>
        <w:tc>
          <w:tcPr>
            <w:tcW w:w="18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(286)</w:t>
            </w:r>
          </w:p>
        </w:tc>
      </w:tr>
      <w:tr>
        <w:trPr>
          <w:trHeight w:val="187"/>
        </w:trPr>
        <w:tc>
          <w:tcPr>
            <w:tcW w:w="70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Income (loss) from operations</w:t>
            </w: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39,001</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(27,554)</w:t>
            </w:r>
          </w:p>
        </w:tc>
        <w:tc>
          <w:tcPr>
            <w:tcW w:w="80" w:type="dxa"/>
            <w:vAlign w:val="bottom"/>
            <w:tcBorders>
              <w:top w:val="single" w:sz="8" w:color="CCEEFF"/>
            </w:tcBorders>
            <w:shd w:val="clear" w:color="auto" w:fill="CCEEFF"/>
          </w:tcPr>
          <w:p>
            <w:pPr>
              <w:spacing w:after="0"/>
              <w:rPr>
                <w:sz w:val="16"/>
                <w:szCs w:val="16"/>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5"/>
                <w:szCs w:val="15"/>
                <w:color w:val="auto"/>
              </w:rPr>
              <w:t>Interest income</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217</w:t>
            </w:r>
          </w:p>
        </w:tc>
        <w:tc>
          <w:tcPr>
            <w:tcW w:w="80" w:type="dxa"/>
            <w:vAlign w:val="bottom"/>
          </w:tcPr>
          <w:p>
            <w:pPr>
              <w:spacing w:after="0"/>
              <w:rPr>
                <w:sz w:val="16"/>
                <w:szCs w:val="16"/>
                <w:color w:val="auto"/>
              </w:rPr>
            </w:pPr>
          </w:p>
        </w:tc>
      </w:tr>
      <w:tr>
        <w:trPr>
          <w:trHeight w:val="194"/>
        </w:trPr>
        <w:tc>
          <w:tcPr>
            <w:tcW w:w="700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(47)</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(163)</w:t>
            </w:r>
          </w:p>
        </w:tc>
      </w:tr>
      <w:tr>
        <w:trPr>
          <w:trHeight w:val="182"/>
        </w:trPr>
        <w:tc>
          <w:tcPr>
            <w:tcW w:w="7000" w:type="dxa"/>
            <w:vAlign w:val="bottom"/>
          </w:tcPr>
          <w:p>
            <w:pPr>
              <w:ind w:left="300"/>
              <w:spacing w:after="0"/>
              <w:rPr>
                <w:sz w:val="20"/>
                <w:szCs w:val="20"/>
                <w:color w:val="auto"/>
              </w:rPr>
            </w:pPr>
            <w:r>
              <w:rPr>
                <w:rFonts w:ascii="Arial" w:cs="Arial" w:eastAsia="Arial" w:hAnsi="Arial"/>
                <w:sz w:val="15"/>
                <w:szCs w:val="15"/>
                <w:color w:val="auto"/>
              </w:rPr>
              <w:t>Income (loss) before income taxes</w:t>
            </w: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38,958</w:t>
            </w: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(27,500)</w:t>
            </w:r>
          </w:p>
        </w:tc>
        <w:tc>
          <w:tcPr>
            <w:tcW w:w="80" w:type="dxa"/>
            <w:vAlign w:val="bottom"/>
          </w:tcPr>
          <w:p>
            <w:pPr>
              <w:spacing w:after="0"/>
              <w:rPr>
                <w:sz w:val="15"/>
                <w:szCs w:val="15"/>
                <w:color w:val="auto"/>
              </w:rPr>
            </w:pPr>
          </w:p>
        </w:tc>
      </w:tr>
      <w:tr>
        <w:trPr>
          <w:trHeight w:val="192"/>
        </w:trPr>
        <w:tc>
          <w:tcPr>
            <w:tcW w:w="7000" w:type="dxa"/>
            <w:vAlign w:val="bottom"/>
            <w:shd w:val="clear" w:color="auto" w:fill="CCEEFF"/>
          </w:tcPr>
          <w:p>
            <w:pPr>
              <w:spacing w:after="0"/>
              <w:rPr>
                <w:sz w:val="20"/>
                <w:szCs w:val="20"/>
                <w:color w:val="auto"/>
              </w:rPr>
            </w:pPr>
            <w:r>
              <w:rPr>
                <w:rFonts w:ascii="Arial" w:cs="Arial" w:eastAsia="Arial" w:hAnsi="Arial"/>
                <w:sz w:val="15"/>
                <w:szCs w:val="15"/>
                <w:color w:val="auto"/>
              </w:rPr>
              <w:t>Income tax (provision) benefit</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(8,061)</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6,608</w:t>
            </w:r>
          </w:p>
        </w:tc>
        <w:tc>
          <w:tcPr>
            <w:tcW w:w="80" w:type="dxa"/>
            <w:vAlign w:val="bottom"/>
            <w:shd w:val="clear" w:color="auto" w:fill="CCEEFF"/>
          </w:tcPr>
          <w:p>
            <w:pPr>
              <w:spacing w:after="0"/>
              <w:rPr>
                <w:sz w:val="16"/>
                <w:szCs w:val="16"/>
                <w:color w:val="auto"/>
              </w:rPr>
            </w:pPr>
          </w:p>
        </w:tc>
      </w:tr>
      <w:tr>
        <w:trPr>
          <w:trHeight w:val="227"/>
        </w:trPr>
        <w:tc>
          <w:tcPr>
            <w:tcW w:w="700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Net income (loss)</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30,897</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(20,892)</w:t>
            </w:r>
          </w:p>
        </w:tc>
        <w:tc>
          <w:tcPr>
            <w:tcW w:w="80" w:type="dxa"/>
            <w:vAlign w:val="bottom"/>
            <w:tcBorders>
              <w:bottom w:val="single" w:sz="8" w:color="CCEEFF"/>
            </w:tcBorders>
          </w:tcPr>
          <w:p>
            <w:pPr>
              <w:spacing w:after="0"/>
              <w:rPr>
                <w:sz w:val="19"/>
                <w:szCs w:val="19"/>
                <w:color w:val="auto"/>
              </w:rPr>
            </w:pPr>
          </w:p>
        </w:tc>
      </w:tr>
      <w:tr>
        <w:trPr>
          <w:trHeight w:val="170"/>
        </w:trPr>
        <w:tc>
          <w:tcPr>
            <w:tcW w:w="7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32"/>
        </w:trPr>
        <w:tc>
          <w:tcPr>
            <w:tcW w:w="70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Basic net income (loss) per common share</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c>
          <w:tcPr>
            <w:tcW w:w="80" w:type="dxa"/>
            <w:vAlign w:val="bottom"/>
            <w:tcBorders>
              <w:bottom w:val="single" w:sz="8" w:color="CCEEFF"/>
            </w:tcBorders>
          </w:tcPr>
          <w:p>
            <w:pPr>
              <w:spacing w:after="0"/>
              <w:rPr>
                <w:sz w:val="20"/>
                <w:szCs w:val="20"/>
                <w:color w:val="auto"/>
              </w:rPr>
            </w:pPr>
          </w:p>
        </w:tc>
      </w:tr>
      <w:tr>
        <w:trPr>
          <w:trHeight w:val="170"/>
        </w:trPr>
        <w:tc>
          <w:tcPr>
            <w:tcW w:w="70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Diluted net income (loss) per common share</w:t>
            </w:r>
          </w:p>
        </w:tc>
        <w:tc>
          <w:tcPr>
            <w:tcW w:w="180" w:type="dxa"/>
            <w:vAlign w:val="bottom"/>
            <w:tcBorders>
              <w:bottom w:val="single" w:sz="8" w:color="auto"/>
            </w:tcBorders>
            <w:shd w:val="clear" w:color="auto" w:fill="CCEEFF"/>
          </w:tcPr>
          <w:p>
            <w:pPr>
              <w:jc w:val="right"/>
              <w:ind w:right="23"/>
              <w:spacing w:after="0" w:line="170"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3.23</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3"/>
              <w:spacing w:after="0" w:line="170"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(2.00)</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2"/>
        </w:trPr>
        <w:tc>
          <w:tcPr>
            <w:tcW w:w="700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number of shares outstanding</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2"/>
        </w:trPr>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Basic</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9,450</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10,443</w:t>
            </w:r>
          </w:p>
        </w:tc>
        <w:tc>
          <w:tcPr>
            <w:tcW w:w="80" w:type="dxa"/>
            <w:vAlign w:val="bottom"/>
            <w:tcBorders>
              <w:bottom w:val="single" w:sz="8" w:color="CCEEFF"/>
            </w:tcBorders>
          </w:tcPr>
          <w:p>
            <w:pPr>
              <w:spacing w:after="0"/>
              <w:rPr>
                <w:sz w:val="20"/>
                <w:szCs w:val="20"/>
                <w:color w:val="auto"/>
              </w:rPr>
            </w:pPr>
          </w:p>
        </w:tc>
      </w:tr>
      <w:tr>
        <w:trPr>
          <w:trHeight w:val="170"/>
        </w:trPr>
        <w:tc>
          <w:tcPr>
            <w:tcW w:w="7000" w:type="dxa"/>
            <w:vAlign w:val="bottom"/>
            <w:tcBorders>
              <w:bottom w:val="single" w:sz="8" w:color="CCEEFF"/>
            </w:tcBorders>
            <w:shd w:val="clear" w:color="auto" w:fill="CCEEFF"/>
          </w:tcPr>
          <w:p>
            <w:pPr>
              <w:ind w:left="200"/>
              <w:spacing w:after="0" w:line="170" w:lineRule="exact"/>
              <w:rPr>
                <w:sz w:val="20"/>
                <w:szCs w:val="20"/>
                <w:color w:val="auto"/>
              </w:rPr>
            </w:pPr>
            <w:r>
              <w:rPr>
                <w:rFonts w:ascii="Arial" w:cs="Arial" w:eastAsia="Arial" w:hAnsi="Arial"/>
                <w:sz w:val="15"/>
                <w:szCs w:val="15"/>
                <w:color w:val="auto"/>
              </w:rPr>
              <w:t>Diluted</w:t>
            </w: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9,571</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10,443</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3105" cy="16510"/>
                    </a:xfrm>
                    <a:prstGeom prst="rect">
                      <a:avLst/>
                    </a:prstGeom>
                    <a:noFill/>
                  </pic:spPr>
                </pic:pic>
              </a:graphicData>
            </a:graphic>
          </wp:anchor>
        </w:drawing>
      </w:r>
    </w:p>
    <w:p>
      <w:pPr>
        <w:sectPr>
          <w:pgSz w:w="11900" w:h="16838" w:orient="portrait"/>
          <w:cols w:equalWidth="0" w:num="1">
            <w:col w:w="9120"/>
          </w:cols>
          <w:pgMar w:left="1380" w:top="498" w:right="139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Citi Trends, Inc.</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30" w:lineRule="exact"/>
        <w:rPr>
          <w:sz w:val="20"/>
          <w:szCs w:val="20"/>
          <w:color w:val="auto"/>
        </w:rPr>
      </w:pPr>
    </w:p>
    <w:p>
      <w:pPr>
        <w:ind w:left="4160"/>
        <w:spacing w:after="0"/>
        <w:rPr>
          <w:sz w:val="20"/>
          <w:szCs w:val="20"/>
          <w:color w:val="auto"/>
        </w:rPr>
      </w:pPr>
      <w:r>
        <w:rPr>
          <w:rFonts w:ascii="Arial" w:cs="Arial" w:eastAsia="Arial" w:hAnsi="Arial"/>
          <w:sz w:val="15"/>
          <w:szCs w:val="15"/>
          <w:b w:val="1"/>
          <w:bCs w:val="1"/>
          <w:color w:val="auto"/>
        </w:rPr>
        <w:t>(Unaudited)</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4"/>
          </w:tcPr>
          <w:p>
            <w:pPr>
              <w:jc w:val="right"/>
              <w:ind w:right="304"/>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35"/>
        </w:trPr>
        <w:tc>
          <w:tcPr>
            <w:tcW w:w="6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May 1,</w:t>
            </w: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44"/>
              <w:spacing w:after="0" w:line="135" w:lineRule="exact"/>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165"/>
        </w:trPr>
        <w:tc>
          <w:tcPr>
            <w:tcW w:w="63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2"/>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340" w:type="dxa"/>
            <w:vAlign w:val="bottom"/>
          </w:tcPr>
          <w:p>
            <w:pPr>
              <w:ind w:left="200"/>
              <w:spacing w:after="0"/>
              <w:rPr>
                <w:sz w:val="20"/>
                <w:szCs w:val="20"/>
                <w:color w:val="auto"/>
              </w:rPr>
            </w:pPr>
            <w:r>
              <w:rPr>
                <w:rFonts w:ascii="Arial" w:cs="Arial" w:eastAsia="Arial" w:hAnsi="Arial"/>
                <w:sz w:val="15"/>
                <w:szCs w:val="15"/>
                <w:color w:val="auto"/>
              </w:rPr>
              <w:t>Net income (loss)</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30,897</w:t>
            </w:r>
          </w:p>
        </w:tc>
        <w:tc>
          <w:tcPr>
            <w:tcW w:w="200" w:type="dxa"/>
            <w:vAlign w:val="bottom"/>
          </w:tcPr>
          <w:p>
            <w:pPr>
              <w:spacing w:after="0"/>
              <w:rPr>
                <w:sz w:val="16"/>
                <w:szCs w:val="16"/>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(20,892)</w:t>
            </w: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40" w:type="dxa"/>
            <w:vAlign w:val="bottom"/>
          </w:tcPr>
          <w:p>
            <w:pPr>
              <w:ind w:left="300"/>
              <w:spacing w:after="0"/>
              <w:rPr>
                <w:sz w:val="20"/>
                <w:szCs w:val="20"/>
                <w:color w:val="auto"/>
              </w:rPr>
            </w:pPr>
            <w:r>
              <w:rPr>
                <w:rFonts w:ascii="Arial" w:cs="Arial" w:eastAsia="Arial" w:hAnsi="Arial"/>
                <w:sz w:val="15"/>
                <w:szCs w:val="15"/>
                <w:color w:val="auto"/>
              </w:rPr>
              <w:t>Depreciation</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4,697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4,946</w:t>
            </w: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Non-cash operating lease costs</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12,210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11,756</w:t>
            </w:r>
          </w:p>
        </w:tc>
        <w:tc>
          <w:tcPr>
            <w:tcW w:w="0" w:type="dxa"/>
            <w:vAlign w:val="bottom"/>
          </w:tcPr>
          <w:p>
            <w:pPr>
              <w:spacing w:after="0"/>
              <w:rPr>
                <w:sz w:val="1"/>
                <w:szCs w:val="1"/>
                <w:color w:val="auto"/>
              </w:rPr>
            </w:pPr>
          </w:p>
        </w:tc>
      </w:tr>
      <w:tr>
        <w:trPr>
          <w:trHeight w:val="192"/>
        </w:trPr>
        <w:tc>
          <w:tcPr>
            <w:tcW w:w="6340" w:type="dxa"/>
            <w:vAlign w:val="bottom"/>
          </w:tcPr>
          <w:p>
            <w:pPr>
              <w:ind w:left="300"/>
              <w:spacing w:after="0"/>
              <w:rPr>
                <w:sz w:val="20"/>
                <w:szCs w:val="20"/>
                <w:color w:val="auto"/>
              </w:rPr>
            </w:pPr>
            <w:r>
              <w:rPr>
                <w:rFonts w:ascii="Arial" w:cs="Arial" w:eastAsia="Arial" w:hAnsi="Arial"/>
                <w:sz w:val="15"/>
                <w:szCs w:val="15"/>
                <w:color w:val="auto"/>
              </w:rPr>
              <w:t>Asset impairment</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Loss on disposal of property and equipment</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2"/>
        </w:trPr>
        <w:tc>
          <w:tcPr>
            <w:tcW w:w="6340" w:type="dxa"/>
            <w:vAlign w:val="bottom"/>
          </w:tcPr>
          <w:p>
            <w:pPr>
              <w:ind w:left="300"/>
              <w:spacing w:after="0"/>
              <w:rPr>
                <w:sz w:val="20"/>
                <w:szCs w:val="20"/>
                <w:color w:val="auto"/>
              </w:rPr>
            </w:pPr>
            <w:r>
              <w:rPr>
                <w:rFonts w:ascii="Arial" w:cs="Arial" w:eastAsia="Arial" w:hAnsi="Arial"/>
                <w:sz w:val="15"/>
                <w:szCs w:val="15"/>
                <w:color w:val="auto"/>
              </w:rPr>
              <w:t>Deferred income taxes</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1,054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(7,665)</w:t>
            </w: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Insurance proceeds related to operating activities</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6340" w:type="dxa"/>
            <w:vAlign w:val="bottom"/>
          </w:tcPr>
          <w:p>
            <w:pPr>
              <w:ind w:left="300"/>
              <w:spacing w:after="0"/>
              <w:rPr>
                <w:sz w:val="20"/>
                <w:szCs w:val="20"/>
                <w:color w:val="auto"/>
              </w:rPr>
            </w:pPr>
            <w:r>
              <w:rPr>
                <w:rFonts w:ascii="Arial" w:cs="Arial" w:eastAsia="Arial" w:hAnsi="Arial"/>
                <w:sz w:val="15"/>
                <w:szCs w:val="15"/>
                <w:color w:val="auto"/>
              </w:rPr>
              <w:t>Non-cash stock-based compensation expense</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1,087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469</w:t>
            </w: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Changes in assets and liabilities:</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40" w:type="dxa"/>
            <w:vAlign w:val="bottom"/>
          </w:tcPr>
          <w:p>
            <w:pPr>
              <w:ind w:left="420"/>
              <w:spacing w:after="0"/>
              <w:rPr>
                <w:sz w:val="20"/>
                <w:szCs w:val="20"/>
                <w:color w:val="auto"/>
              </w:rPr>
            </w:pPr>
            <w:r>
              <w:rPr>
                <w:rFonts w:ascii="Arial" w:cs="Arial" w:eastAsia="Arial" w:hAnsi="Arial"/>
                <w:sz w:val="15"/>
                <w:szCs w:val="15"/>
                <w:color w:val="auto"/>
              </w:rPr>
              <w:t>Inventory</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1,653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16,373</w:t>
            </w: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Prepaid and other current assets</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(1,932)</w:t>
            </w:r>
          </w:p>
        </w:tc>
        <w:tc>
          <w:tcPr>
            <w:tcW w:w="1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4,201</w:t>
            </w:r>
          </w:p>
        </w:tc>
        <w:tc>
          <w:tcPr>
            <w:tcW w:w="0" w:type="dxa"/>
            <w:vAlign w:val="bottom"/>
          </w:tcPr>
          <w:p>
            <w:pPr>
              <w:spacing w:after="0"/>
              <w:rPr>
                <w:sz w:val="1"/>
                <w:szCs w:val="1"/>
                <w:color w:val="auto"/>
              </w:rPr>
            </w:pPr>
          </w:p>
        </w:tc>
      </w:tr>
      <w:tr>
        <w:trPr>
          <w:trHeight w:val="192"/>
        </w:trPr>
        <w:tc>
          <w:tcPr>
            <w:tcW w:w="6340" w:type="dxa"/>
            <w:vAlign w:val="bottom"/>
          </w:tcPr>
          <w:p>
            <w:pPr>
              <w:ind w:left="420"/>
              <w:spacing w:after="0"/>
              <w:rPr>
                <w:sz w:val="20"/>
                <w:szCs w:val="20"/>
                <w:color w:val="auto"/>
              </w:rPr>
            </w:pPr>
            <w:r>
              <w:rPr>
                <w:rFonts w:ascii="Arial" w:cs="Arial" w:eastAsia="Arial" w:hAnsi="Arial"/>
                <w:sz w:val="15"/>
                <w:szCs w:val="15"/>
                <w:color w:val="auto"/>
              </w:rPr>
              <w:t>Other assets</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(402)</w:t>
            </w:r>
          </w:p>
        </w:tc>
        <w:tc>
          <w:tcPr>
            <w:tcW w:w="18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Accounts payable</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24,530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14,030</w:t>
            </w:r>
          </w:p>
        </w:tc>
        <w:tc>
          <w:tcPr>
            <w:tcW w:w="0" w:type="dxa"/>
            <w:vAlign w:val="bottom"/>
          </w:tcPr>
          <w:p>
            <w:pPr>
              <w:spacing w:after="0"/>
              <w:rPr>
                <w:sz w:val="1"/>
                <w:szCs w:val="1"/>
                <w:color w:val="auto"/>
              </w:rPr>
            </w:pPr>
          </w:p>
        </w:tc>
      </w:tr>
      <w:tr>
        <w:trPr>
          <w:trHeight w:val="192"/>
        </w:trPr>
        <w:tc>
          <w:tcPr>
            <w:tcW w:w="6340" w:type="dxa"/>
            <w:vAlign w:val="bottom"/>
          </w:tcPr>
          <w:p>
            <w:pPr>
              <w:ind w:left="420"/>
              <w:spacing w:after="0"/>
              <w:rPr>
                <w:sz w:val="20"/>
                <w:szCs w:val="20"/>
                <w:color w:val="auto"/>
              </w:rPr>
            </w:pPr>
            <w:r>
              <w:rPr>
                <w:rFonts w:ascii="Arial" w:cs="Arial" w:eastAsia="Arial" w:hAnsi="Arial"/>
                <w:sz w:val="15"/>
                <w:szCs w:val="15"/>
                <w:color w:val="auto"/>
              </w:rPr>
              <w:t>Accrued expenses and other long-term liabilities</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(8,598)</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(6,795)</w:t>
            </w: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Accrued compensation</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(11,248)</w:t>
            </w:r>
          </w:p>
        </w:tc>
        <w:tc>
          <w:tcPr>
            <w:tcW w:w="1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(5,490)</w:t>
            </w:r>
          </w:p>
        </w:tc>
        <w:tc>
          <w:tcPr>
            <w:tcW w:w="0" w:type="dxa"/>
            <w:vAlign w:val="bottom"/>
          </w:tcPr>
          <w:p>
            <w:pPr>
              <w:spacing w:after="0"/>
              <w:rPr>
                <w:sz w:val="1"/>
                <w:szCs w:val="1"/>
                <w:color w:val="auto"/>
              </w:rPr>
            </w:pPr>
          </w:p>
        </w:tc>
      </w:tr>
      <w:tr>
        <w:trPr>
          <w:trHeight w:val="192"/>
        </w:trPr>
        <w:tc>
          <w:tcPr>
            <w:tcW w:w="6340" w:type="dxa"/>
            <w:vAlign w:val="bottom"/>
          </w:tcPr>
          <w:p>
            <w:pPr>
              <w:ind w:left="420"/>
              <w:spacing w:after="0"/>
              <w:rPr>
                <w:sz w:val="20"/>
                <w:szCs w:val="20"/>
                <w:color w:val="auto"/>
              </w:rPr>
            </w:pPr>
            <w:r>
              <w:rPr>
                <w:rFonts w:ascii="Arial" w:cs="Arial" w:eastAsia="Arial" w:hAnsi="Arial"/>
                <w:sz w:val="15"/>
                <w:szCs w:val="15"/>
                <w:color w:val="auto"/>
              </w:rPr>
              <w:t>Income tax payable</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6,980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1,101</w:t>
            </w: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Layaway deposits</w:t>
            </w:r>
          </w:p>
        </w:tc>
        <w:tc>
          <w:tcPr>
            <w:tcW w:w="6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righ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495</w:t>
            </w:r>
          </w:p>
        </w:tc>
        <w:tc>
          <w:tcPr>
            <w:tcW w:w="0" w:type="dxa"/>
            <w:vAlign w:val="bottom"/>
          </w:tcPr>
          <w:p>
            <w:pPr>
              <w:spacing w:after="0"/>
              <w:rPr>
                <w:sz w:val="1"/>
                <w:szCs w:val="1"/>
                <w:color w:val="auto"/>
              </w:rPr>
            </w:pPr>
          </w:p>
        </w:tc>
      </w:tr>
      <w:tr>
        <w:trPr>
          <w:trHeight w:val="172"/>
        </w:trPr>
        <w:tc>
          <w:tcPr>
            <w:tcW w:w="634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Net cash provided by operating activities</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61,739</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12,820</w:t>
            </w:r>
          </w:p>
        </w:tc>
        <w:tc>
          <w:tcPr>
            <w:tcW w:w="0" w:type="dxa"/>
            <w:vAlign w:val="bottom"/>
          </w:tcPr>
          <w:p>
            <w:pPr>
              <w:spacing w:after="0"/>
              <w:rPr>
                <w:sz w:val="1"/>
                <w:szCs w:val="1"/>
                <w:color w:val="auto"/>
              </w:rPr>
            </w:pPr>
          </w:p>
        </w:tc>
      </w:tr>
      <w:tr>
        <w:trPr>
          <w:trHeight w:val="172"/>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Investing activities:</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340" w:type="dxa"/>
            <w:vAlign w:val="bottom"/>
          </w:tcPr>
          <w:p>
            <w:pPr>
              <w:ind w:left="200"/>
              <w:spacing w:after="0"/>
              <w:rPr>
                <w:sz w:val="20"/>
                <w:szCs w:val="20"/>
                <w:color w:val="auto"/>
              </w:rPr>
            </w:pPr>
            <w:r>
              <w:rPr>
                <w:rFonts w:ascii="Arial" w:cs="Arial" w:eastAsia="Arial" w:hAnsi="Arial"/>
                <w:sz w:val="15"/>
                <w:szCs w:val="15"/>
                <w:color w:val="auto"/>
              </w:rPr>
              <w:t>Sales/redemptions of investment securities</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43,754</w:t>
            </w: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Purchases of investment securities</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(522)</w:t>
            </w:r>
          </w:p>
        </w:tc>
        <w:tc>
          <w:tcPr>
            <w:tcW w:w="0" w:type="dxa"/>
            <w:vAlign w:val="bottom"/>
          </w:tcPr>
          <w:p>
            <w:pPr>
              <w:spacing w:after="0"/>
              <w:rPr>
                <w:sz w:val="1"/>
                <w:szCs w:val="1"/>
                <w:color w:val="auto"/>
              </w:rPr>
            </w:pPr>
          </w:p>
        </w:tc>
      </w:tr>
      <w:tr>
        <w:trPr>
          <w:trHeight w:val="192"/>
        </w:trPr>
        <w:tc>
          <w:tcPr>
            <w:tcW w:w="6340" w:type="dxa"/>
            <w:vAlign w:val="bottom"/>
          </w:tcPr>
          <w:p>
            <w:pPr>
              <w:ind w:left="200"/>
              <w:spacing w:after="0"/>
              <w:rPr>
                <w:sz w:val="20"/>
                <w:szCs w:val="20"/>
                <w:color w:val="auto"/>
              </w:rPr>
            </w:pPr>
            <w:r>
              <w:rPr>
                <w:rFonts w:ascii="Arial" w:cs="Arial" w:eastAsia="Arial" w:hAnsi="Arial"/>
                <w:sz w:val="15"/>
                <w:szCs w:val="15"/>
                <w:color w:val="auto"/>
              </w:rPr>
              <w:t>Purchases of property and equipment</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(5,936)</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(3,981)</w:t>
            </w: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Insurance proceeds related to investing activities</w:t>
            </w:r>
          </w:p>
        </w:tc>
        <w:tc>
          <w:tcPr>
            <w:tcW w:w="6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righ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6340" w:type="dxa"/>
            <w:vAlign w:val="bottom"/>
          </w:tcPr>
          <w:p>
            <w:pPr>
              <w:ind w:left="620"/>
              <w:spacing w:after="0"/>
              <w:rPr>
                <w:sz w:val="20"/>
                <w:szCs w:val="20"/>
                <w:color w:val="auto"/>
              </w:rPr>
            </w:pPr>
            <w:r>
              <w:rPr>
                <w:rFonts w:ascii="Arial" w:cs="Arial" w:eastAsia="Arial" w:hAnsi="Arial"/>
                <w:sz w:val="15"/>
                <w:szCs w:val="15"/>
                <w:color w:val="auto"/>
              </w:rPr>
              <w:t>Net cash (used in) provided by investing activities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(5,745)</w:t>
            </w:r>
          </w:p>
        </w:tc>
        <w:tc>
          <w:tcPr>
            <w:tcW w:w="180" w:type="dxa"/>
            <w:vAlign w:val="bottom"/>
          </w:tcPr>
          <w:p>
            <w:pPr>
              <w:spacing w:after="0"/>
              <w:rPr>
                <w:sz w:val="14"/>
                <w:szCs w:val="1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39,251</w:t>
            </w:r>
          </w:p>
        </w:tc>
        <w:tc>
          <w:tcPr>
            <w:tcW w:w="0" w:type="dxa"/>
            <w:vAlign w:val="bottom"/>
          </w:tcPr>
          <w:p>
            <w:pPr>
              <w:spacing w:after="0"/>
              <w:rPr>
                <w:sz w:val="1"/>
                <w:szCs w:val="1"/>
                <w:color w:val="auto"/>
              </w:rPr>
            </w:pPr>
          </w:p>
        </w:tc>
      </w:tr>
      <w:tr>
        <w:trPr>
          <w:trHeight w:val="172"/>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Financing activities:</w:t>
            </w:r>
          </w:p>
        </w:tc>
        <w:tc>
          <w:tcPr>
            <w:tcW w:w="6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340" w:type="dxa"/>
            <w:vAlign w:val="bottom"/>
          </w:tcPr>
          <w:p>
            <w:pPr>
              <w:ind w:left="200"/>
              <w:spacing w:after="0"/>
              <w:rPr>
                <w:sz w:val="20"/>
                <w:szCs w:val="20"/>
                <w:color w:val="auto"/>
              </w:rPr>
            </w:pPr>
            <w:r>
              <w:rPr>
                <w:rFonts w:ascii="Arial" w:cs="Arial" w:eastAsia="Arial" w:hAnsi="Arial"/>
                <w:sz w:val="15"/>
                <w:szCs w:val="15"/>
                <w:color w:val="auto"/>
              </w:rPr>
              <w:t>Borrowings under revolving credit facility</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43,700</w:t>
            </w: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Payments of debt issuance costs</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(270)</w:t>
            </w:r>
          </w:p>
        </w:tc>
        <w:tc>
          <w:tcPr>
            <w:tcW w:w="1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6340" w:type="dxa"/>
            <w:vAlign w:val="bottom"/>
          </w:tcPr>
          <w:p>
            <w:pPr>
              <w:ind w:left="200"/>
              <w:spacing w:after="0"/>
              <w:rPr>
                <w:sz w:val="20"/>
                <w:szCs w:val="20"/>
                <w:color w:val="auto"/>
              </w:rPr>
            </w:pPr>
            <w:r>
              <w:rPr>
                <w:rFonts w:ascii="Arial" w:cs="Arial" w:eastAsia="Arial" w:hAnsi="Arial"/>
                <w:sz w:val="15"/>
                <w:szCs w:val="15"/>
                <w:color w:val="auto"/>
              </w:rPr>
              <w:t>Cash used to settle withholding taxes on the vesting of nonvested restricted stock</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(2,155)</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(479)</w:t>
            </w: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Dividends paid to stockholders</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(831)</w:t>
            </w:r>
          </w:p>
        </w:tc>
        <w:tc>
          <w:tcPr>
            <w:tcW w:w="0" w:type="dxa"/>
            <w:vAlign w:val="bottom"/>
          </w:tcPr>
          <w:p>
            <w:pPr>
              <w:spacing w:after="0"/>
              <w:rPr>
                <w:sz w:val="1"/>
                <w:szCs w:val="1"/>
                <w:color w:val="auto"/>
              </w:rPr>
            </w:pPr>
          </w:p>
        </w:tc>
      </w:tr>
      <w:tr>
        <w:trPr>
          <w:trHeight w:val="192"/>
        </w:trPr>
        <w:tc>
          <w:tcPr>
            <w:tcW w:w="6340" w:type="dxa"/>
            <w:vAlign w:val="bottom"/>
          </w:tcPr>
          <w:p>
            <w:pPr>
              <w:ind w:left="200"/>
              <w:spacing w:after="0"/>
              <w:rPr>
                <w:sz w:val="20"/>
                <w:szCs w:val="20"/>
                <w:color w:val="auto"/>
              </w:rPr>
            </w:pPr>
            <w:r>
              <w:rPr>
                <w:rFonts w:ascii="Arial" w:cs="Arial" w:eastAsia="Arial" w:hAnsi="Arial"/>
                <w:sz w:val="15"/>
                <w:szCs w:val="15"/>
                <w:color w:val="auto"/>
              </w:rPr>
              <w:t>Repurchases of common stock</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(45,470)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(6,254)</w:t>
            </w:r>
          </w:p>
        </w:tc>
        <w:tc>
          <w:tcPr>
            <w:tcW w:w="0" w:type="dxa"/>
            <w:vAlign w:val="bottom"/>
          </w:tcPr>
          <w:p>
            <w:pPr>
              <w:spacing w:after="0"/>
              <w:rPr>
                <w:sz w:val="1"/>
                <w:szCs w:val="1"/>
                <w:color w:val="auto"/>
              </w:rPr>
            </w:pPr>
          </w:p>
        </w:tc>
      </w:tr>
      <w:tr>
        <w:trPr>
          <w:trHeight w:val="172"/>
        </w:trPr>
        <w:tc>
          <w:tcPr>
            <w:tcW w:w="634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Net cash (used in) provided by financing activities</w:t>
            </w:r>
          </w:p>
        </w:tc>
        <w:tc>
          <w:tcPr>
            <w:tcW w:w="6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(47,895)</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righ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36,136</w:t>
            </w:r>
          </w:p>
        </w:tc>
        <w:tc>
          <w:tcPr>
            <w:tcW w:w="0" w:type="dxa"/>
            <w:vAlign w:val="bottom"/>
          </w:tcPr>
          <w:p>
            <w:pPr>
              <w:spacing w:after="0"/>
              <w:rPr>
                <w:sz w:val="1"/>
                <w:szCs w:val="1"/>
                <w:color w:val="auto"/>
              </w:rPr>
            </w:pPr>
          </w:p>
        </w:tc>
      </w:tr>
      <w:tr>
        <w:trPr>
          <w:trHeight w:val="172"/>
        </w:trPr>
        <w:tc>
          <w:tcPr>
            <w:tcW w:w="6340" w:type="dxa"/>
            <w:vAlign w:val="bottom"/>
          </w:tcPr>
          <w:p>
            <w:pPr>
              <w:ind w:left="620"/>
              <w:spacing w:after="0"/>
              <w:rPr>
                <w:sz w:val="20"/>
                <w:szCs w:val="20"/>
                <w:color w:val="auto"/>
              </w:rPr>
            </w:pPr>
            <w:r>
              <w:rPr>
                <w:rFonts w:ascii="Arial" w:cs="Arial" w:eastAsia="Arial" w:hAnsi="Arial"/>
                <w:sz w:val="15"/>
                <w:szCs w:val="15"/>
                <w:color w:val="auto"/>
              </w:rPr>
              <w:t>Net increase in cash and cash equivalents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8,099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88,207</w:t>
            </w: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Beginning of period</w:t>
            </w:r>
          </w:p>
        </w:tc>
        <w:tc>
          <w:tcPr>
            <w:tcW w:w="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123,177</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19,923</w:t>
            </w:r>
          </w:p>
        </w:tc>
        <w:tc>
          <w:tcPr>
            <w:tcW w:w="0" w:type="dxa"/>
            <w:vAlign w:val="bottom"/>
          </w:tcPr>
          <w:p>
            <w:pPr>
              <w:spacing w:after="0"/>
              <w:rPr>
                <w:sz w:val="1"/>
                <w:szCs w:val="1"/>
                <w:color w:val="auto"/>
              </w:rPr>
            </w:pPr>
          </w:p>
        </w:tc>
      </w:tr>
      <w:tr>
        <w:trPr>
          <w:trHeight w:val="172"/>
        </w:trPr>
        <w:tc>
          <w:tcPr>
            <w:tcW w:w="63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End of period</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131,276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108,130</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Supplemental disclosures of cash flow information:</w:t>
            </w: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40" w:type="dxa"/>
            <w:vAlign w:val="bottom"/>
          </w:tcPr>
          <w:p>
            <w:pPr>
              <w:ind w:left="620"/>
              <w:spacing w:after="0"/>
              <w:rPr>
                <w:sz w:val="20"/>
                <w:szCs w:val="20"/>
                <w:color w:val="auto"/>
              </w:rPr>
            </w:pPr>
            <w:r>
              <w:rPr>
                <w:rFonts w:ascii="Arial" w:cs="Arial" w:eastAsia="Arial" w:hAnsi="Arial"/>
                <w:sz w:val="15"/>
                <w:szCs w:val="15"/>
                <w:color w:val="auto"/>
              </w:rPr>
              <w:t>Cash paid for interest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32</w:t>
            </w:r>
          </w:p>
        </w:tc>
        <w:tc>
          <w:tcPr>
            <w:tcW w:w="2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vMerge w:val="restart"/>
            <w:shd w:val="clear" w:color="auto" w:fill="CCEEFF"/>
          </w:tcPr>
          <w:p>
            <w:pPr>
              <w:ind w:left="620"/>
              <w:spacing w:after="0"/>
              <w:rPr>
                <w:sz w:val="20"/>
                <w:szCs w:val="20"/>
                <w:color w:val="auto"/>
              </w:rPr>
            </w:pPr>
            <w:r>
              <w:rPr>
                <w:rFonts w:ascii="Arial" w:cs="Arial" w:eastAsia="Arial" w:hAnsi="Arial"/>
                <w:sz w:val="15"/>
                <w:szCs w:val="15"/>
                <w:color w:val="auto"/>
              </w:rPr>
              <w:t>Cash payments (refunds) of income taxes</w:t>
            </w: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40" w:type="dxa"/>
            <w:vAlign w:val="bottom"/>
            <w:vMerge w:val="continue"/>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27</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3"/>
              <w:spacing w:after="0" w:line="157" w:lineRule="exact"/>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Supplemental disclosures of non-cash investing activities:</w:t>
            </w: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4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340" w:type="dxa"/>
            <w:vAlign w:val="bottom"/>
            <w:shd w:val="clear" w:color="auto" w:fill="CCEEFF"/>
          </w:tcPr>
          <w:p>
            <w:pPr>
              <w:ind w:left="620"/>
              <w:spacing w:after="0"/>
              <w:rPr>
                <w:sz w:val="20"/>
                <w:szCs w:val="20"/>
                <w:color w:val="auto"/>
              </w:rPr>
            </w:pPr>
            <w:r>
              <w:rPr>
                <w:rFonts w:ascii="Arial" w:cs="Arial" w:eastAsia="Arial" w:hAnsi="Arial"/>
                <w:sz w:val="15"/>
                <w:szCs w:val="15"/>
                <w:color w:val="auto"/>
              </w:rPr>
              <w:t>Accrual for purchases of property and equipment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1,023</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936</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3105" cy="16510"/>
                    </a:xfrm>
                    <a:prstGeom prst="rect">
                      <a:avLst/>
                    </a:prstGeom>
                    <a:noFill/>
                  </pic:spPr>
                </pic:pic>
              </a:graphicData>
            </a:graphic>
          </wp:anchor>
        </w:drawing>
      </w:r>
    </w:p>
    <w:p>
      <w:pPr>
        <w:sectPr>
          <w:pgSz w:w="11900" w:h="16838" w:orient="portrait"/>
          <w:cols w:equalWidth="0" w:num="1">
            <w:col w:w="9120"/>
          </w:cols>
          <w:pgMar w:left="1380" w:top="498" w:right="139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00"/>
        <w:spacing w:after="0"/>
        <w:rPr>
          <w:sz w:val="20"/>
          <w:szCs w:val="20"/>
          <w:color w:val="auto"/>
        </w:rPr>
      </w:pPr>
      <w:r>
        <w:rPr>
          <w:rFonts w:ascii="Arial" w:cs="Arial" w:eastAsia="Arial" w:hAnsi="Arial"/>
          <w:sz w:val="15"/>
          <w:szCs w:val="15"/>
          <w:b w:val="1"/>
          <w:bCs w:val="1"/>
          <w:color w:val="auto"/>
        </w:rPr>
        <w:t>Citi Trends, Inc.</w:t>
      </w:r>
    </w:p>
    <w:p>
      <w:pPr>
        <w:spacing w:after="0" w:line="32" w:lineRule="exact"/>
        <w:rPr>
          <w:sz w:val="20"/>
          <w:szCs w:val="20"/>
          <w:color w:val="auto"/>
        </w:rPr>
      </w:pPr>
    </w:p>
    <w:p>
      <w:pPr>
        <w:ind w:left="2320"/>
        <w:spacing w:after="0"/>
        <w:rPr>
          <w:sz w:val="20"/>
          <w:szCs w:val="20"/>
          <w:color w:val="auto"/>
        </w:rPr>
      </w:pPr>
      <w:r>
        <w:rPr>
          <w:rFonts w:ascii="Arial" w:cs="Arial" w:eastAsia="Arial" w:hAnsi="Arial"/>
          <w:sz w:val="15"/>
          <w:szCs w:val="15"/>
          <w:b w:val="1"/>
          <w:bCs w:val="1"/>
          <w:color w:val="auto"/>
        </w:rPr>
        <w:t>Condensed Consolidated Statements of Stockholders’ Equity</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640" w:type="dxa"/>
            <w:vAlign w:val="bottom"/>
            <w:gridSpan w:val="2"/>
          </w:tcPr>
          <w:p>
            <w:pPr>
              <w:jc w:val="right"/>
              <w:ind w:right="44"/>
              <w:spacing w:after="0"/>
              <w:rPr>
                <w:sz w:val="20"/>
                <w:szCs w:val="20"/>
                <w:color w:val="auto"/>
              </w:rPr>
            </w:pPr>
            <w:r>
              <w:rPr>
                <w:rFonts w:ascii="Arial" w:cs="Arial" w:eastAsia="Arial" w:hAnsi="Arial"/>
                <w:sz w:val="14"/>
                <w:szCs w:val="14"/>
                <w:b w:val="1"/>
                <w:bCs w:val="1"/>
                <w:color w:val="auto"/>
              </w:rPr>
              <w:t>Paid in</w:t>
            </w: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Retained</w:t>
            </w: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9"/>
        </w:trPr>
        <w:tc>
          <w:tcPr>
            <w:tcW w:w="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ind w:left="180"/>
              <w:spacing w:after="0" w:line="159"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3"/>
                <w:szCs w:val="13"/>
                <w:color w:val="auto"/>
              </w:rPr>
            </w:pPr>
          </w:p>
        </w:tc>
        <w:tc>
          <w:tcPr>
            <w:tcW w:w="640" w:type="dxa"/>
            <w:vAlign w:val="bottom"/>
            <w:gridSpan w:val="2"/>
          </w:tcPr>
          <w:p>
            <w:pPr>
              <w:jc w:val="right"/>
              <w:ind w:right="44"/>
              <w:spacing w:after="0" w:line="159" w:lineRule="exact"/>
              <w:rPr>
                <w:sz w:val="20"/>
                <w:szCs w:val="20"/>
                <w:color w:val="auto"/>
              </w:rPr>
            </w:pPr>
            <w:r>
              <w:rPr>
                <w:rFonts w:ascii="Arial" w:cs="Arial" w:eastAsia="Arial" w:hAnsi="Arial"/>
                <w:sz w:val="14"/>
                <w:szCs w:val="14"/>
                <w:b w:val="1"/>
                <w:bCs w:val="1"/>
                <w:color w:val="auto"/>
              </w:rPr>
              <w:t>Capital</w:t>
            </w:r>
          </w:p>
        </w:tc>
        <w:tc>
          <w:tcPr>
            <w:tcW w:w="840" w:type="dxa"/>
            <w:vAlign w:val="bottom"/>
            <w:gridSpan w:val="3"/>
          </w:tcPr>
          <w:p>
            <w:pPr>
              <w:jc w:val="right"/>
              <w:ind w:right="160"/>
              <w:spacing w:after="0" w:line="159"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780" w:type="dxa"/>
            <w:vAlign w:val="bottom"/>
          </w:tcPr>
          <w:p>
            <w:pPr>
              <w:jc w:val="right"/>
              <w:ind w:right="106"/>
              <w:spacing w:after="0" w:line="15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860" w:type="dxa"/>
            <w:vAlign w:val="bottom"/>
            <w:gridSpan w:val="3"/>
          </w:tcPr>
          <w:p>
            <w:pPr>
              <w:jc w:val="right"/>
              <w:ind w:right="320"/>
              <w:spacing w:after="0" w:line="159" w:lineRule="exact"/>
              <w:rPr>
                <w:sz w:val="20"/>
                <w:szCs w:val="20"/>
                <w:color w:val="auto"/>
              </w:rPr>
            </w:pPr>
            <w:r>
              <w:rPr>
                <w:rFonts w:ascii="Arial" w:cs="Arial" w:eastAsia="Arial" w:hAnsi="Arial"/>
                <w:sz w:val="14"/>
                <w:szCs w:val="14"/>
                <w:b w:val="1"/>
                <w:bCs w:val="1"/>
                <w:color w:val="auto"/>
                <w:w w:val="98"/>
              </w:rPr>
              <w:t>Amount</w:t>
            </w:r>
          </w:p>
        </w:tc>
        <w:tc>
          <w:tcPr>
            <w:tcW w:w="680" w:type="dxa"/>
            <w:vAlign w:val="bottom"/>
            <w:gridSpan w:val="2"/>
          </w:tcPr>
          <w:p>
            <w:pPr>
              <w:jc w:val="right"/>
              <w:ind w:right="280"/>
              <w:spacing w:after="0" w:line="159" w:lineRule="exact"/>
              <w:rPr>
                <w:sz w:val="20"/>
                <w:szCs w:val="20"/>
                <w:color w:val="auto"/>
              </w:rPr>
            </w:pPr>
            <w:r>
              <w:rPr>
                <w:rFonts w:ascii="Arial" w:cs="Arial" w:eastAsia="Arial" w:hAnsi="Arial"/>
                <w:sz w:val="14"/>
                <w:szCs w:val="14"/>
                <w:b w:val="1"/>
                <w:bCs w:val="1"/>
                <w:color w:val="auto"/>
              </w:rPr>
              <w:t>Total</w:t>
            </w:r>
          </w:p>
        </w:tc>
      </w:tr>
      <w:tr>
        <w:trPr>
          <w:trHeight w:val="172"/>
        </w:trPr>
        <w:tc>
          <w:tcPr>
            <w:tcW w:w="40" w:type="dxa"/>
            <w:vAlign w:val="bottom"/>
          </w:tcPr>
          <w:p>
            <w:pPr>
              <w:spacing w:after="0"/>
              <w:rPr>
                <w:sz w:val="14"/>
                <w:szCs w:val="14"/>
                <w:color w:val="auto"/>
              </w:rPr>
            </w:pPr>
          </w:p>
        </w:tc>
        <w:tc>
          <w:tcPr>
            <w:tcW w:w="3540" w:type="dxa"/>
            <w:vAlign w:val="bottom"/>
            <w:tcBorders>
              <w:top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Balances — January 30, 2021</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15,981,394</w:t>
            </w: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95,484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209,918</w:t>
            </w:r>
          </w:p>
        </w:tc>
        <w:tc>
          <w:tcPr>
            <w:tcW w:w="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6,104,493</w:t>
            </w: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(141,926)$</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163,634</w:t>
            </w:r>
          </w:p>
        </w:tc>
        <w:tc>
          <w:tcPr>
            <w:tcW w:w="40" w:type="dxa"/>
            <w:vAlign w:val="bottom"/>
          </w:tcPr>
          <w:p>
            <w:pPr>
              <w:spacing w:after="0"/>
              <w:rPr>
                <w:sz w:val="14"/>
                <w:szCs w:val="14"/>
                <w:color w:val="auto"/>
              </w:rPr>
            </w:pPr>
          </w:p>
        </w:tc>
      </w:tr>
      <w:tr>
        <w:trPr>
          <w:trHeight w:val="179"/>
        </w:trPr>
        <w:tc>
          <w:tcPr>
            <w:tcW w:w="3580" w:type="dxa"/>
            <w:vAlign w:val="bottom"/>
            <w:gridSpan w:val="2"/>
          </w:tcPr>
          <w:p>
            <w:pPr>
              <w:ind w:left="40"/>
              <w:spacing w:after="0"/>
              <w:rPr>
                <w:sz w:val="20"/>
                <w:szCs w:val="20"/>
                <w:color w:val="auto"/>
              </w:rPr>
            </w:pPr>
            <w:r>
              <w:rPr>
                <w:rFonts w:ascii="Arial" w:cs="Arial" w:eastAsia="Arial" w:hAnsi="Arial"/>
                <w:sz w:val="15"/>
                <w:szCs w:val="15"/>
                <w:color w:val="auto"/>
              </w:rPr>
              <w:t>Issuance of nonvested shares under incentive plan</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17,278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79"/>
        </w:trPr>
        <w:tc>
          <w:tcPr>
            <w:tcW w:w="4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Forfeiture of nonvested shares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(3,005)</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r>
      <w:tr>
        <w:trPr>
          <w:trHeight w:val="179"/>
        </w:trPr>
        <w:tc>
          <w:tcPr>
            <w:tcW w:w="3580" w:type="dxa"/>
            <w:vAlign w:val="bottom"/>
            <w:gridSpan w:val="2"/>
          </w:tcPr>
          <w:p>
            <w:pPr>
              <w:ind w:left="40"/>
              <w:spacing w:after="0"/>
              <w:rPr>
                <w:sz w:val="20"/>
                <w:szCs w:val="20"/>
                <w:color w:val="auto"/>
              </w:rPr>
            </w:pPr>
            <w:r>
              <w:rPr>
                <w:rFonts w:ascii="Arial" w:cs="Arial" w:eastAsia="Arial" w:hAnsi="Arial"/>
                <w:sz w:val="15"/>
                <w:szCs w:val="15"/>
                <w:color w:val="auto"/>
              </w:rPr>
              <w:t>Stock-based compensation expense</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1,087</w:t>
            </w:r>
          </w:p>
        </w:tc>
        <w:tc>
          <w:tcPr>
            <w:tcW w:w="1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1,087</w:t>
            </w:r>
          </w:p>
        </w:tc>
        <w:tc>
          <w:tcPr>
            <w:tcW w:w="40" w:type="dxa"/>
            <w:vAlign w:val="bottom"/>
          </w:tcPr>
          <w:p>
            <w:pPr>
              <w:spacing w:after="0"/>
              <w:rPr>
                <w:sz w:val="15"/>
                <w:szCs w:val="15"/>
                <w:color w:val="auto"/>
              </w:rPr>
            </w:pPr>
          </w:p>
        </w:tc>
      </w:tr>
      <w:tr>
        <w:trPr>
          <w:trHeight w:val="179"/>
        </w:trPr>
        <w:tc>
          <w:tcPr>
            <w:tcW w:w="4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Net share settlement of nonvested shares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(22,666)</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(2,155)</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(2,155)</w:t>
            </w:r>
          </w:p>
        </w:tc>
        <w:tc>
          <w:tcPr>
            <w:tcW w:w="40" w:type="dxa"/>
            <w:vAlign w:val="bottom"/>
          </w:tcPr>
          <w:p>
            <w:pPr>
              <w:spacing w:after="0"/>
              <w:rPr>
                <w:sz w:val="15"/>
                <w:szCs w:val="15"/>
                <w:color w:val="auto"/>
              </w:rPr>
            </w:pPr>
          </w:p>
        </w:tc>
      </w:tr>
      <w:tr>
        <w:trPr>
          <w:trHeight w:val="179"/>
        </w:trPr>
        <w:tc>
          <w:tcPr>
            <w:tcW w:w="3580" w:type="dxa"/>
            <w:vAlign w:val="bottom"/>
            <w:gridSpan w:val="2"/>
          </w:tcPr>
          <w:p>
            <w:pPr>
              <w:ind w:left="40"/>
              <w:spacing w:after="0"/>
              <w:rPr>
                <w:sz w:val="20"/>
                <w:szCs w:val="20"/>
                <w:color w:val="auto"/>
              </w:rPr>
            </w:pPr>
            <w:r>
              <w:rPr>
                <w:rFonts w:ascii="Arial" w:cs="Arial" w:eastAsia="Arial" w:hAnsi="Arial"/>
                <w:sz w:val="15"/>
                <w:szCs w:val="15"/>
                <w:color w:val="auto"/>
              </w:rPr>
              <w:t>Repurchase of common stock</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537,496</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(45,470)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(45,470)</w:t>
            </w:r>
          </w:p>
        </w:tc>
      </w:tr>
      <w:tr>
        <w:trPr>
          <w:trHeight w:val="179"/>
        </w:trPr>
        <w:tc>
          <w:tcPr>
            <w:tcW w:w="4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30,897</w:t>
            </w: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30,897</w:t>
            </w:r>
          </w:p>
        </w:tc>
        <w:tc>
          <w:tcPr>
            <w:tcW w:w="40" w:type="dxa"/>
            <w:vAlign w:val="bottom"/>
          </w:tcPr>
          <w:p>
            <w:pPr>
              <w:spacing w:after="0"/>
              <w:rPr>
                <w:sz w:val="15"/>
                <w:szCs w:val="15"/>
                <w:color w:val="auto"/>
              </w:rPr>
            </w:pPr>
          </w:p>
        </w:tc>
      </w:tr>
      <w:tr>
        <w:trPr>
          <w:trHeight w:val="212"/>
        </w:trPr>
        <w:tc>
          <w:tcPr>
            <w:tcW w:w="3580" w:type="dxa"/>
            <w:vAlign w:val="bottom"/>
            <w:gridSpan w:val="2"/>
          </w:tcPr>
          <w:p>
            <w:pPr>
              <w:ind w:left="40"/>
              <w:spacing w:after="0"/>
              <w:rPr>
                <w:sz w:val="20"/>
                <w:szCs w:val="20"/>
                <w:color w:val="auto"/>
              </w:rPr>
            </w:pPr>
            <w:r>
              <w:rPr>
                <w:rFonts w:ascii="Arial" w:cs="Arial" w:eastAsia="Arial" w:hAnsi="Arial"/>
                <w:sz w:val="15"/>
                <w:szCs w:val="15"/>
                <w:color w:val="auto"/>
              </w:rPr>
              <w:t>Balances — May 1, 2021</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15,973,001</w:t>
            </w:r>
          </w:p>
        </w:tc>
        <w:tc>
          <w:tcPr>
            <w:tcW w:w="2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94,416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240,815</w:t>
            </w:r>
          </w:p>
        </w:tc>
        <w:tc>
          <w:tcPr>
            <w:tcW w:w="4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6,641,989</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color w:val="auto"/>
              </w:rPr>
              <w:t>(187,396)$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147,993</w:t>
            </w:r>
          </w:p>
        </w:tc>
        <w:tc>
          <w:tcPr>
            <w:tcW w:w="40" w:type="dxa"/>
            <w:vAlign w:val="bottom"/>
          </w:tcPr>
          <w:p>
            <w:pPr>
              <w:spacing w:after="0"/>
              <w:rPr>
                <w:sz w:val="18"/>
                <w:szCs w:val="18"/>
                <w:color w:val="auto"/>
              </w:rPr>
            </w:pPr>
          </w:p>
        </w:tc>
      </w:tr>
      <w:tr>
        <w:trPr>
          <w:trHeight w:val="157"/>
        </w:trPr>
        <w:tc>
          <w:tcPr>
            <w:tcW w:w="40" w:type="dxa"/>
            <w:vAlign w:val="bottom"/>
          </w:tcPr>
          <w:p>
            <w:pPr>
              <w:spacing w:after="0"/>
              <w:rPr>
                <w:sz w:val="13"/>
                <w:szCs w:val="13"/>
                <w:color w:val="auto"/>
              </w:rPr>
            </w:pPr>
          </w:p>
        </w:tc>
        <w:tc>
          <w:tcPr>
            <w:tcW w:w="35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383"/>
        </w:trPr>
        <w:tc>
          <w:tcPr>
            <w:tcW w:w="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4"/>
              <w:spacing w:after="0"/>
              <w:rPr>
                <w:sz w:val="20"/>
                <w:szCs w:val="20"/>
                <w:color w:val="auto"/>
              </w:rPr>
            </w:pPr>
            <w:r>
              <w:rPr>
                <w:rFonts w:ascii="Arial" w:cs="Arial" w:eastAsia="Arial" w:hAnsi="Arial"/>
                <w:sz w:val="14"/>
                <w:szCs w:val="14"/>
                <w:b w:val="1"/>
                <w:bCs w:val="1"/>
                <w:color w:val="auto"/>
                <w:w w:val="95"/>
              </w:rPr>
              <w:t>Paid in</w:t>
            </w:r>
          </w:p>
        </w:tc>
        <w:tc>
          <w:tcPr>
            <w:tcW w:w="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Retained</w:t>
            </w:r>
          </w:p>
        </w:tc>
        <w:tc>
          <w:tcPr>
            <w:tcW w:w="60" w:type="dxa"/>
            <w:vAlign w:val="bottom"/>
          </w:tcPr>
          <w:p>
            <w:pPr>
              <w:spacing w:after="0"/>
              <w:rPr>
                <w:sz w:val="24"/>
                <w:szCs w:val="24"/>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6"/>
              </w:rPr>
              <w:t>Treasury Stock</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9"/>
        </w:trPr>
        <w:tc>
          <w:tcPr>
            <w:tcW w:w="40" w:type="dxa"/>
            <w:vAlign w:val="bottom"/>
            <w:tcBorders>
              <w:bottom w:val="single" w:sz="8" w:color="CCEEFF"/>
            </w:tcBorders>
          </w:tcPr>
          <w:p>
            <w:pPr>
              <w:spacing w:after="0"/>
              <w:rPr>
                <w:sz w:val="13"/>
                <w:szCs w:val="13"/>
                <w:color w:val="auto"/>
              </w:rPr>
            </w:pPr>
          </w:p>
        </w:tc>
        <w:tc>
          <w:tcPr>
            <w:tcW w:w="35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ind w:left="220"/>
              <w:spacing w:after="0" w:line="159"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4"/>
          </w:tcPr>
          <w:p>
            <w:pPr>
              <w:jc w:val="right"/>
              <w:ind w:right="52"/>
              <w:spacing w:after="0" w:line="159"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100"/>
              <w:spacing w:after="0" w:line="159" w:lineRule="exact"/>
              <w:rPr>
                <w:sz w:val="20"/>
                <w:szCs w:val="20"/>
                <w:color w:val="auto"/>
              </w:rPr>
            </w:pPr>
            <w:r>
              <w:rPr>
                <w:rFonts w:ascii="Arial" w:cs="Arial" w:eastAsia="Arial" w:hAnsi="Arial"/>
                <w:sz w:val="14"/>
                <w:szCs w:val="14"/>
                <w:b w:val="1"/>
                <w:bCs w:val="1"/>
                <w:color w:val="auto"/>
                <w:w w:val="96"/>
              </w:rPr>
              <w:t>Earnings</w:t>
            </w:r>
          </w:p>
        </w:tc>
        <w:tc>
          <w:tcPr>
            <w:tcW w:w="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66"/>
              <w:spacing w:after="0" w:line="159"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280"/>
              <w:spacing w:after="0" w:line="159" w:lineRule="exact"/>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gridSpan w:val="2"/>
          </w:tcPr>
          <w:p>
            <w:pPr>
              <w:jc w:val="right"/>
              <w:ind w:right="240"/>
              <w:spacing w:after="0" w:line="159" w:lineRule="exact"/>
              <w:rPr>
                <w:sz w:val="20"/>
                <w:szCs w:val="20"/>
                <w:color w:val="auto"/>
              </w:rPr>
            </w:pPr>
            <w:r>
              <w:rPr>
                <w:rFonts w:ascii="Arial" w:cs="Arial" w:eastAsia="Arial" w:hAnsi="Arial"/>
                <w:sz w:val="14"/>
                <w:szCs w:val="14"/>
                <w:b w:val="1"/>
                <w:bCs w:val="1"/>
                <w:color w:val="auto"/>
              </w:rPr>
              <w:t>Total</w:t>
            </w:r>
          </w:p>
        </w:tc>
      </w:tr>
      <w:tr>
        <w:trPr>
          <w:trHeight w:val="172"/>
        </w:trPr>
        <w:tc>
          <w:tcPr>
            <w:tcW w:w="358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Balances — February 1, 2020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15,907,666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93,180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186,772</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5,073,532</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(109,065)$</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171,044</w:t>
            </w:r>
          </w:p>
        </w:tc>
        <w:tc>
          <w:tcPr>
            <w:tcW w:w="40" w:type="dxa"/>
            <w:vAlign w:val="bottom"/>
            <w:shd w:val="clear" w:color="auto" w:fill="CCEEFF"/>
          </w:tcPr>
          <w:p>
            <w:pPr>
              <w:spacing w:after="0"/>
              <w:rPr>
                <w:sz w:val="14"/>
                <w:szCs w:val="14"/>
                <w:color w:val="auto"/>
              </w:rPr>
            </w:pPr>
          </w:p>
        </w:tc>
      </w:tr>
      <w:tr>
        <w:trPr>
          <w:trHeight w:val="179"/>
        </w:trPr>
        <w:tc>
          <w:tcPr>
            <w:tcW w:w="3580" w:type="dxa"/>
            <w:vAlign w:val="bottom"/>
            <w:gridSpan w:val="2"/>
          </w:tcPr>
          <w:p>
            <w:pPr>
              <w:spacing w:after="0"/>
              <w:rPr>
                <w:sz w:val="20"/>
                <w:szCs w:val="20"/>
                <w:color w:val="auto"/>
              </w:rPr>
            </w:pPr>
            <w:r>
              <w:rPr>
                <w:rFonts w:ascii="Arial" w:cs="Arial" w:eastAsia="Arial" w:hAnsi="Arial"/>
                <w:sz w:val="15"/>
                <w:szCs w:val="15"/>
                <w:color w:val="auto"/>
              </w:rPr>
              <w:t>Vesting of nonvested restricted stock units</w:t>
            </w:r>
          </w:p>
        </w:tc>
        <w:tc>
          <w:tcPr>
            <w:tcW w:w="6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5"/>
                <w:szCs w:val="15"/>
                <w:color w:val="auto"/>
              </w:rPr>
            </w:pPr>
          </w:p>
        </w:tc>
      </w:tr>
      <w:tr>
        <w:trPr>
          <w:trHeight w:val="179"/>
        </w:trPr>
        <w:tc>
          <w:tcPr>
            <w:tcW w:w="3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Issuance of nonvested shares under incentive plan</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86,025</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r>
      <w:tr>
        <w:trPr>
          <w:trHeight w:val="179"/>
        </w:trPr>
        <w:tc>
          <w:tcPr>
            <w:tcW w:w="3580" w:type="dxa"/>
            <w:vAlign w:val="bottom"/>
            <w:gridSpan w:val="2"/>
          </w:tcPr>
          <w:p>
            <w:pPr>
              <w:spacing w:after="0"/>
              <w:rPr>
                <w:sz w:val="20"/>
                <w:szCs w:val="20"/>
                <w:color w:val="auto"/>
              </w:rPr>
            </w:pPr>
            <w:r>
              <w:rPr>
                <w:rFonts w:ascii="Arial" w:cs="Arial" w:eastAsia="Arial" w:hAnsi="Arial"/>
                <w:sz w:val="15"/>
                <w:szCs w:val="15"/>
                <w:color w:val="auto"/>
              </w:rPr>
              <w:t>Stock-based compensation expense</w:t>
            </w:r>
          </w:p>
        </w:tc>
        <w:tc>
          <w:tcPr>
            <w:tcW w:w="6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469</w:t>
            </w:r>
          </w:p>
        </w:tc>
        <w:tc>
          <w:tcPr>
            <w:tcW w:w="14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469</w:t>
            </w:r>
          </w:p>
        </w:tc>
        <w:tc>
          <w:tcPr>
            <w:tcW w:w="40" w:type="dxa"/>
            <w:vAlign w:val="bottom"/>
          </w:tcPr>
          <w:p>
            <w:pPr>
              <w:spacing w:after="0"/>
              <w:rPr>
                <w:sz w:val="15"/>
                <w:szCs w:val="15"/>
                <w:color w:val="auto"/>
              </w:rPr>
            </w:pPr>
          </w:p>
        </w:tc>
      </w:tr>
      <w:tr>
        <w:trPr>
          <w:trHeight w:val="179"/>
        </w:trPr>
        <w:tc>
          <w:tcPr>
            <w:tcW w:w="3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share settlement of nonvested shares</w:t>
            </w:r>
          </w:p>
        </w:tc>
        <w:tc>
          <w:tcPr>
            <w:tcW w:w="1120" w:type="dxa"/>
            <w:vAlign w:val="bottom"/>
            <w:gridSpan w:val="4"/>
            <w:shd w:val="clear" w:color="auto" w:fill="CCEEFF"/>
          </w:tcPr>
          <w:p>
            <w:pPr>
              <w:jc w:val="right"/>
              <w:ind w:right="68"/>
              <w:spacing w:after="0"/>
              <w:rPr>
                <w:sz w:val="20"/>
                <w:szCs w:val="20"/>
                <w:color w:val="auto"/>
              </w:rPr>
            </w:pPr>
            <w:r>
              <w:rPr>
                <w:rFonts w:ascii="Arial" w:cs="Arial" w:eastAsia="Arial" w:hAnsi="Arial"/>
                <w:sz w:val="15"/>
                <w:szCs w:val="15"/>
                <w:color w:val="auto"/>
              </w:rPr>
              <w:t>(34,487)</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(479)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(479)</w:t>
            </w:r>
          </w:p>
        </w:tc>
      </w:tr>
      <w:tr>
        <w:trPr>
          <w:trHeight w:val="179"/>
        </w:trPr>
        <w:tc>
          <w:tcPr>
            <w:tcW w:w="3580" w:type="dxa"/>
            <w:vAlign w:val="bottom"/>
            <w:gridSpan w:val="2"/>
          </w:tcPr>
          <w:p>
            <w:pPr>
              <w:spacing w:after="0"/>
              <w:rPr>
                <w:sz w:val="20"/>
                <w:szCs w:val="20"/>
                <w:color w:val="auto"/>
              </w:rPr>
            </w:pPr>
            <w:r>
              <w:rPr>
                <w:rFonts w:ascii="Arial" w:cs="Arial" w:eastAsia="Arial" w:hAnsi="Arial"/>
                <w:sz w:val="15"/>
                <w:szCs w:val="15"/>
                <w:color w:val="auto"/>
              </w:rPr>
              <w:t>Repurchase of common stock</w:t>
            </w:r>
          </w:p>
        </w:tc>
        <w:tc>
          <w:tcPr>
            <w:tcW w:w="6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260,254</w:t>
            </w:r>
          </w:p>
        </w:tc>
        <w:tc>
          <w:tcPr>
            <w:tcW w:w="1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(6,254)</w:t>
            </w:r>
          </w:p>
        </w:tc>
        <w:tc>
          <w:tcPr>
            <w:tcW w:w="1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(6,254)</w:t>
            </w:r>
          </w:p>
        </w:tc>
      </w:tr>
      <w:tr>
        <w:trPr>
          <w:trHeight w:val="181"/>
        </w:trPr>
        <w:tc>
          <w:tcPr>
            <w:tcW w:w="3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Dividends paid to stockholders ($0.08 per common</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7"/>
        </w:trPr>
        <w:tc>
          <w:tcPr>
            <w:tcW w:w="3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(831)</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(831)</w:t>
            </w:r>
          </w:p>
        </w:tc>
      </w:tr>
      <w:tr>
        <w:trPr>
          <w:trHeight w:val="179"/>
        </w:trPr>
        <w:tc>
          <w:tcPr>
            <w:tcW w:w="358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Net loss</w:t>
            </w:r>
          </w:p>
        </w:tc>
        <w:tc>
          <w:tcPr>
            <w:tcW w:w="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(20,892)</w:t>
            </w:r>
          </w:p>
        </w:tc>
        <w:tc>
          <w:tcPr>
            <w:tcW w:w="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(20,892)</w:t>
            </w:r>
          </w:p>
        </w:tc>
      </w:tr>
      <w:tr>
        <w:trPr>
          <w:trHeight w:val="172"/>
        </w:trPr>
        <w:tc>
          <w:tcPr>
            <w:tcW w:w="3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Balances — May 2, 2020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15,950,332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93,170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165,049</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5,333,786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(115,319)$</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143,058</w:t>
            </w:r>
          </w:p>
        </w:tc>
        <w:tc>
          <w:tcPr>
            <w:tcW w:w="40" w:type="dxa"/>
            <w:vAlign w:val="bottom"/>
            <w:shd w:val="clear" w:color="auto" w:fill="CCEEFF"/>
          </w:tcPr>
          <w:p>
            <w:pPr>
              <w:spacing w:after="0"/>
              <w:rPr>
                <w:sz w:val="14"/>
                <w:szCs w:val="14"/>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the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3105" cy="24130"/>
                    </a:xfrm>
                    <a:prstGeom prst="rect">
                      <a:avLst/>
                    </a:prstGeom>
                    <a:noFill/>
                  </pic:spPr>
                </pic:pic>
              </a:graphicData>
            </a:graphic>
          </wp:anchor>
        </w:drawing>
      </w:r>
    </w:p>
    <w:p>
      <w:pPr>
        <w:sectPr>
          <w:pgSz w:w="11900" w:h="16838" w:orient="portrait"/>
          <w:cols w:equalWidth="0" w:num="1">
            <w:col w:w="9120"/>
          </w:cols>
          <w:pgMar w:left="1380" w:top="498" w:right="139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Citi Trends, Inc.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Notes to the Condensed Consolidated Financial Statements (unaudited)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May 1, 2021</w:t>
      </w:r>
    </w:p>
    <w:p>
      <w:pPr>
        <w:spacing w:after="0" w:line="230" w:lineRule="exact"/>
        <w:rPr>
          <w:sz w:val="20"/>
          <w:szCs w:val="20"/>
          <w:color w:val="auto"/>
        </w:rPr>
      </w:pPr>
    </w:p>
    <w:p>
      <w:pPr>
        <w:ind w:left="180" w:hanging="180"/>
        <w:spacing w:after="0"/>
        <w:tabs>
          <w:tab w:leader="none" w:pos="180" w:val="left"/>
        </w:tabs>
        <w:numPr>
          <w:ilvl w:val="0"/>
          <w:numId w:val="3"/>
        </w:numPr>
        <w:rPr>
          <w:rFonts w:ascii="Arial" w:cs="Arial" w:eastAsia="Arial" w:hAnsi="Arial"/>
          <w:sz w:val="15"/>
          <w:szCs w:val="15"/>
          <w:color w:val="auto"/>
        </w:rPr>
      </w:pPr>
      <w:r>
        <w:rPr>
          <w:rFonts w:ascii="Arial" w:cs="Arial" w:eastAsia="Arial" w:hAnsi="Arial"/>
          <w:sz w:val="15"/>
          <w:szCs w:val="15"/>
          <w:u w:val="single" w:color="auto"/>
          <w:color w:val="auto"/>
        </w:rPr>
        <w:t>Significant Accounting Policies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Basis of Presentation</w:t>
      </w:r>
    </w:p>
    <w:p>
      <w:pPr>
        <w:spacing w:after="0" w:line="48"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color w:val="auto"/>
        </w:rPr>
        <w:t>Citi Trends, Inc. and its subsidiary (the “Company”) is a growing specialty value retailer of apparel, accessories and home trends primarily for African American and Latinx families. As of May 1, 2021, the Company operated 584 stores in urban, suburban and rural markets in 33 states.</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January 30, 2021 is derived from the audited financial statements in the Company’s Annual Report on Form 10-K for the fiscal year ended January 30, 2021 (the “2020 Form 10-K”). These condensed consolidated financial statements should be read in conjunction with the audited consolidated financial statements and notes thereto included in the 2020 Form 10-K. Operating results for the first quarter of 2021 are not necessarily indicative of the results that may be expected for the fiscal year, as a result of the seasonality of the business and the current uncertainty surrounding the economic impact of the novel coronavirus (“COVID-19”) pandemic and the duration and extent of any economic stimulus programs.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Fiscal Year</w:t>
      </w:r>
    </w:p>
    <w:p>
      <w:pPr>
        <w:spacing w:after="0" w:line="48" w:lineRule="exact"/>
        <w:rPr>
          <w:sz w:val="20"/>
          <w:szCs w:val="20"/>
          <w:color w:val="auto"/>
        </w:rPr>
      </w:pPr>
    </w:p>
    <w:p>
      <w:pPr>
        <w:ind w:right="220"/>
        <w:spacing w:after="0" w:line="265" w:lineRule="auto"/>
        <w:rPr>
          <w:sz w:val="20"/>
          <w:szCs w:val="20"/>
          <w:color w:val="auto"/>
        </w:rPr>
      </w:pPr>
      <w:r>
        <w:rPr>
          <w:rFonts w:ascii="Arial" w:cs="Arial" w:eastAsia="Arial" w:hAnsi="Arial"/>
          <w:sz w:val="15"/>
          <w:szCs w:val="15"/>
          <w:color w:val="auto"/>
        </w:rPr>
        <w:t>The following contains references to fiscal years 2021 and 2020, which represent fiscal years ending or ended on January 29, 2022 and January 30, 2021, respectively. Fiscal 2021 and 2020 both have 52-week accounting periods.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Recently Adopted Accounting Standards</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color w:val="auto"/>
        </w:rPr>
        <w:t>Changes to U.S. GAAP are established by the Financial Accounting Standards Board (“FASB”) in the form of accounting standards updates (“ASUs”) to the FASB’s Accounting Standards Codification. The Company considers the applicability and impact of all ASUs. ASUs not listed below were assessed and determined to be either not applicable or are expected to have an immaterial impact on the Company’s consolidated financial statements.</w:t>
      </w:r>
    </w:p>
    <w:p>
      <w:pPr>
        <w:spacing w:after="0" w:line="203" w:lineRule="exact"/>
        <w:rPr>
          <w:sz w:val="20"/>
          <w:szCs w:val="20"/>
          <w:color w:val="auto"/>
        </w:rPr>
      </w:pPr>
    </w:p>
    <w:p>
      <w:pPr>
        <w:ind w:right="100"/>
        <w:spacing w:after="0" w:line="254" w:lineRule="auto"/>
        <w:rPr>
          <w:sz w:val="20"/>
          <w:szCs w:val="20"/>
          <w:color w:val="auto"/>
        </w:rPr>
      </w:pPr>
      <w:r>
        <w:rPr>
          <w:rFonts w:ascii="Arial" w:cs="Arial" w:eastAsia="Arial" w:hAnsi="Arial"/>
          <w:sz w:val="15"/>
          <w:szCs w:val="15"/>
          <w:color w:val="auto"/>
        </w:rPr>
        <w:t>In December 2019, the FASB issued ASU 2019-12, Income Taxes (Topic 740), which removes certain exceptions in the application of Topic 740 for franchise taxes, investments, intra-period allocations and interim calculations, and also adds guidance to reduce complexity in accounting for income taxes. The Company adopted ASU 2019-12 on January 31, 2021.The adoption of the new standard did not have a material impact to the Company’s consolidated financial position, results of operations or cash flows.</w:t>
      </w:r>
    </w:p>
    <w:p>
      <w:pPr>
        <w:spacing w:after="0" w:line="203" w:lineRule="exact"/>
        <w:rPr>
          <w:sz w:val="20"/>
          <w:szCs w:val="20"/>
          <w:color w:val="auto"/>
        </w:rPr>
      </w:pPr>
    </w:p>
    <w:p>
      <w:pPr>
        <w:ind w:left="180" w:hanging="180"/>
        <w:spacing w:after="0"/>
        <w:tabs>
          <w:tab w:leader="none" w:pos="180" w:val="left"/>
        </w:tabs>
        <w:numPr>
          <w:ilvl w:val="0"/>
          <w:numId w:val="4"/>
        </w:numPr>
        <w:rPr>
          <w:rFonts w:ascii="Arial" w:cs="Arial" w:eastAsia="Arial" w:hAnsi="Arial"/>
          <w:sz w:val="15"/>
          <w:szCs w:val="15"/>
          <w:color w:val="auto"/>
        </w:rPr>
      </w:pPr>
      <w:r>
        <w:rPr>
          <w:rFonts w:ascii="Arial" w:cs="Arial" w:eastAsia="Arial" w:hAnsi="Arial"/>
          <w:sz w:val="15"/>
          <w:szCs w:val="15"/>
          <w:u w:val="single" w:color="auto"/>
          <w:color w:val="auto"/>
        </w:rPr>
        <w:t>COVID-19 Update</w:t>
      </w:r>
    </w:p>
    <w:p>
      <w:pPr>
        <w:spacing w:after="0" w:line="249" w:lineRule="exact"/>
        <w:rPr>
          <w:sz w:val="20"/>
          <w:szCs w:val="20"/>
          <w:color w:val="auto"/>
        </w:rPr>
      </w:pPr>
    </w:p>
    <w:p>
      <w:pPr>
        <w:ind w:right="40"/>
        <w:spacing w:after="0" w:line="253" w:lineRule="auto"/>
        <w:rPr>
          <w:sz w:val="20"/>
          <w:szCs w:val="20"/>
          <w:color w:val="auto"/>
        </w:rPr>
      </w:pPr>
      <w:r>
        <w:rPr>
          <w:rFonts w:ascii="Arial" w:cs="Arial" w:eastAsia="Arial" w:hAnsi="Arial"/>
          <w:sz w:val="15"/>
          <w:szCs w:val="15"/>
          <w:color w:val="auto"/>
        </w:rPr>
        <w:t>In March 2020, the World Health Organization declared the spread of the coronavirus (“COVID-19”) a global pandemic. During 2020 and continuing into 2021, the global economy has been, and continues to be, affected by COVID-19. The pandemic has caused and may continue to cause significant disruptions in the U.S. economy as the virus continues to spread or has a resurgence in certain jurisdictions. Measures have been implemented by the U.S. government in an effort to contain the virus, including lockdowns, physical distancing, travel restrictions, limitations on public gatherings, work from home and restrictions on nonessential businesses.</w:t>
      </w:r>
    </w:p>
    <w:p>
      <w:pPr>
        <w:spacing w:after="0" w:line="202"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color w:val="auto"/>
        </w:rPr>
        <w:t>The COVID-19 pandemic has resulted in periods of disruption for the Company, including the temporary closure of stores and limited store operating hours, reduced customer traffic and consumer spending, and delays in the manufacturing and shipping of products. The Company saw improvement in its financial results and positive trends during the latter half of fiscal 2020 and into the first quarter of 2021 as certain governments began to gradually ease restrictions and provide economic stimulus and vaccine distribution accelerated, leading to an increase in spending and increased customer demand. The Company expects continued uncertainty in its business and the global economy, although the extent and duration is unknown, by the COVID-19 pandemic and its effects on the economy in a variety of ways, potentially including volatility in employment trends and consumer confidence, the direction or extent of current or future restrictive actions that may be imposed by governments or public health authorities, timing and effectiveness of vaccines, the duration and extent of any economic stimulus programs, supply chain interruptions, increased distribution and transportation costs, increased payroll expenses, and increased costs in an effort to maintain safe work and shopping environments. The impacts of the pandemic</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3105" cy="24130"/>
                    </a:xfrm>
                    <a:prstGeom prst="rect">
                      <a:avLst/>
                    </a:prstGeom>
                    <a:noFill/>
                  </pic:spPr>
                </pic:pic>
              </a:graphicData>
            </a:graphic>
          </wp:anchor>
        </w:drawing>
      </w:r>
    </w:p>
    <w:p>
      <w:pPr>
        <w:sectPr>
          <w:pgSz w:w="11900" w:h="16838" w:orient="portrait"/>
          <w:cols w:equalWidth="0" w:num="1">
            <w:col w:w="9120"/>
          </w:cols>
          <w:pgMar w:left="1380" w:top="498" w:right="139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color w:val="auto"/>
        </w:rPr>
        <w:t>have had, and may continue to have, an adverse impact on the Company’s financial condition, results of operations and liquidity. The Company will continue to monitor the effects of COVID-19 and take the necessary actions to serve our associates, customers, communities and shareholders.</w:t>
      </w:r>
    </w:p>
    <w:p>
      <w:pPr>
        <w:spacing w:after="0" w:line="225" w:lineRule="exact"/>
        <w:rPr>
          <w:sz w:val="20"/>
          <w:szCs w:val="20"/>
          <w:color w:val="auto"/>
        </w:rPr>
      </w:pPr>
    </w:p>
    <w:p>
      <w:pPr>
        <w:ind w:left="180" w:hanging="180"/>
        <w:spacing w:after="0"/>
        <w:tabs>
          <w:tab w:leader="none" w:pos="180" w:val="left"/>
        </w:tabs>
        <w:numPr>
          <w:ilvl w:val="0"/>
          <w:numId w:val="5"/>
        </w:numPr>
        <w:rPr>
          <w:rFonts w:ascii="Arial" w:cs="Arial" w:eastAsia="Arial" w:hAnsi="Arial"/>
          <w:sz w:val="15"/>
          <w:szCs w:val="15"/>
          <w:color w:val="auto"/>
        </w:rPr>
      </w:pPr>
      <w:r>
        <w:rPr>
          <w:rFonts w:ascii="Arial" w:cs="Arial" w:eastAsia="Arial" w:hAnsi="Arial"/>
          <w:sz w:val="15"/>
          <w:szCs w:val="15"/>
          <w:u w:val="single" w:color="auto"/>
          <w:color w:val="auto"/>
        </w:rPr>
        <w:t>Cash and Cash Equivalents/Concentration of Credit Risk</w:t>
      </w:r>
    </w:p>
    <w:p>
      <w:pPr>
        <w:spacing w:after="0" w:line="287" w:lineRule="exact"/>
        <w:rPr>
          <w:sz w:val="20"/>
          <w:szCs w:val="20"/>
          <w:color w:val="auto"/>
        </w:rPr>
      </w:pPr>
    </w:p>
    <w:p>
      <w:pPr>
        <w:ind w:right="20"/>
        <w:spacing w:after="0" w:line="253" w:lineRule="auto"/>
        <w:rPr>
          <w:sz w:val="20"/>
          <w:szCs w:val="20"/>
          <w:color w:val="auto"/>
        </w:rPr>
      </w:pPr>
      <w:r>
        <w:rPr>
          <w:rFonts w:ascii="Arial" w:cs="Arial" w:eastAsia="Arial" w:hAnsi="Arial"/>
          <w:sz w:val="15"/>
          <w:szCs w:val="15"/>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254" w:lineRule="exact"/>
        <w:rPr>
          <w:sz w:val="20"/>
          <w:szCs w:val="20"/>
          <w:color w:val="auto"/>
        </w:rPr>
      </w:pPr>
    </w:p>
    <w:p>
      <w:pPr>
        <w:ind w:left="180" w:hanging="180"/>
        <w:spacing w:after="0"/>
        <w:tabs>
          <w:tab w:leader="none" w:pos="180" w:val="left"/>
        </w:tabs>
        <w:numPr>
          <w:ilvl w:val="0"/>
          <w:numId w:val="6"/>
        </w:numPr>
        <w:rPr>
          <w:rFonts w:ascii="Arial" w:cs="Arial" w:eastAsia="Arial" w:hAnsi="Arial"/>
          <w:sz w:val="15"/>
          <w:szCs w:val="15"/>
          <w:color w:val="auto"/>
        </w:rPr>
      </w:pPr>
      <w:r>
        <w:rPr>
          <w:rFonts w:ascii="Arial" w:cs="Arial" w:eastAsia="Arial" w:hAnsi="Arial"/>
          <w:sz w:val="15"/>
          <w:szCs w:val="15"/>
          <w:u w:val="single" w:color="auto"/>
          <w:color w:val="auto"/>
        </w:rPr>
        <w:t>Earnings per Share</w:t>
      </w:r>
    </w:p>
    <w:p>
      <w:pPr>
        <w:spacing w:after="0" w:line="211"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202" w:lineRule="exact"/>
        <w:rPr>
          <w:sz w:val="20"/>
          <w:szCs w:val="20"/>
          <w:color w:val="auto"/>
        </w:rPr>
      </w:pPr>
    </w:p>
    <w:p>
      <w:pPr>
        <w:ind w:right="360"/>
        <w:spacing w:after="0" w:line="254" w:lineRule="auto"/>
        <w:rPr>
          <w:sz w:val="20"/>
          <w:szCs w:val="20"/>
          <w:color w:val="auto"/>
        </w:rPr>
      </w:pPr>
      <w:r>
        <w:rPr>
          <w:rFonts w:ascii="Arial" w:cs="Arial" w:eastAsia="Arial" w:hAnsi="Arial"/>
          <w:sz w:val="15"/>
          <w:szCs w:val="15"/>
          <w:color w:val="auto"/>
        </w:rPr>
        <w:t>The dilutive effect of stock-based compensation arrangements is accounted for using the treasury stock method. The Company includes as assumed proceeds the amount of compensation cost attributed to future services and not yet recognized. For the first quarters of 2021 and 2020, there were 38,000 and 179,000 shares of nonvested restricted stock, respectively, excluded from the calculation of diluted earnings per share because of antidilution.</w:t>
      </w:r>
    </w:p>
    <w:p>
      <w:pPr>
        <w:spacing w:after="0" w:line="203" w:lineRule="exact"/>
        <w:rPr>
          <w:sz w:val="20"/>
          <w:szCs w:val="20"/>
          <w:color w:val="auto"/>
        </w:rPr>
      </w:pPr>
    </w:p>
    <w:p>
      <w:pPr>
        <w:jc w:val="both"/>
        <w:ind w:right="140"/>
        <w:spacing w:after="0" w:line="257" w:lineRule="auto"/>
        <w:rPr>
          <w:sz w:val="20"/>
          <w:szCs w:val="20"/>
          <w:color w:val="auto"/>
        </w:rPr>
      </w:pPr>
      <w:r>
        <w:rPr>
          <w:rFonts w:ascii="Arial" w:cs="Arial" w:eastAsia="Arial" w:hAnsi="Arial"/>
          <w:sz w:val="15"/>
          <w:szCs w:val="15"/>
          <w:color w:val="auto"/>
        </w:rPr>
        <w:t>The following table provides a reconciliation of the weighted average number of common shares outstanding used to calculate basic earnings per share to the number of common shares and common stock equivalents outstanding used in calculating diluted earnings per share: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20" w:type="dxa"/>
            <w:vAlign w:val="bottom"/>
          </w:tcPr>
          <w:p>
            <w:pPr>
              <w:spacing w:after="0"/>
              <w:rPr>
                <w:sz w:val="15"/>
                <w:szCs w:val="15"/>
                <w:color w:val="auto"/>
              </w:rPr>
            </w:pPr>
          </w:p>
        </w:tc>
        <w:tc>
          <w:tcPr>
            <w:tcW w:w="240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4"/>
                <w:szCs w:val="14"/>
                <w:b w:val="1"/>
                <w:bCs w:val="1"/>
                <w:color w:val="auto"/>
              </w:rPr>
              <w:t>Thirteen Weeks Ended</w:t>
            </w:r>
          </w:p>
        </w:tc>
      </w:tr>
      <w:tr>
        <w:trPr>
          <w:trHeight w:val="172"/>
        </w:trPr>
        <w:tc>
          <w:tcPr>
            <w:tcW w:w="672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1, 2021</w:t>
            </w:r>
          </w:p>
        </w:tc>
        <w:tc>
          <w:tcPr>
            <w:tcW w:w="1100" w:type="dxa"/>
            <w:vAlign w:val="bottom"/>
          </w:tcPr>
          <w:p>
            <w:pPr>
              <w:jc w:val="right"/>
              <w:ind w:right="85"/>
              <w:spacing w:after="0"/>
              <w:rPr>
                <w:sz w:val="20"/>
                <w:szCs w:val="20"/>
                <w:color w:val="auto"/>
              </w:rPr>
            </w:pPr>
            <w:r>
              <w:rPr>
                <w:rFonts w:ascii="Arial" w:cs="Arial" w:eastAsia="Arial" w:hAnsi="Arial"/>
                <w:sz w:val="14"/>
                <w:szCs w:val="14"/>
                <w:b w:val="1"/>
                <w:bCs w:val="1"/>
                <w:color w:val="auto"/>
              </w:rPr>
              <w:t>May 2, 2020</w:t>
            </w:r>
          </w:p>
        </w:tc>
      </w:tr>
      <w:tr>
        <w:trPr>
          <w:trHeight w:val="184"/>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Weighted average number of common shares outstanding</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9,449,792</w:t>
            </w:r>
          </w:p>
        </w:tc>
        <w:tc>
          <w:tcPr>
            <w:tcW w:w="2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10,442,636</w:t>
            </w:r>
          </w:p>
        </w:tc>
      </w:tr>
      <w:tr>
        <w:trPr>
          <w:trHeight w:val="189"/>
        </w:trPr>
        <w:tc>
          <w:tcPr>
            <w:tcW w:w="67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Incremental shares from assumed vesting of nonvested restricted stock</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121,044</w:t>
            </w:r>
          </w:p>
        </w:tc>
        <w:tc>
          <w:tcPr>
            <w:tcW w:w="2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87"/>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Weighted average number of common shares and common stock equivalents outstanding</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9,570,836</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10,442,636</w:t>
            </w:r>
          </w:p>
        </w:tc>
      </w:tr>
      <w:tr>
        <w:trPr>
          <w:trHeight w:val="20"/>
        </w:trPr>
        <w:tc>
          <w:tcPr>
            <w:tcW w:w="6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5. </w:t>
      </w:r>
      <w:r>
        <w:rPr>
          <w:rFonts w:ascii="Arial" w:cs="Arial" w:eastAsia="Arial" w:hAnsi="Arial"/>
          <w:sz w:val="15"/>
          <w:szCs w:val="15"/>
          <w:u w:val="single" w:color="auto"/>
          <w:color w:val="auto"/>
        </w:rPr>
        <w:t>Impairment of Assets</w:t>
      </w:r>
    </w:p>
    <w:p>
      <w:pPr>
        <w:spacing w:after="0" w:line="224"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If facts and circumstances indicate that a long-lived asset or operating lease right-of-use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There was no impairment expense recorded in the first quarter of 2021. In the first quarter of 2020, non-cash impairment charges related to an underperforming store totaled $0.3 million, comprised of $0.2 million for an operating lease right-of-use asset and $0.1 million for leasehold improvements and fixtures and equipment.</w:t>
      </w:r>
    </w:p>
    <w:p>
      <w:pPr>
        <w:spacing w:after="0" w:line="255" w:lineRule="exact"/>
        <w:rPr>
          <w:sz w:val="20"/>
          <w:szCs w:val="20"/>
          <w:color w:val="auto"/>
        </w:rPr>
      </w:pPr>
    </w:p>
    <w:p>
      <w:pPr>
        <w:ind w:left="180" w:hanging="180"/>
        <w:spacing w:after="0"/>
        <w:tabs>
          <w:tab w:leader="none" w:pos="180" w:val="left"/>
        </w:tabs>
        <w:numPr>
          <w:ilvl w:val="0"/>
          <w:numId w:val="7"/>
        </w:numPr>
        <w:rPr>
          <w:rFonts w:ascii="Arial" w:cs="Arial" w:eastAsia="Arial" w:hAnsi="Arial"/>
          <w:sz w:val="15"/>
          <w:szCs w:val="15"/>
          <w:color w:val="auto"/>
        </w:rPr>
      </w:pPr>
      <w:r>
        <w:rPr>
          <w:rFonts w:ascii="Arial" w:cs="Arial" w:eastAsia="Arial" w:hAnsi="Arial"/>
          <w:sz w:val="15"/>
          <w:szCs w:val="15"/>
          <w:u w:val="single" w:color="auto"/>
          <w:color w:val="auto"/>
        </w:rPr>
        <w:t>Revolving Credit Facility</w:t>
      </w:r>
    </w:p>
    <w:p>
      <w:pPr>
        <w:spacing w:after="0" w:line="224"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In October 2011, the Company entered into a five-year, $50 million credit facility with Bank of America. The facility was amended in August 2015 and May 2020 to extend the maturity dates. The facility was amended again on April 15, 2021 to modify terms and extend the maturity date to April 15, 2026. The amended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0.20% and permits the payment of cash dividends subject to certain limitations. Borrowings under the credit facility bear interest (a) for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3105" cy="24130"/>
                    </a:xfrm>
                    <a:prstGeom prst="rect">
                      <a:avLst/>
                    </a:prstGeom>
                    <a:noFill/>
                  </pic:spPr>
                </pic:pic>
              </a:graphicData>
            </a:graphic>
          </wp:anchor>
        </w:drawing>
      </w:r>
    </w:p>
    <w:p>
      <w:pPr>
        <w:sectPr>
          <w:pgSz w:w="11900" w:h="16838" w:orient="portrait"/>
          <w:cols w:equalWidth="0" w:num="1">
            <w:col w:w="9120"/>
          </w:cols>
          <w:pgMar w:left="1380" w:top="498" w:right="139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Eurodollar Loans, at a rate equal to the Eurodollar Rate plus either 1.25%, 1.50% or 1.75%, or (b) for Base Rate Loans, at a rate equal to the highest of (i) the prime rate, (ii) the Federal Funds Rate plus 0.5% or (iii) the Eurodollar Rate plus 1.0%, plus, in each case either 0.25%, 0.50% or 0.75%, based in any such case on the average daily availability for borrowings under the facility.</w:t>
      </w:r>
    </w:p>
    <w:p>
      <w:pPr>
        <w:spacing w:after="0" w:line="200" w:lineRule="exact"/>
        <w:rPr>
          <w:sz w:val="20"/>
          <w:szCs w:val="20"/>
          <w:color w:val="auto"/>
        </w:rPr>
      </w:pPr>
    </w:p>
    <w:p>
      <w:pPr>
        <w:ind w:left="180" w:hanging="180"/>
        <w:spacing w:after="0"/>
        <w:tabs>
          <w:tab w:leader="none" w:pos="180"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Income Taxes</w:t>
      </w:r>
    </w:p>
    <w:p>
      <w:pPr>
        <w:spacing w:after="0" w:line="224"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 If there is a change in tax rates, the Company would recognize the impact of such change in income in the period that includes the enactment date.</w:t>
      </w: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color w:val="auto"/>
        </w:rPr>
        <w:t>For the first quarter of 2021, the Company utilized the annual effective tax rate method to calculate income taxes. For the first quarter of 2020, the Company utilized the discrete effective tax rate method based on the determination that the full-year tax rate was not reliably predictable. The tax rate was 20.7% for the first quarter of 2021, compared to 24.0% (benefit) for the first quarter of 2020. The difference in the tax rate was due to pretax income for the first quarter of 2021 compared to a pretax loss in the prior year.</w:t>
      </w:r>
    </w:p>
    <w:p>
      <w:pPr>
        <w:spacing w:after="0" w:line="203" w:lineRule="exact"/>
        <w:rPr>
          <w:sz w:val="20"/>
          <w:szCs w:val="20"/>
          <w:color w:val="auto"/>
        </w:rPr>
      </w:pPr>
    </w:p>
    <w:p>
      <w:pPr>
        <w:ind w:left="180" w:hanging="180"/>
        <w:spacing w:after="0"/>
        <w:tabs>
          <w:tab w:leader="none" w:pos="180"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Commitments and Contingencies</w:t>
      </w:r>
    </w:p>
    <w:p>
      <w:pPr>
        <w:spacing w:after="0" w:line="224"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204" w:lineRule="exact"/>
        <w:rPr>
          <w:sz w:val="20"/>
          <w:szCs w:val="20"/>
          <w:color w:val="auto"/>
        </w:rPr>
      </w:pPr>
    </w:p>
    <w:p>
      <w:pPr>
        <w:ind w:left="180" w:hanging="180"/>
        <w:spacing w:after="0"/>
        <w:tabs>
          <w:tab w:leader="none" w:pos="180"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Stock Repurchases and Cash Dividends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Repurchases of Common Stock</w:t>
      </w:r>
    </w:p>
    <w:p>
      <w:pPr>
        <w:spacing w:after="0" w:line="35" w:lineRule="exact"/>
        <w:rPr>
          <w:sz w:val="20"/>
          <w:szCs w:val="20"/>
          <w:color w:val="auto"/>
        </w:rPr>
      </w:pPr>
    </w:p>
    <w:p>
      <w:pPr>
        <w:ind w:right="240"/>
        <w:spacing w:after="0" w:line="257" w:lineRule="auto"/>
        <w:rPr>
          <w:sz w:val="20"/>
          <w:szCs w:val="20"/>
          <w:color w:val="auto"/>
        </w:rPr>
      </w:pPr>
      <w:r>
        <w:rPr>
          <w:rFonts w:ascii="Arial" w:cs="Arial" w:eastAsia="Arial" w:hAnsi="Arial"/>
          <w:sz w:val="15"/>
          <w:szCs w:val="15"/>
          <w:color w:val="auto"/>
        </w:rPr>
        <w:t>In November 2019, the Company’s board of directors approved a program that authorized the repurchase of up to $25.0 million in shares of the Company’s common stock. During the first quarter of 2020, the Company repurchased 260,254 shares of its common stock at an aggregate cost of $6.3 million.</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In March 2020, the Company’s board of directors approved another program that authorized the repurchase of up to $30.0 million in shares of the Company’s common stock. Shortly thereafter, due to the economic uncertainty stemming from the COVID-19 pandemic, the Company temporarily suspended any repurchases. In September 2020, the Company announced the reinstatement of this program. In December 2020, the Company announced that its board of directors approved an additional $30.0 million stock repurchase program. In the first quarter of 2021, the Company repurchased 287,496 shares of its common stock under this program at an aggregate cost of $23.6 million. In addition, on March 23, 2021, the Company completed a block repurchase of 250,000 shares of its common stock at an aggregate cost of $21.9 million.</w:t>
      </w:r>
    </w:p>
    <w:p>
      <w:pPr>
        <w:spacing w:after="0" w:line="207"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On June 2, 2021, the Company announced that its board of directors approved another program that authorized the repurchase of up to $30.0 million in shares of the Company’s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Dividends</w:t>
      </w:r>
    </w:p>
    <w:p>
      <w:pPr>
        <w:spacing w:after="0" w:line="35" w:lineRule="exact"/>
        <w:rPr>
          <w:sz w:val="20"/>
          <w:szCs w:val="20"/>
          <w:color w:val="auto"/>
        </w:rPr>
      </w:pPr>
    </w:p>
    <w:p>
      <w:pPr>
        <w:ind w:right="180"/>
        <w:spacing w:after="0" w:line="254" w:lineRule="auto"/>
        <w:rPr>
          <w:sz w:val="20"/>
          <w:szCs w:val="20"/>
          <w:color w:val="auto"/>
        </w:rPr>
      </w:pPr>
      <w:r>
        <w:rPr>
          <w:rFonts w:ascii="Arial" w:cs="Arial" w:eastAsia="Arial" w:hAnsi="Arial"/>
          <w:sz w:val="15"/>
          <w:szCs w:val="15"/>
          <w:color w:val="auto"/>
        </w:rPr>
        <w:t>On February 18, 2020, the Company’s board of directors declared a dividend of $0.08 per common share, which was paid on March 17, 2020 to stockholders of record as of March 3, 2020. On April 28, 2020, the Company announced the suspension of future cash dividends due to the current economic uncertainty stemming from the COVID-19 pandemic. Any determination to declare and pay cash dividends for future quarters will be made by the Company’s board of directors.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3105" cy="24130"/>
                    </a:xfrm>
                    <a:prstGeom prst="rect">
                      <a:avLst/>
                    </a:prstGeom>
                    <a:noFill/>
                  </pic:spPr>
                </pic:pic>
              </a:graphicData>
            </a:graphic>
          </wp:anchor>
        </w:drawing>
      </w:r>
    </w:p>
    <w:p>
      <w:pPr>
        <w:sectPr>
          <w:pgSz w:w="11900" w:h="16838" w:orient="portrait"/>
          <w:cols w:equalWidth="0" w:num="1">
            <w:col w:w="9120"/>
          </w:cols>
          <w:pgMar w:left="1380" w:top="498" w:right="139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0" w:hanging="260"/>
        <w:spacing w:after="0"/>
        <w:tabs>
          <w:tab w:leader="none" w:pos="260" w:val="left"/>
        </w:tabs>
        <w:numPr>
          <w:ilvl w:val="0"/>
          <w:numId w:val="11"/>
        </w:numPr>
        <w:rPr>
          <w:rFonts w:ascii="Arial" w:cs="Arial" w:eastAsia="Arial" w:hAnsi="Arial"/>
          <w:sz w:val="15"/>
          <w:szCs w:val="15"/>
          <w:color w:val="auto"/>
        </w:rPr>
      </w:pPr>
      <w:r>
        <w:rPr>
          <w:rFonts w:ascii="Arial" w:cs="Arial" w:eastAsia="Arial" w:hAnsi="Arial"/>
          <w:sz w:val="15"/>
          <w:szCs w:val="15"/>
          <w:u w:val="single" w:color="auto"/>
          <w:color w:val="auto"/>
        </w:rPr>
        <w:t>Revenue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 Recognition</w:t>
      </w:r>
    </w:p>
    <w:p>
      <w:pPr>
        <w:spacing w:after="0" w:line="48" w:lineRule="exact"/>
        <w:rPr>
          <w:sz w:val="20"/>
          <w:szCs w:val="20"/>
          <w:color w:val="auto"/>
        </w:rPr>
      </w:pPr>
    </w:p>
    <w:p>
      <w:pPr>
        <w:ind w:right="59"/>
        <w:spacing w:after="0" w:line="252" w:lineRule="auto"/>
        <w:rPr>
          <w:sz w:val="20"/>
          <w:szCs w:val="20"/>
          <w:color w:val="auto"/>
        </w:rPr>
      </w:pPr>
      <w:r>
        <w:rPr>
          <w:rFonts w:ascii="Arial" w:cs="Arial" w:eastAsia="Arial" w:hAnsi="Arial"/>
          <w:sz w:val="15"/>
          <w:szCs w:val="15"/>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Sales Returns</w:t>
      </w:r>
    </w:p>
    <w:p>
      <w:pPr>
        <w:spacing w:after="0" w:line="35" w:lineRule="exact"/>
        <w:rPr>
          <w:sz w:val="20"/>
          <w:szCs w:val="20"/>
          <w:color w:val="auto"/>
        </w:rPr>
      </w:pPr>
    </w:p>
    <w:p>
      <w:pPr>
        <w:ind w:right="119"/>
        <w:spacing w:after="0" w:line="265" w:lineRule="auto"/>
        <w:rPr>
          <w:sz w:val="20"/>
          <w:szCs w:val="20"/>
          <w:color w:val="auto"/>
        </w:rPr>
      </w:pPr>
      <w:r>
        <w:rPr>
          <w:rFonts w:ascii="Arial" w:cs="Arial" w:eastAsia="Arial" w:hAnsi="Arial"/>
          <w:sz w:val="15"/>
          <w:szCs w:val="15"/>
          <w:color w:val="auto"/>
        </w:rPr>
        <w:t>The Company allows customers to return merchandise for up to thirty days after the date of sale. Expected refunds to customers are recorded based on estimated margin using historical return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Disaggregation of Revenue</w:t>
      </w:r>
    </w:p>
    <w:p>
      <w:pPr>
        <w:spacing w:after="0" w:line="48" w:lineRule="exact"/>
        <w:rPr>
          <w:sz w:val="20"/>
          <w:szCs w:val="20"/>
          <w:color w:val="auto"/>
        </w:rPr>
      </w:pPr>
    </w:p>
    <w:p>
      <w:pPr>
        <w:ind w:right="59"/>
        <w:spacing w:after="0" w:line="254" w:lineRule="auto"/>
        <w:rPr>
          <w:sz w:val="20"/>
          <w:szCs w:val="20"/>
          <w:color w:val="auto"/>
        </w:rPr>
      </w:pPr>
      <w:r>
        <w:rPr>
          <w:rFonts w:ascii="Arial" w:cs="Arial" w:eastAsia="Arial" w:hAnsi="Arial"/>
          <w:sz w:val="15"/>
          <w:szCs w:val="15"/>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90" w:lineRule="exact"/>
        <w:rPr>
          <w:sz w:val="20"/>
          <w:szCs w:val="20"/>
          <w:color w:val="auto"/>
        </w:rPr>
      </w:pPr>
    </w:p>
    <w:p>
      <w:pPr>
        <w:ind w:right="99"/>
        <w:spacing w:after="0" w:line="265" w:lineRule="auto"/>
        <w:rPr>
          <w:sz w:val="20"/>
          <w:szCs w:val="20"/>
          <w:color w:val="auto"/>
        </w:rPr>
      </w:pPr>
      <w:r>
        <w:rPr>
          <w:rFonts w:ascii="Arial" w:cs="Arial" w:eastAsia="Arial" w:hAnsi="Arial"/>
          <w:sz w:val="15"/>
          <w:szCs w:val="15"/>
          <w:color w:val="auto"/>
        </w:rPr>
        <w:t>In the following table, the Company’s revenue from contracts with customers is disaggregated by major product line. The percentage of net sales related to each classification of its merchandise assortment was approximately:</w:t>
      </w:r>
    </w:p>
    <w:p>
      <w:pPr>
        <w:spacing w:after="0" w:line="245" w:lineRule="exact"/>
        <w:rPr>
          <w:sz w:val="20"/>
          <w:szCs w:val="20"/>
          <w:color w:val="auto"/>
        </w:rPr>
      </w:pPr>
    </w:p>
    <w:tbl>
      <w:tblPr>
        <w:tblLayout w:type="fixed"/>
        <w:tblInd w:w="980" w:type="dxa"/>
        <w:tblCellMar>
          <w:top w:w="0" w:type="dxa"/>
          <w:left w:w="0" w:type="dxa"/>
          <w:bottom w:w="0" w:type="dxa"/>
          <w:right w:w="0" w:type="dxa"/>
        </w:tblCellMar>
      </w:tblPr>
      <w:tr>
        <w:trPr>
          <w:trHeight w:val="165"/>
        </w:trPr>
        <w:tc>
          <w:tcPr>
            <w:tcW w:w="5080" w:type="dxa"/>
            <w:vAlign w:val="bottom"/>
          </w:tcPr>
          <w:p>
            <w:pPr>
              <w:spacing w:after="0"/>
              <w:rPr>
                <w:sz w:val="14"/>
                <w:szCs w:val="1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5"/>
        </w:trPr>
        <w:tc>
          <w:tcPr>
            <w:tcW w:w="50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May 1,</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May 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5"/>
        </w:trPr>
        <w:tc>
          <w:tcPr>
            <w:tcW w:w="50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72"/>
        </w:trPr>
        <w:tc>
          <w:tcPr>
            <w:tcW w:w="508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Ladies</w:t>
            </w:r>
          </w:p>
        </w:tc>
        <w:tc>
          <w:tcPr>
            <w:tcW w:w="6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r>
      <w:tr>
        <w:trPr>
          <w:trHeight w:val="179"/>
        </w:trPr>
        <w:tc>
          <w:tcPr>
            <w:tcW w:w="5080" w:type="dxa"/>
            <w:vAlign w:val="bottom"/>
          </w:tcPr>
          <w:p>
            <w:pPr>
              <w:spacing w:after="0" w:line="179" w:lineRule="exact"/>
              <w:rPr>
                <w:sz w:val="20"/>
                <w:szCs w:val="20"/>
                <w:color w:val="auto"/>
              </w:rPr>
            </w:pPr>
            <w:r>
              <w:rPr>
                <w:rFonts w:ascii="Arial" w:cs="Arial" w:eastAsia="Arial" w:hAnsi="Arial"/>
                <w:sz w:val="16"/>
                <w:szCs w:val="16"/>
                <w:color w:val="auto"/>
              </w:rPr>
              <w:t>Kids</w:t>
            </w:r>
          </w:p>
        </w:tc>
        <w:tc>
          <w:tcPr>
            <w:tcW w:w="680" w:type="dxa"/>
            <w:vAlign w:val="bottom"/>
          </w:tcPr>
          <w:p>
            <w:pPr>
              <w:jc w:val="right"/>
              <w:ind w:right="26"/>
              <w:spacing w:after="0"/>
              <w:rPr>
                <w:sz w:val="20"/>
                <w:szCs w:val="20"/>
                <w:color w:val="auto"/>
              </w:rPr>
            </w:pPr>
            <w:r>
              <w:rPr>
                <w:rFonts w:ascii="Arial" w:cs="Arial" w:eastAsia="Arial" w:hAnsi="Arial"/>
                <w:sz w:val="15"/>
                <w:szCs w:val="15"/>
                <w:color w:val="auto"/>
              </w:rPr>
              <w:t>20</w:t>
            </w:r>
          </w:p>
        </w:tc>
        <w:tc>
          <w:tcPr>
            <w:tcW w:w="200" w:type="dxa"/>
            <w:vAlign w:val="bottom"/>
          </w:tcPr>
          <w:p>
            <w:pPr>
              <w:jc w:val="right"/>
              <w:spacing w:after="0"/>
              <w:rPr>
                <w:sz w:val="20"/>
                <w:szCs w:val="20"/>
                <w:color w:val="auto"/>
              </w:rPr>
            </w:pPr>
            <w:r>
              <w:rPr>
                <w:rFonts w:ascii="Arial" w:cs="Arial" w:eastAsia="Arial" w:hAnsi="Arial"/>
                <w:sz w:val="15"/>
                <w:szCs w:val="15"/>
                <w:color w:val="auto"/>
                <w:w w:val="89"/>
              </w:rPr>
              <w:t>%</w:t>
            </w:r>
          </w:p>
        </w:tc>
        <w:tc>
          <w:tcPr>
            <w:tcW w:w="260" w:type="dxa"/>
            <w:vAlign w:val="bottom"/>
          </w:tcPr>
          <w:p>
            <w:pPr>
              <w:spacing w:after="0"/>
              <w:rPr>
                <w:sz w:val="15"/>
                <w:szCs w:val="15"/>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22</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r>
      <w:tr>
        <w:trPr>
          <w:trHeight w:val="179"/>
        </w:trPr>
        <w:tc>
          <w:tcPr>
            <w:tcW w:w="508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Mens</w:t>
            </w:r>
          </w:p>
        </w:tc>
        <w:tc>
          <w:tcPr>
            <w:tcW w:w="6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16</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r>
      <w:tr>
        <w:trPr>
          <w:trHeight w:val="179"/>
        </w:trPr>
        <w:tc>
          <w:tcPr>
            <w:tcW w:w="5080" w:type="dxa"/>
            <w:vAlign w:val="bottom"/>
          </w:tcPr>
          <w:p>
            <w:pPr>
              <w:spacing w:after="0" w:line="179" w:lineRule="exact"/>
              <w:rPr>
                <w:sz w:val="20"/>
                <w:szCs w:val="20"/>
                <w:color w:val="auto"/>
              </w:rPr>
            </w:pPr>
            <w:r>
              <w:rPr>
                <w:rFonts w:ascii="Arial" w:cs="Arial" w:eastAsia="Arial" w:hAnsi="Arial"/>
                <w:sz w:val="16"/>
                <w:szCs w:val="16"/>
                <w:color w:val="auto"/>
              </w:rPr>
              <w:t>Accessories &amp; Beauty</w:t>
            </w:r>
          </w:p>
        </w:tc>
        <w:tc>
          <w:tcPr>
            <w:tcW w:w="680" w:type="dxa"/>
            <w:vAlign w:val="bottom"/>
          </w:tcPr>
          <w:p>
            <w:pPr>
              <w:jc w:val="right"/>
              <w:ind w:right="26"/>
              <w:spacing w:after="0"/>
              <w:rPr>
                <w:sz w:val="20"/>
                <w:szCs w:val="20"/>
                <w:color w:val="auto"/>
              </w:rPr>
            </w:pPr>
            <w:r>
              <w:rPr>
                <w:rFonts w:ascii="Arial" w:cs="Arial" w:eastAsia="Arial" w:hAnsi="Arial"/>
                <w:sz w:val="15"/>
                <w:szCs w:val="15"/>
                <w:color w:val="auto"/>
              </w:rPr>
              <w:t>17</w:t>
            </w:r>
          </w:p>
        </w:tc>
        <w:tc>
          <w:tcPr>
            <w:tcW w:w="200" w:type="dxa"/>
            <w:vAlign w:val="bottom"/>
          </w:tcPr>
          <w:p>
            <w:pPr>
              <w:jc w:val="right"/>
              <w:spacing w:after="0"/>
              <w:rPr>
                <w:sz w:val="20"/>
                <w:szCs w:val="20"/>
                <w:color w:val="auto"/>
              </w:rPr>
            </w:pPr>
            <w:r>
              <w:rPr>
                <w:rFonts w:ascii="Arial" w:cs="Arial" w:eastAsia="Arial" w:hAnsi="Arial"/>
                <w:sz w:val="15"/>
                <w:szCs w:val="15"/>
                <w:color w:val="auto"/>
                <w:w w:val="89"/>
              </w:rPr>
              <w:t>%</w:t>
            </w:r>
          </w:p>
        </w:tc>
        <w:tc>
          <w:tcPr>
            <w:tcW w:w="260" w:type="dxa"/>
            <w:vAlign w:val="bottom"/>
          </w:tcPr>
          <w:p>
            <w:pPr>
              <w:spacing w:after="0"/>
              <w:rPr>
                <w:sz w:val="15"/>
                <w:szCs w:val="15"/>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16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r>
      <w:tr>
        <w:trPr>
          <w:trHeight w:val="179"/>
        </w:trPr>
        <w:tc>
          <w:tcPr>
            <w:tcW w:w="508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Home &amp; Lifestyle</w:t>
            </w:r>
          </w:p>
        </w:tc>
        <w:tc>
          <w:tcPr>
            <w:tcW w:w="6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r>
      <w:tr>
        <w:trPr>
          <w:trHeight w:val="194"/>
        </w:trPr>
        <w:tc>
          <w:tcPr>
            <w:tcW w:w="5080" w:type="dxa"/>
            <w:vAlign w:val="bottom"/>
          </w:tcPr>
          <w:p>
            <w:pPr>
              <w:spacing w:after="0"/>
              <w:rPr>
                <w:sz w:val="20"/>
                <w:szCs w:val="20"/>
                <w:color w:val="auto"/>
              </w:rPr>
            </w:pPr>
            <w:r>
              <w:rPr>
                <w:rFonts w:ascii="Arial" w:cs="Arial" w:eastAsia="Arial" w:hAnsi="Arial"/>
                <w:sz w:val="16"/>
                <w:szCs w:val="16"/>
                <w:color w:val="auto"/>
              </w:rPr>
              <w:t>Footwear</w:t>
            </w:r>
          </w:p>
        </w:tc>
        <w:tc>
          <w:tcPr>
            <w:tcW w:w="680" w:type="dxa"/>
            <w:vAlign w:val="bottom"/>
          </w:tcPr>
          <w:p>
            <w:pPr>
              <w:jc w:val="right"/>
              <w:ind w:right="26"/>
              <w:spacing w:after="0"/>
              <w:rPr>
                <w:sz w:val="20"/>
                <w:szCs w:val="20"/>
                <w:color w:val="auto"/>
              </w:rPr>
            </w:pPr>
            <w:r>
              <w:rPr>
                <w:rFonts w:ascii="Arial" w:cs="Arial" w:eastAsia="Arial" w:hAnsi="Arial"/>
                <w:sz w:val="15"/>
                <w:szCs w:val="15"/>
                <w:color w:val="auto"/>
              </w:rPr>
              <w:t>8</w:t>
            </w:r>
          </w:p>
        </w:tc>
        <w:tc>
          <w:tcPr>
            <w:tcW w:w="200" w:type="dxa"/>
            <w:vAlign w:val="bottom"/>
          </w:tcPr>
          <w:p>
            <w:pPr>
              <w:jc w:val="right"/>
              <w:spacing w:after="0"/>
              <w:rPr>
                <w:sz w:val="20"/>
                <w:szCs w:val="20"/>
                <w:color w:val="auto"/>
              </w:rPr>
            </w:pPr>
            <w:r>
              <w:rPr>
                <w:rFonts w:ascii="Arial" w:cs="Arial" w:eastAsia="Arial" w:hAnsi="Arial"/>
                <w:sz w:val="15"/>
                <w:szCs w:val="15"/>
                <w:color w:val="auto"/>
                <w:w w:val="89"/>
              </w:rPr>
              <w:t>%</w:t>
            </w:r>
          </w:p>
        </w:tc>
        <w:tc>
          <w:tcPr>
            <w:tcW w:w="260" w:type="dxa"/>
            <w:vAlign w:val="bottom"/>
          </w:tcPr>
          <w:p>
            <w:pPr>
              <w:spacing w:after="0"/>
              <w:rPr>
                <w:sz w:val="16"/>
                <w:szCs w:val="16"/>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10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Leases</w:t>
      </w:r>
    </w:p>
    <w:p>
      <w:pPr>
        <w:spacing w:after="0" w:line="224" w:lineRule="exact"/>
        <w:rPr>
          <w:sz w:val="20"/>
          <w:szCs w:val="20"/>
          <w:color w:val="auto"/>
        </w:rPr>
      </w:pPr>
    </w:p>
    <w:p>
      <w:pPr>
        <w:ind w:right="19"/>
        <w:spacing w:after="0" w:line="253" w:lineRule="auto"/>
        <w:rPr>
          <w:sz w:val="20"/>
          <w:szCs w:val="20"/>
          <w:color w:val="auto"/>
        </w:rPr>
      </w:pPr>
      <w:r>
        <w:rPr>
          <w:rFonts w:ascii="Arial" w:cs="Arial" w:eastAsia="Arial" w:hAnsi="Arial"/>
          <w:sz w:val="15"/>
          <w:szCs w:val="15"/>
          <w:color w:val="auto"/>
        </w:rPr>
        <w:t>The Company leases its retail store locations and certain office space and equipment. Leases for store locations are typically for a term of five years with options to extend for one or more five-year periods. 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spacing w:after="0" w:line="202" w:lineRule="exact"/>
        <w:rPr>
          <w:sz w:val="20"/>
          <w:szCs w:val="20"/>
          <w:color w:val="auto"/>
        </w:rPr>
      </w:pPr>
    </w:p>
    <w:p>
      <w:pPr>
        <w:jc w:val="both"/>
        <w:ind w:right="159"/>
        <w:spacing w:after="0" w:line="257" w:lineRule="auto"/>
        <w:rPr>
          <w:sz w:val="20"/>
          <w:szCs w:val="20"/>
          <w:color w:val="auto"/>
        </w:rPr>
      </w:pPr>
      <w:r>
        <w:rPr>
          <w:rFonts w:ascii="Arial" w:cs="Arial" w:eastAsia="Arial" w:hAnsi="Arial"/>
          <w:sz w:val="15"/>
          <w:szCs w:val="15"/>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8"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3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05"/>
              <w:spacing w:after="0"/>
              <w:rPr>
                <w:sz w:val="20"/>
                <w:szCs w:val="20"/>
                <w:color w:val="auto"/>
              </w:rPr>
            </w:pPr>
            <w:r>
              <w:rPr>
                <w:rFonts w:ascii="Arial" w:cs="Arial" w:eastAsia="Arial" w:hAnsi="Arial"/>
                <w:sz w:val="14"/>
                <w:szCs w:val="14"/>
                <w:b w:val="1"/>
                <w:bCs w:val="1"/>
                <w:color w:val="auto"/>
              </w:rPr>
              <w:t>Thirteen Weeks Ended</w:t>
            </w:r>
          </w:p>
        </w:tc>
      </w:tr>
      <w:tr>
        <w:trPr>
          <w:trHeight w:val="146"/>
        </w:trPr>
        <w:tc>
          <w:tcPr>
            <w:tcW w:w="308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46"/>
              <w:spacing w:after="0" w:line="146" w:lineRule="exact"/>
              <w:rPr>
                <w:sz w:val="20"/>
                <w:szCs w:val="20"/>
                <w:color w:val="auto"/>
              </w:rPr>
            </w:pPr>
            <w:r>
              <w:rPr>
                <w:rFonts w:ascii="Arial" w:cs="Arial" w:eastAsia="Arial" w:hAnsi="Arial"/>
                <w:sz w:val="14"/>
                <w:szCs w:val="14"/>
                <w:b w:val="1"/>
                <w:bCs w:val="1"/>
                <w:color w:val="auto"/>
              </w:rPr>
              <w:t>May 1, 2021</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65"/>
              <w:spacing w:after="0" w:line="146" w:lineRule="exact"/>
              <w:rPr>
                <w:sz w:val="20"/>
                <w:szCs w:val="20"/>
                <w:color w:val="auto"/>
              </w:rPr>
            </w:pPr>
            <w:r>
              <w:rPr>
                <w:rFonts w:ascii="Arial" w:cs="Arial" w:eastAsia="Arial" w:hAnsi="Arial"/>
                <w:sz w:val="14"/>
                <w:szCs w:val="14"/>
                <w:b w:val="1"/>
                <w:bCs w:val="1"/>
                <w:color w:val="auto"/>
              </w:rPr>
              <w:t>May 2, 2020</w:t>
            </w:r>
          </w:p>
        </w:tc>
      </w:tr>
      <w:tr>
        <w:trPr>
          <w:trHeight w:val="172"/>
        </w:trPr>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cost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12,953</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12,553</w:t>
            </w:r>
          </w:p>
        </w:tc>
      </w:tr>
      <w:tr>
        <w:trPr>
          <w:trHeight w:val="179"/>
        </w:trPr>
        <w:tc>
          <w:tcPr>
            <w:tcW w:w="3080" w:type="dxa"/>
            <w:vAlign w:val="bottom"/>
          </w:tcPr>
          <w:p>
            <w:pPr>
              <w:spacing w:after="0"/>
              <w:rPr>
                <w:sz w:val="20"/>
                <w:szCs w:val="20"/>
                <w:color w:val="auto"/>
              </w:rPr>
            </w:pPr>
            <w:r>
              <w:rPr>
                <w:rFonts w:ascii="Arial" w:cs="Arial" w:eastAsia="Arial" w:hAnsi="Arial"/>
                <w:sz w:val="15"/>
                <w:szCs w:val="15"/>
                <w:color w:val="auto"/>
              </w:rPr>
              <w:t>Variable lease cost</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2,981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1,793</w:t>
            </w:r>
          </w:p>
        </w:tc>
      </w:tr>
      <w:tr>
        <w:trPr>
          <w:trHeight w:val="179"/>
        </w:trPr>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Short term lease cost</w:t>
            </w:r>
          </w:p>
        </w:tc>
        <w:tc>
          <w:tcPr>
            <w:tcW w:w="16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w:t>
            </w: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364</w:t>
            </w:r>
          </w:p>
        </w:tc>
      </w:tr>
      <w:tr>
        <w:trPr>
          <w:trHeight w:val="172"/>
        </w:trPr>
        <w:tc>
          <w:tcPr>
            <w:tcW w:w="3080" w:type="dxa"/>
            <w:vAlign w:val="bottom"/>
          </w:tcPr>
          <w:p>
            <w:pPr>
              <w:spacing w:after="0"/>
              <w:rPr>
                <w:sz w:val="20"/>
                <w:szCs w:val="20"/>
                <w:color w:val="auto"/>
              </w:rPr>
            </w:pPr>
            <w:r>
              <w:rPr>
                <w:rFonts w:ascii="Arial" w:cs="Arial" w:eastAsia="Arial" w:hAnsi="Arial"/>
                <w:sz w:val="15"/>
                <w:szCs w:val="15"/>
                <w:color w:val="auto"/>
              </w:rPr>
              <w:t>Total lease cost</w:t>
            </w:r>
          </w:p>
        </w:tc>
        <w:tc>
          <w:tcPr>
            <w:tcW w:w="17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16,250</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14,710</w:t>
            </w:r>
          </w:p>
        </w:tc>
      </w:tr>
      <w:tr>
        <w:trPr>
          <w:trHeight w:val="20"/>
        </w:trPr>
        <w:tc>
          <w:tcPr>
            <w:tcW w:w="3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ind w:right="39"/>
        <w:spacing w:after="0" w:line="253" w:lineRule="auto"/>
        <w:rPr>
          <w:sz w:val="20"/>
          <w:szCs w:val="20"/>
          <w:color w:val="auto"/>
        </w:rPr>
      </w:pPr>
      <w:r>
        <w:rPr>
          <w:rFonts w:ascii="Arial" w:cs="Arial" w:eastAsia="Arial" w:hAnsi="Arial"/>
          <w:sz w:val="15"/>
          <w:szCs w:val="15"/>
          <w:color w:val="auto"/>
        </w:rPr>
        <w:t>In response to the impact of the COVID-19 pandemic on the Company’s operations, the Company suspended certain lease payments in 2020 under its existing lease agreements. During the suspension of payments, the Company continued to recognize expenses and liabilities for lease obligations and corresponding right-of-use assets on the balance sheet in accordance with the applicable accounting guidance. The Company is engaging in ongoing discussions with landlords regarding the potential restructuring of lease payments and rent concessions. As of May 1, 2021, the Company negotiated</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3105" cy="24130"/>
                    </a:xfrm>
                    <a:prstGeom prst="rect">
                      <a:avLst/>
                    </a:prstGeom>
                    <a:noFill/>
                  </pic:spPr>
                </pic:pic>
              </a:graphicData>
            </a:graphic>
          </wp:anchor>
        </w:drawing>
      </w:r>
    </w:p>
    <w:p>
      <w:pPr>
        <w:sectPr>
          <w:pgSz w:w="11900" w:h="16838" w:orient="portrait"/>
          <w:cols w:equalWidth="0" w:num="1">
            <w:col w:w="9079"/>
          </w:cols>
          <w:pgMar w:left="1380" w:top="498" w:right="1440"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contractual rent concessions on many leases in the form of early renewals, rent deferrals and rent abatements. The Company elected to account for qualifying COVID-19 related rent concessions as if they were part of the enforceable rights and obligations under the existing lease agreements, as permitted by the updated guidance provided by the FASB in April 2020. As a result of this election, the Company recognized rent abatement credits of approximately $0.1 million during the first quarter of 2021.</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Future minimum lease payments as of May 1, 2021 are as follows (in thousands):</w:t>
      </w:r>
    </w:p>
    <w:p>
      <w:pPr>
        <w:spacing w:after="0" w:line="274"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720" w:type="dxa"/>
            <w:vAlign w:val="bottom"/>
            <w:tcBorders>
              <w:bottom w:val="single" w:sz="8" w:color="auto"/>
            </w:tcBorders>
          </w:tcPr>
          <w:p>
            <w:pPr>
              <w:jc w:val="right"/>
              <w:ind w:right="2445"/>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Lease Costs</w:t>
            </w:r>
          </w:p>
        </w:tc>
        <w:tc>
          <w:tcPr>
            <w:tcW w:w="280" w:type="dxa"/>
            <w:vAlign w:val="bottom"/>
            <w:tcBorders>
              <w:bottom w:val="single" w:sz="8" w:color="CCEEFF"/>
            </w:tcBorders>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Remainder of 2021</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38,533</w:t>
            </w:r>
          </w:p>
        </w:tc>
        <w:tc>
          <w:tcPr>
            <w:tcW w:w="280" w:type="dxa"/>
            <w:vAlign w:val="bottom"/>
            <w:shd w:val="clear" w:color="auto" w:fill="CCEEFF"/>
          </w:tcPr>
          <w:p>
            <w:pPr>
              <w:spacing w:after="0"/>
              <w:rPr>
                <w:sz w:val="14"/>
                <w:szCs w:val="14"/>
                <w:color w:val="auto"/>
              </w:rPr>
            </w:pPr>
          </w:p>
        </w:tc>
      </w:tr>
      <w:tr>
        <w:trPr>
          <w:trHeight w:val="179"/>
        </w:trPr>
        <w:tc>
          <w:tcPr>
            <w:tcW w:w="5740" w:type="dxa"/>
            <w:vAlign w:val="bottom"/>
            <w:gridSpan w:val="2"/>
          </w:tcPr>
          <w:p>
            <w:pPr>
              <w:jc w:val="right"/>
              <w:ind w:right="5325"/>
              <w:spacing w:after="0"/>
              <w:rPr>
                <w:sz w:val="20"/>
                <w:szCs w:val="20"/>
                <w:color w:val="auto"/>
              </w:rPr>
            </w:pPr>
            <w:r>
              <w:rPr>
                <w:rFonts w:ascii="Arial" w:cs="Arial" w:eastAsia="Arial" w:hAnsi="Arial"/>
                <w:sz w:val="15"/>
                <w:szCs w:val="15"/>
                <w:color w:val="auto"/>
                <w:w w:val="95"/>
              </w:rPr>
              <w:t>2022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48,529</w:t>
            </w:r>
          </w:p>
        </w:tc>
        <w:tc>
          <w:tcPr>
            <w:tcW w:w="28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5720" w:type="dxa"/>
            <w:vAlign w:val="bottom"/>
            <w:shd w:val="clear" w:color="auto" w:fill="CCEEFF"/>
          </w:tcPr>
          <w:p>
            <w:pPr>
              <w:jc w:val="right"/>
              <w:ind w:right="5325"/>
              <w:spacing w:after="0"/>
              <w:rPr>
                <w:sz w:val="20"/>
                <w:szCs w:val="20"/>
                <w:color w:val="auto"/>
              </w:rPr>
            </w:pPr>
            <w:r>
              <w:rPr>
                <w:rFonts w:ascii="Arial" w:cs="Arial" w:eastAsia="Arial" w:hAnsi="Arial"/>
                <w:sz w:val="15"/>
                <w:szCs w:val="15"/>
                <w:color w:val="auto"/>
                <w:w w:val="89"/>
              </w:rPr>
              <w:t>2023</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40,631</w:t>
            </w:r>
          </w:p>
        </w:tc>
        <w:tc>
          <w:tcPr>
            <w:tcW w:w="280" w:type="dxa"/>
            <w:vAlign w:val="bottom"/>
            <w:shd w:val="clear" w:color="auto" w:fill="CCEEFF"/>
          </w:tcPr>
          <w:p>
            <w:pPr>
              <w:spacing w:after="0"/>
              <w:rPr>
                <w:sz w:val="15"/>
                <w:szCs w:val="15"/>
                <w:color w:val="auto"/>
              </w:rPr>
            </w:pPr>
          </w:p>
        </w:tc>
      </w:tr>
      <w:tr>
        <w:trPr>
          <w:trHeight w:val="179"/>
        </w:trPr>
        <w:tc>
          <w:tcPr>
            <w:tcW w:w="5740" w:type="dxa"/>
            <w:vAlign w:val="bottom"/>
            <w:gridSpan w:val="2"/>
          </w:tcPr>
          <w:p>
            <w:pPr>
              <w:jc w:val="right"/>
              <w:ind w:right="5325"/>
              <w:spacing w:after="0"/>
              <w:rPr>
                <w:sz w:val="20"/>
                <w:szCs w:val="20"/>
                <w:color w:val="auto"/>
              </w:rPr>
            </w:pPr>
            <w:r>
              <w:rPr>
                <w:rFonts w:ascii="Arial" w:cs="Arial" w:eastAsia="Arial" w:hAnsi="Arial"/>
                <w:sz w:val="15"/>
                <w:szCs w:val="15"/>
                <w:color w:val="auto"/>
                <w:w w:val="95"/>
              </w:rPr>
              <w:t>2024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32,395</w:t>
            </w:r>
          </w:p>
        </w:tc>
        <w:tc>
          <w:tcPr>
            <w:tcW w:w="28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5720" w:type="dxa"/>
            <w:vAlign w:val="bottom"/>
            <w:shd w:val="clear" w:color="auto" w:fill="CCEEFF"/>
          </w:tcPr>
          <w:p>
            <w:pPr>
              <w:jc w:val="right"/>
              <w:ind w:right="5325"/>
              <w:spacing w:after="0"/>
              <w:rPr>
                <w:sz w:val="20"/>
                <w:szCs w:val="20"/>
                <w:color w:val="auto"/>
              </w:rPr>
            </w:pPr>
            <w:r>
              <w:rPr>
                <w:rFonts w:ascii="Arial" w:cs="Arial" w:eastAsia="Arial" w:hAnsi="Arial"/>
                <w:sz w:val="15"/>
                <w:szCs w:val="15"/>
                <w:color w:val="auto"/>
                <w:w w:val="89"/>
              </w:rPr>
              <w:t>2025</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22,253</w:t>
            </w:r>
          </w:p>
        </w:tc>
        <w:tc>
          <w:tcPr>
            <w:tcW w:w="280" w:type="dxa"/>
            <w:vAlign w:val="bottom"/>
            <w:shd w:val="clear" w:color="auto" w:fill="CCEEFF"/>
          </w:tcPr>
          <w:p>
            <w:pPr>
              <w:spacing w:after="0"/>
              <w:rPr>
                <w:sz w:val="15"/>
                <w:szCs w:val="15"/>
                <w:color w:val="auto"/>
              </w:rPr>
            </w:pPr>
          </w:p>
        </w:tc>
      </w:tr>
      <w:tr>
        <w:trPr>
          <w:trHeight w:val="179"/>
        </w:trPr>
        <w:tc>
          <w:tcPr>
            <w:tcW w:w="5740" w:type="dxa"/>
            <w:vAlign w:val="bottom"/>
            <w:gridSpan w:val="2"/>
          </w:tcPr>
          <w:p>
            <w:pPr>
              <w:spacing w:after="0"/>
              <w:rPr>
                <w:sz w:val="20"/>
                <w:szCs w:val="20"/>
                <w:color w:val="auto"/>
              </w:rPr>
            </w:pPr>
            <w:r>
              <w:rPr>
                <w:rFonts w:ascii="Arial" w:cs="Arial" w:eastAsia="Arial" w:hAnsi="Arial"/>
                <w:sz w:val="15"/>
                <w:szCs w:val="15"/>
                <w:color w:val="auto"/>
              </w:rPr>
              <w:t>Thereafter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32,418</w:t>
            </w:r>
          </w:p>
        </w:tc>
        <w:tc>
          <w:tcPr>
            <w:tcW w:w="28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future minimum lease payments</w:t>
            </w:r>
          </w:p>
        </w:tc>
        <w:tc>
          <w:tcPr>
            <w:tcW w:w="2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214,759</w:t>
            </w:r>
          </w:p>
        </w:tc>
        <w:tc>
          <w:tcPr>
            <w:tcW w:w="280" w:type="dxa"/>
            <w:vAlign w:val="bottom"/>
            <w:tcBorders>
              <w:top w:val="single" w:sz="8" w:color="CCEEFF"/>
            </w:tcBorders>
            <w:shd w:val="clear" w:color="auto" w:fill="CCEEFF"/>
          </w:tcPr>
          <w:p>
            <w:pPr>
              <w:spacing w:after="0"/>
              <w:rPr>
                <w:sz w:val="14"/>
                <w:szCs w:val="14"/>
                <w:color w:val="auto"/>
              </w:rPr>
            </w:pPr>
          </w:p>
        </w:tc>
      </w:tr>
      <w:tr>
        <w:trPr>
          <w:trHeight w:val="179"/>
        </w:trPr>
        <w:tc>
          <w:tcPr>
            <w:tcW w:w="5740" w:type="dxa"/>
            <w:vAlign w:val="bottom"/>
            <w:gridSpan w:val="2"/>
          </w:tcPr>
          <w:p>
            <w:pPr>
              <w:spacing w:after="0"/>
              <w:rPr>
                <w:sz w:val="20"/>
                <w:szCs w:val="20"/>
                <w:color w:val="auto"/>
              </w:rPr>
            </w:pPr>
            <w:r>
              <w:rPr>
                <w:rFonts w:ascii="Arial" w:cs="Arial" w:eastAsia="Arial" w:hAnsi="Arial"/>
                <w:sz w:val="15"/>
                <w:szCs w:val="15"/>
                <w:color w:val="auto"/>
              </w:rPr>
              <w:t>Less: imputed interest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5"/>
                <w:szCs w:val="15"/>
                <w:color w:val="auto"/>
              </w:rPr>
              <w:t xml:space="preserve">(17,255) </w:t>
            </w:r>
            <w:r>
              <w:rPr>
                <w:rFonts w:ascii="Arial" w:cs="Arial" w:eastAsia="Arial" w:hAnsi="Arial"/>
                <w:sz w:val="11"/>
                <w:szCs w:val="11"/>
                <w:color w:val="auto"/>
              </w:rPr>
              <w:t>(1)</w:t>
            </w:r>
          </w:p>
        </w:tc>
      </w:tr>
      <w:tr>
        <w:trPr>
          <w:trHeight w:val="20"/>
        </w:trPr>
        <w:tc>
          <w:tcPr>
            <w:tcW w:w="20" w:type="dxa"/>
            <w:vAlign w:val="bottom"/>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Total present value of lease liabilities</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197,504</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183" w:lineRule="exact"/>
        <w:rPr>
          <w:sz w:val="20"/>
          <w:szCs w:val="20"/>
          <w:color w:val="auto"/>
        </w:rPr>
      </w:pPr>
    </w:p>
    <w:p>
      <w:pPr>
        <w:ind w:left="1060" w:hanging="306"/>
        <w:spacing w:after="0"/>
        <w:tabs>
          <w:tab w:leader="none" w:pos="10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Calculated using the discount rate for each lease.</w:t>
      </w:r>
    </w:p>
    <w:p>
      <w:pPr>
        <w:spacing w:after="0" w:line="5" w:lineRule="exact"/>
        <w:rPr>
          <w:rFonts w:ascii="Arial" w:cs="Arial" w:eastAsia="Arial" w:hAnsi="Arial"/>
          <w:sz w:val="14"/>
          <w:szCs w:val="14"/>
          <w:color w:val="auto"/>
        </w:rPr>
      </w:pPr>
    </w:p>
    <w:p>
      <w:pPr>
        <w:ind w:left="1060" w:hanging="306"/>
        <w:spacing w:after="0"/>
        <w:tabs>
          <w:tab w:leader="none" w:pos="10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 liabilities.</w:t>
      </w:r>
    </w:p>
    <w:p>
      <w:pPr>
        <w:spacing w:after="0" w:line="181" w:lineRule="exact"/>
        <w:rPr>
          <w:sz w:val="20"/>
          <w:szCs w:val="20"/>
          <w:color w:val="auto"/>
        </w:rPr>
      </w:pPr>
    </w:p>
    <w:p>
      <w:pPr>
        <w:jc w:val="both"/>
        <w:ind w:right="240"/>
        <w:spacing w:after="0" w:line="265" w:lineRule="auto"/>
        <w:rPr>
          <w:sz w:val="20"/>
          <w:szCs w:val="20"/>
          <w:color w:val="auto"/>
        </w:rPr>
      </w:pPr>
      <w:r>
        <w:rPr>
          <w:rFonts w:ascii="Arial" w:cs="Arial" w:eastAsia="Arial" w:hAnsi="Arial"/>
          <w:sz w:val="15"/>
          <w:szCs w:val="15"/>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94"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Supplemental cash flows and other information related to operating leases are as follows (in thousands, except for weighted average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825"/>
              <w:spacing w:after="0"/>
              <w:rPr>
                <w:sz w:val="20"/>
                <w:szCs w:val="20"/>
                <w:color w:val="auto"/>
              </w:rPr>
            </w:pPr>
            <w:r>
              <w:rPr>
                <w:rFonts w:ascii="Arial" w:cs="Arial" w:eastAsia="Arial" w:hAnsi="Arial"/>
                <w:sz w:val="14"/>
                <w:szCs w:val="14"/>
                <w:b w:val="1"/>
                <w:bCs w:val="1"/>
                <w:color w:val="auto"/>
              </w:rPr>
              <w:t>Thirteen Weeks Ended</w:t>
            </w:r>
          </w:p>
        </w:tc>
      </w:tr>
      <w:tr>
        <w:trPr>
          <w:trHeight w:val="146"/>
        </w:trPr>
        <w:tc>
          <w:tcPr>
            <w:tcW w:w="54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286"/>
              <w:spacing w:after="0" w:line="146" w:lineRule="exact"/>
              <w:rPr>
                <w:sz w:val="20"/>
                <w:szCs w:val="20"/>
                <w:color w:val="auto"/>
              </w:rPr>
            </w:pPr>
            <w:r>
              <w:rPr>
                <w:rFonts w:ascii="Arial" w:cs="Arial" w:eastAsia="Arial" w:hAnsi="Arial"/>
                <w:sz w:val="14"/>
                <w:szCs w:val="14"/>
                <w:b w:val="1"/>
                <w:bCs w:val="1"/>
                <w:color w:val="auto"/>
              </w:rPr>
              <w:t>May 1, 2021</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05"/>
              <w:spacing w:after="0" w:line="146" w:lineRule="exact"/>
              <w:rPr>
                <w:sz w:val="20"/>
                <w:szCs w:val="20"/>
                <w:color w:val="auto"/>
              </w:rPr>
            </w:pPr>
            <w:r>
              <w:rPr>
                <w:rFonts w:ascii="Arial" w:cs="Arial" w:eastAsia="Arial" w:hAnsi="Arial"/>
                <w:sz w:val="14"/>
                <w:szCs w:val="14"/>
                <w:b w:val="1"/>
                <w:bCs w:val="1"/>
                <w:color w:val="auto"/>
              </w:rPr>
              <w:t>May 2, 2020</w:t>
            </w:r>
          </w:p>
        </w:tc>
      </w:tr>
      <w:tr>
        <w:trPr>
          <w:trHeight w:val="172"/>
        </w:trPr>
        <w:tc>
          <w:tcPr>
            <w:tcW w:w="5460" w:type="dxa"/>
            <w:vAlign w:val="bottom"/>
            <w:shd w:val="clear" w:color="auto" w:fill="CCEEFF"/>
          </w:tcPr>
          <w:p>
            <w:pPr>
              <w:spacing w:after="0"/>
              <w:rPr>
                <w:sz w:val="20"/>
                <w:szCs w:val="20"/>
                <w:color w:val="auto"/>
              </w:rPr>
            </w:pPr>
            <w:r>
              <w:rPr>
                <w:rFonts w:ascii="Arial" w:cs="Arial" w:eastAsia="Arial" w:hAnsi="Arial"/>
                <w:sz w:val="15"/>
                <w:szCs w:val="15"/>
                <w:color w:val="auto"/>
              </w:rPr>
              <w:t>Cash paid for operating leases</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13,919</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4,032</w:t>
            </w:r>
          </w:p>
        </w:tc>
      </w:tr>
      <w:tr>
        <w:trPr>
          <w:trHeight w:val="179"/>
        </w:trPr>
        <w:tc>
          <w:tcPr>
            <w:tcW w:w="5460" w:type="dxa"/>
            <w:vAlign w:val="bottom"/>
          </w:tcPr>
          <w:p>
            <w:pPr>
              <w:spacing w:after="0"/>
              <w:rPr>
                <w:sz w:val="20"/>
                <w:szCs w:val="20"/>
                <w:color w:val="auto"/>
              </w:rPr>
            </w:pPr>
            <w:r>
              <w:rPr>
                <w:rFonts w:ascii="Arial" w:cs="Arial" w:eastAsia="Arial" w:hAnsi="Arial"/>
                <w:sz w:val="15"/>
                <w:szCs w:val="15"/>
                <w:color w:val="auto"/>
              </w:rPr>
              <w:t>Right of use assets obtained in exchange for new operating lease liabilities</w:t>
            </w: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17,529</w:t>
            </w: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8,962</w:t>
            </w:r>
          </w:p>
        </w:tc>
      </w:tr>
      <w:tr>
        <w:trPr>
          <w:trHeight w:val="179"/>
        </w:trPr>
        <w:tc>
          <w:tcPr>
            <w:tcW w:w="5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9"/>
        </w:trPr>
        <w:tc>
          <w:tcPr>
            <w:tcW w:w="5460" w:type="dxa"/>
            <w:vAlign w:val="bottom"/>
          </w:tcPr>
          <w:p>
            <w:pPr>
              <w:spacing w:after="0"/>
              <w:rPr>
                <w:sz w:val="20"/>
                <w:szCs w:val="20"/>
                <w:color w:val="auto"/>
              </w:rPr>
            </w:pPr>
            <w:r>
              <w:rPr>
                <w:rFonts w:ascii="Arial" w:cs="Arial" w:eastAsia="Arial" w:hAnsi="Arial"/>
                <w:sz w:val="15"/>
                <w:szCs w:val="15"/>
                <w:color w:val="auto"/>
              </w:rPr>
              <w:t>Weighted average remaining lease term (years) - operating leases</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5.17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5.20</w:t>
            </w:r>
          </w:p>
        </w:tc>
      </w:tr>
      <w:tr>
        <w:trPr>
          <w:trHeight w:val="179"/>
        </w:trPr>
        <w:tc>
          <w:tcPr>
            <w:tcW w:w="546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discount rate - operating leases</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3105" cy="24130"/>
                    </a:xfrm>
                    <a:prstGeom prst="rect">
                      <a:avLst/>
                    </a:prstGeom>
                    <a:noFill/>
                  </pic:spPr>
                </pic:pic>
              </a:graphicData>
            </a:graphic>
          </wp:anchor>
        </w:drawing>
      </w:r>
    </w:p>
    <w:p>
      <w:pPr>
        <w:sectPr>
          <w:pgSz w:w="11900" w:h="16838" w:orient="portrait"/>
          <w:cols w:equalWidth="0" w:num="1">
            <w:col w:w="9120"/>
          </w:cols>
          <w:pgMar w:left="1380" w:top="498" w:right="139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242"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388"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color w:val="auto"/>
        </w:rPr>
        <w:t>The factors that may result in actual results differing from such forward-looking information include, but are not limited to: uncertainties relating to general economic conditions, including any deterioration whether caused by acts of war, terrorism, political or social unrest (including any resulting store closures, damage or loss of inventory); the ongoing COVID-19 pandemic and associated containment and remediation efforts; the potential negative impacts of COVID-19 on the global economy and foreign sourcing; the impacts of COVID-19 on the Company's financial condition, business operation and liquidity, including the re-closure of any or all of the Company’s retail stores and distribution centers, growth risks, consumer spending patterns; competition within the industry; competition in our markets; the ability to anticipate and respond to fashion trends; the duration and extent of any economic stimulus programs; transportation and distribution delays or interruptions; changes in freight rates; the Company’s ability to negotiate effectively the cost and purchase of merchandise; inventory risks due to shifts in market demand; the Company’s ability to gauge fashion trends and changing consumer preferences; changes in consumer spending on apparel; changes in product mix; interruptions in suppliers’ businesses; the results of pending or threatened litigation; temporary changes in demand due to weather patterns; seasonality of the Company’s business; delays associated with building, opening and operating new stores; delays associated with building, opening or expanding new or existing distribution centers; and other factors described in the section titled “Item 1A. Risk Factors” and elsewhere in the Company’s Annual Report on Form 10-K for the fiscal year ended January 30, 2021 and in Part II, “Item 1A. Risk Factors” and elsewhere in the Company’s Quarterly Reports on Form 10-Q and any amendments thereto and in the other documents the Company files with the SEC, including reports on Form 8-K.</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Readers are cautioned not to place undue reliance on these forward-looking statements, which speak only as of the date of this</w:t>
      </w:r>
    </w:p>
    <w:p>
      <w:pPr>
        <w:spacing w:after="0" w:line="6"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42"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We are a growing specialty value retailer of apparel, accessories and home trends primarily for African American and Latinx families. Our high-quality and trend-right merchandise offerings at everyday low prices are designed to appeal to the fashion and trend preferences of value-conscious customers. As of May 1, 2021, we operated 584 stores in urban, suburban and rural markets in 33 states.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COVID-19 Pandemic</w:t>
      </w:r>
    </w:p>
    <w:p>
      <w:pPr>
        <w:spacing w:after="0" w:line="242"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In March 2020, the World Health Organization declared COVID-19 a global pandemic. Since that time, the global economy has been, and continues to be, affected by COVID-19. The pandemic has caused and may continue to cause significant disruptions in the U.S. economy as the virus continues to spread or has a resurgence in certain jurisdictions. Effective March 20, 2020, we temporarily closed all of our retail store locations and distribution centers as governments implemented measures in an effort to contain the virus, including lockdowns, physical distancing, travel restrictions, limitations on public gatherings, work from home and restrictions on nonessential businesses. At the end of April 2020, we started to reopen stores in select states in accordance with government guidelines. As of July 18, 2020, we safely reopened all of our stores. The COVID-19 pandemic has resulted in a period of disruption, including the temporary closure of our stores and limited store operating hours, reduced customer traffic and consumer spending, and delays in the manufacturing and shipping of</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3105" cy="24130"/>
                    </a:xfrm>
                    <a:prstGeom prst="rect">
                      <a:avLst/>
                    </a:prstGeom>
                    <a:noFill/>
                  </pic:spPr>
                </pic:pic>
              </a:graphicData>
            </a:graphic>
          </wp:anchor>
        </w:drawing>
      </w:r>
    </w:p>
    <w:p>
      <w:pPr>
        <w:sectPr>
          <w:pgSz w:w="11900" w:h="16838" w:orient="portrait"/>
          <w:cols w:equalWidth="0" w:num="1">
            <w:col w:w="9120"/>
          </w:cols>
          <w:pgMar w:left="1380" w:top="498" w:right="139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color w:val="auto"/>
        </w:rPr>
        <w:t>products. We saw improvement in our financial results and positive trends during the latter half of fiscal 2020 and into the first quarter of 2021 as certain governments began to gradually ease restrictions and provide economic stimulus and vaccine distribution accelerated, leading to an increase in spending and increased customer demand.</w:t>
      </w:r>
    </w:p>
    <w:p>
      <w:pPr>
        <w:spacing w:after="0" w:line="123" w:lineRule="exact"/>
        <w:rPr>
          <w:sz w:val="20"/>
          <w:szCs w:val="20"/>
          <w:color w:val="auto"/>
        </w:rPr>
      </w:pPr>
    </w:p>
    <w:p>
      <w:pPr>
        <w:ind w:right="140"/>
        <w:spacing w:after="0" w:line="251" w:lineRule="auto"/>
        <w:rPr>
          <w:sz w:val="20"/>
          <w:szCs w:val="20"/>
          <w:color w:val="auto"/>
        </w:rPr>
      </w:pPr>
      <w:r>
        <w:rPr>
          <w:rFonts w:ascii="Arial" w:cs="Arial" w:eastAsia="Arial" w:hAnsi="Arial"/>
          <w:sz w:val="15"/>
          <w:szCs w:val="15"/>
          <w:color w:val="auto"/>
        </w:rPr>
        <w:t>We took numerous actions beginning in the first quarter of fiscal 2020 in light of the uncertainties resulting from the pandemic, including: (i) the drawdown of $43.7 million in principal amount under the revolving credit facility on March 20, 2020, which we fully repaid on September 11, 2020; (ii) an amendment to the revolving credit facility to extend the term to August 2021; (iii) temporary furloughs of substantially all store and distribution center personnel and a significant portion of the corporate staff, with employee benefits for eligible employees continued through the temporary furloughs; (iv) temporary tiered salary reductions for management level corporate employees and a reduction to the cash portion of non-employee director fees; (v) extensions of payment terms with vendors and suppliers; (vi) the suspension of share repurchases; (vii) negotiations of rent concessions with landlords, some of which are ongoing; and (viii) a substantial reduction in operating expenses, store occupancy costs, capital expenditures and other costs.</w:t>
      </w:r>
    </w:p>
    <w:p>
      <w:pPr>
        <w:spacing w:after="0" w:line="128" w:lineRule="exact"/>
        <w:rPr>
          <w:sz w:val="20"/>
          <w:szCs w:val="20"/>
          <w:color w:val="auto"/>
        </w:rPr>
      </w:pPr>
    </w:p>
    <w:p>
      <w:pPr>
        <w:ind w:right="100"/>
        <w:spacing w:after="0" w:line="250" w:lineRule="auto"/>
        <w:rPr>
          <w:sz w:val="20"/>
          <w:szCs w:val="20"/>
          <w:color w:val="auto"/>
        </w:rPr>
      </w:pPr>
      <w:r>
        <w:rPr>
          <w:rFonts w:ascii="Arial" w:cs="Arial" w:eastAsia="Arial" w:hAnsi="Arial"/>
          <w:sz w:val="15"/>
          <w:szCs w:val="15"/>
          <w:color w:val="auto"/>
        </w:rPr>
        <w:t>We expect continued uncertainty in our business and the global economy, although the extent and duration is unknown, by the COVID-19 pandemic and its effects on the economy in a variety of ways, potentially including volatility in employment trends and consumer confidence, the direction or extent of current or future restrictive actions that may be imposed by governments or public health authorities, timing and effectiveness of vaccines, the duration and extent of any economic stimulus programs, supply chain interruptions, increased distribution and transportation costs, increased payroll expenses, and increased costs in an effort to maintain safe work and shopping environments. Due to the significant uncertainty surrounding the COVID-19 pandemic and its effects, there may be consequences that we do not anticipate at this time or that develop in unexpected ways. The impacts of the pandemic have had, and may continue to have, an adverse impact on the Company’s financial condition, results of operations and liquidity. We will continue to monitor the effects of COVID-19 and take the necessary actions to serve our associates, customers, communities and shareholders.</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For a further discussion of trends, uncertainties and other factors that could affect our future operating results related to the effects of the COVID-19 pandemic, see the section entitled "RISK FACTORS" in ITEM 1A in the Company’s Annual Report on Form 10-K for the fiscal year ended January 30, 2021.</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Accounting Periods</w:t>
      </w:r>
    </w:p>
    <w:p>
      <w:pPr>
        <w:spacing w:after="0" w:line="229" w:lineRule="exact"/>
        <w:rPr>
          <w:sz w:val="20"/>
          <w:szCs w:val="20"/>
          <w:color w:val="auto"/>
        </w:rPr>
      </w:pPr>
    </w:p>
    <w:p>
      <w:pPr>
        <w:ind w:right="520"/>
        <w:spacing w:after="0" w:line="254" w:lineRule="auto"/>
        <w:rPr>
          <w:sz w:val="20"/>
          <w:szCs w:val="20"/>
          <w:color w:val="auto"/>
        </w:rPr>
      </w:pPr>
      <w:r>
        <w:rPr>
          <w:rFonts w:ascii="Arial" w:cs="Arial" w:eastAsia="Arial" w:hAnsi="Arial"/>
          <w:sz w:val="15"/>
          <w:szCs w:val="15"/>
          <w:color w:val="auto"/>
        </w:rPr>
        <w:t>The following discussion contains references to fiscal years 2021 and 2020, which represent fiscal years ending or ended on January 29, 2022 and January 30, 2021, respectively. Fiscal 2021 and fiscal 2020 both have 52-week accounting periods. This discussion and analysis should be read with the unaudited condensed consolidated financial statements and the notes thereto contained in Part 1, Item 1 of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242"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auto"/>
        </w:rPr>
        <w:t>The following discussion of the Company’s financial performance is based on the unaudited condensed consolidated financial statements set forth herein. The nature of the Company’s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year, particularly in light of the current uncertainty surrounding the economic impact of the COVID-19 pandemic. Furthermore, as a result of the closure of our stores for at least five weeks in fiscal 2020 related to the COVID-19 pandemic, comparisons of expense ratios and year-over-year trends are not a meaningful way to evaluate our operating results for the first quarter of 2021.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Operating Statistics</w:t>
      </w:r>
    </w:p>
    <w:p>
      <w:pPr>
        <w:spacing w:after="0" w:line="242"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13th month of operation at the earliest or until its 24th month at the latest. As an example, stores opened in fiscal 2020 and fiscal 2021 are not considered comparable stores in fiscal 2021. Relocated and expanded stores are included in the comparable store sales results. Stores that are closed permanently or for an extended period are excluded from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3105" cy="24130"/>
                    </a:xfrm>
                    <a:prstGeom prst="rect">
                      <a:avLst/>
                    </a:prstGeom>
                    <a:noFill/>
                  </pic:spPr>
                </pic:pic>
              </a:graphicData>
            </a:graphic>
          </wp:anchor>
        </w:drawing>
      </w:r>
    </w:p>
    <w:p>
      <w:pPr>
        <w:sectPr>
          <w:pgSz w:w="11900" w:h="16838" w:orient="portrait"/>
          <w:cols w:equalWidth="0" w:num="1">
            <w:col w:w="9100"/>
          </w:cols>
          <w:pgMar w:left="1380" w:top="498" w:right="141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These results translate into store level contribution, which we use to evaluate overall performance of each individual store. Finally, we monitor corporate expenses against budgeted amounts.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Thirteen Weeks Ended May 1, 2021 and May 2, 2020</w:t>
      </w:r>
    </w:p>
    <w:p>
      <w:pPr>
        <w:spacing w:after="0" w:line="226" w:lineRule="exact"/>
        <w:rPr>
          <w:sz w:val="20"/>
          <w:szCs w:val="20"/>
          <w:color w:val="auto"/>
        </w:rPr>
      </w:pPr>
    </w:p>
    <w:p>
      <w:pPr>
        <w:spacing w:after="0" w:line="256"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Net sales increased $169.3 million, or 145.8%, to $285.4 million in the first quarter of 2021 from $116.1 million in the first</w:t>
      </w:r>
      <w:r>
        <w:rPr>
          <w:rFonts w:ascii="Arial" w:cs="Arial" w:eastAsia="Arial" w:hAnsi="Arial"/>
          <w:sz w:val="15"/>
          <w:szCs w:val="15"/>
          <w:i w:val="1"/>
          <w:iCs w:val="1"/>
          <w:color w:val="auto"/>
        </w:rPr>
        <w:t xml:space="preserve"> </w:t>
      </w:r>
      <w:r>
        <w:rPr>
          <w:rFonts w:ascii="Arial" w:cs="Arial" w:eastAsia="Arial" w:hAnsi="Arial"/>
          <w:sz w:val="15"/>
          <w:szCs w:val="15"/>
          <w:color w:val="auto"/>
        </w:rPr>
        <w:t>quarter of 2020. The increase in sales was due to a 142.0% increase in comparable store sales and the opening of 17 new stores since the end of the first quarter last year, partially offset by the impact of closing seven stores. The increase in comparable store sales was due primarily to the temporary closure in the first quarter of last year of all 574 of our stores as a result of the COVID-19 pandemic. Compared to the first quarter of 2019, comparable store sales in the first quarter of 2021 increased 35.0%, driven primarily by an increase in the average basket combined with a slight increase in the number of transactions.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5"/>
          <w:szCs w:val="15"/>
          <w:i w:val="1"/>
          <w:iCs w:val="1"/>
          <w:color w:val="auto"/>
        </w:rPr>
        <w:t xml:space="preserve">Cost of sales (exclusive of depreciation). </w:t>
      </w:r>
      <w:r>
        <w:rPr>
          <w:rFonts w:ascii="Arial" w:cs="Arial" w:eastAsia="Arial" w:hAnsi="Arial"/>
          <w:sz w:val="15"/>
          <w:szCs w:val="15"/>
          <w:color w:val="auto"/>
        </w:rPr>
        <w:t>Cost of sales (exclusive of depreciation) increased $79.4 million, or 94.1%, to $163.8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in the first quarter of 2021 from $84.4 million in the first quarter of 2020. Cost of sales as a percentage of sales decreased to 57.4% in the first quarter of 2021 from 72.7% in the first quarter of 2020, due primarily to a decrease of 1,330 basis points in merchandise markdowns, as more markdowns were taken in the first quarter last year on transitional or seasonal merchandise due to our temporary store closures. Compared to the first quarter of 2019, cost of sales decreased 510 basis points, due to an improvement of 490 basis points in the core merchandise margin (initial mark-up, net of markdowns) and an improvement of 100 basis points in shrinkage, partially offset by an increase of 80 basis points in freight costs as a result of pressures in the trucking industry.</w:t>
      </w:r>
    </w:p>
    <w:p>
      <w:pPr>
        <w:spacing w:after="0" w:line="186"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Selling, general and administrative expenses increased $23.8 million, or 44.0%, to</w:t>
      </w:r>
      <w:r>
        <w:rPr>
          <w:rFonts w:ascii="Arial" w:cs="Arial" w:eastAsia="Arial" w:hAnsi="Arial"/>
          <w:sz w:val="15"/>
          <w:szCs w:val="15"/>
          <w:i w:val="1"/>
          <w:iCs w:val="1"/>
          <w:color w:val="auto"/>
        </w:rPr>
        <w:t xml:space="preserve"> </w:t>
      </w:r>
      <w:r>
        <w:rPr>
          <w:rFonts w:ascii="Arial" w:cs="Arial" w:eastAsia="Arial" w:hAnsi="Arial"/>
          <w:sz w:val="15"/>
          <w:szCs w:val="15"/>
          <w:color w:val="auto"/>
        </w:rPr>
        <w:t>$77.9 million in the first quarter of 2021 from $54.1 million in the first quarter of 2020. The increase was due primarily to expense reductions in the first quarter of 2020 due to the pandemic, consisting of lower payroll costs as a result of associate furloughs and decreases in other variable costs such as credit card processing fees and travel expenses. As a percentage of sales, selling, general and administrative expenses decreased to 27.3% in the first quarter of 2021 from 46.6% in the first quarter of 2020 and 30.9% in the first quarter of 2019.</w:t>
      </w:r>
    </w:p>
    <w:p>
      <w:pPr>
        <w:spacing w:after="0" w:line="367"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i w:val="1"/>
          <w:iCs w:val="1"/>
          <w:color w:val="auto"/>
        </w:rPr>
        <w:t xml:space="preserve">Depreciation. </w:t>
      </w:r>
      <w:r>
        <w:rPr>
          <w:rFonts w:ascii="Arial" w:cs="Arial" w:eastAsia="Arial" w:hAnsi="Arial"/>
          <w:sz w:val="15"/>
          <w:szCs w:val="15"/>
          <w:color w:val="auto"/>
        </w:rPr>
        <w:t>Depreciation expense decreased $0.2 million, or 5.0%, to $4.7 million in the first quarter of 2021 from $4.9 million in the</w:t>
      </w:r>
      <w:r>
        <w:rPr>
          <w:rFonts w:ascii="Arial" w:cs="Arial" w:eastAsia="Arial" w:hAnsi="Arial"/>
          <w:sz w:val="15"/>
          <w:szCs w:val="15"/>
          <w:i w:val="1"/>
          <w:iCs w:val="1"/>
          <w:color w:val="auto"/>
        </w:rPr>
        <w:t xml:space="preserve"> </w:t>
      </w:r>
      <w:r>
        <w:rPr>
          <w:rFonts w:ascii="Arial" w:cs="Arial" w:eastAsia="Arial" w:hAnsi="Arial"/>
          <w:sz w:val="15"/>
          <w:szCs w:val="15"/>
          <w:color w:val="auto"/>
        </w:rPr>
        <w:t>first quarter of 2020.</w:t>
      </w:r>
    </w:p>
    <w:p>
      <w:pPr>
        <w:spacing w:after="0" w:line="161" w:lineRule="exact"/>
        <w:rPr>
          <w:sz w:val="20"/>
          <w:szCs w:val="20"/>
          <w:color w:val="auto"/>
        </w:rPr>
      </w:pPr>
    </w:p>
    <w:p>
      <w:pPr>
        <w:ind w:right="280"/>
        <w:spacing w:after="0" w:line="268" w:lineRule="auto"/>
        <w:rPr>
          <w:sz w:val="20"/>
          <w:szCs w:val="20"/>
          <w:color w:val="auto"/>
        </w:rPr>
      </w:pPr>
      <w:r>
        <w:rPr>
          <w:rFonts w:ascii="Arial" w:cs="Arial" w:eastAsia="Arial" w:hAnsi="Arial"/>
          <w:sz w:val="15"/>
          <w:szCs w:val="15"/>
          <w:i w:val="1"/>
          <w:iCs w:val="1"/>
          <w:color w:val="auto"/>
        </w:rPr>
        <w:t xml:space="preserve">Asset Impairment. </w:t>
      </w:r>
      <w:r>
        <w:rPr>
          <w:rFonts w:ascii="Arial" w:cs="Arial" w:eastAsia="Arial" w:hAnsi="Arial"/>
          <w:sz w:val="15"/>
          <w:szCs w:val="15"/>
          <w:color w:val="auto"/>
        </w:rPr>
        <w:t>There was no impairment expense recorded in the first quarter of 2021. In the first quarter of 2020, impairment</w:t>
      </w:r>
      <w:r>
        <w:rPr>
          <w:rFonts w:ascii="Arial" w:cs="Arial" w:eastAsia="Arial" w:hAnsi="Arial"/>
          <w:sz w:val="15"/>
          <w:szCs w:val="15"/>
          <w:i w:val="1"/>
          <w:iCs w:val="1"/>
          <w:color w:val="auto"/>
        </w:rPr>
        <w:t xml:space="preserve"> </w:t>
      </w:r>
      <w:r>
        <w:rPr>
          <w:rFonts w:ascii="Arial" w:cs="Arial" w:eastAsia="Arial" w:hAnsi="Arial"/>
          <w:sz w:val="15"/>
          <w:szCs w:val="15"/>
          <w:color w:val="auto"/>
        </w:rPr>
        <w:t>charges related to an underperforming store totaled $0.3 million, comprised of $0.2 million for an operating lease right-of-use asset and $0.1 million for leasehold improvements and fixtures and equipment.</w:t>
      </w:r>
    </w:p>
    <w:p>
      <w:pPr>
        <w:spacing w:after="0" w:line="176" w:lineRule="exact"/>
        <w:rPr>
          <w:sz w:val="20"/>
          <w:szCs w:val="20"/>
          <w:color w:val="auto"/>
        </w:rPr>
      </w:pPr>
    </w:p>
    <w:p>
      <w:pPr>
        <w:ind w:right="220"/>
        <w:spacing w:after="0" w:line="288" w:lineRule="auto"/>
        <w:rPr>
          <w:sz w:val="20"/>
          <w:szCs w:val="20"/>
          <w:color w:val="auto"/>
        </w:rPr>
      </w:pPr>
      <w:r>
        <w:rPr>
          <w:rFonts w:ascii="Arial" w:cs="Arial" w:eastAsia="Arial" w:hAnsi="Arial"/>
          <w:sz w:val="15"/>
          <w:szCs w:val="15"/>
          <w:i w:val="1"/>
          <w:iCs w:val="1"/>
          <w:color w:val="auto"/>
        </w:rPr>
        <w:t xml:space="preserve">Income Tax Expense/Benefit. </w:t>
      </w:r>
      <w:r>
        <w:rPr>
          <w:rFonts w:ascii="Arial" w:cs="Arial" w:eastAsia="Arial" w:hAnsi="Arial"/>
          <w:sz w:val="15"/>
          <w:szCs w:val="15"/>
          <w:color w:val="auto"/>
        </w:rPr>
        <w:t>Income tax expense was $8.1 million in the first quarter of 2021 compared to an income tax benefit of</w:t>
      </w:r>
      <w:r>
        <w:rPr>
          <w:rFonts w:ascii="Arial" w:cs="Arial" w:eastAsia="Arial" w:hAnsi="Arial"/>
          <w:sz w:val="15"/>
          <w:szCs w:val="15"/>
          <w:i w:val="1"/>
          <w:iCs w:val="1"/>
          <w:color w:val="auto"/>
        </w:rPr>
        <w:t xml:space="preserve"> </w:t>
      </w:r>
      <w:r>
        <w:rPr>
          <w:rFonts w:ascii="Arial" w:cs="Arial" w:eastAsia="Arial" w:hAnsi="Arial"/>
          <w:sz w:val="15"/>
          <w:szCs w:val="15"/>
          <w:color w:val="auto"/>
        </w:rPr>
        <w:t>$6.6 million in the first quarter of 2020, as a result of pretax income this year versus the pretax loss in the first quarter of last year.</w:t>
      </w:r>
    </w:p>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i w:val="1"/>
          <w:iCs w:val="1"/>
          <w:color w:val="auto"/>
        </w:rPr>
        <w:t xml:space="preserve">Net Income/Loss. </w:t>
      </w:r>
      <w:r>
        <w:rPr>
          <w:rFonts w:ascii="Arial" w:cs="Arial" w:eastAsia="Arial" w:hAnsi="Arial"/>
          <w:sz w:val="15"/>
          <w:szCs w:val="15"/>
          <w:color w:val="auto"/>
        </w:rPr>
        <w:t>Net income was $30.9 million in the first quarter of 2021 compared to a net loss of $20.9 million in the first quarter of</w:t>
      </w:r>
      <w:r>
        <w:rPr>
          <w:rFonts w:ascii="Arial" w:cs="Arial" w:eastAsia="Arial" w:hAnsi="Arial"/>
          <w:sz w:val="15"/>
          <w:szCs w:val="15"/>
          <w:i w:val="1"/>
          <w:iCs w:val="1"/>
          <w:color w:val="auto"/>
        </w:rPr>
        <w:t xml:space="preserve"> </w:t>
      </w:r>
      <w:r>
        <w:rPr>
          <w:rFonts w:ascii="Arial" w:cs="Arial" w:eastAsia="Arial" w:hAnsi="Arial"/>
          <w:sz w:val="15"/>
          <w:szCs w:val="15"/>
          <w:color w:val="auto"/>
        </w:rPr>
        <w:t>2020 due to the factors discussed above.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42" w:lineRule="exact"/>
        <w:rPr>
          <w:sz w:val="20"/>
          <w:szCs w:val="20"/>
          <w:color w:val="auto"/>
        </w:rPr>
      </w:pPr>
    </w:p>
    <w:p>
      <w:pPr>
        <w:ind w:right="120"/>
        <w:spacing w:after="0" w:line="254" w:lineRule="auto"/>
        <w:rPr>
          <w:sz w:val="20"/>
          <w:szCs w:val="20"/>
          <w:color w:val="auto"/>
        </w:rPr>
      </w:pPr>
      <w:r>
        <w:rPr>
          <w:rFonts w:ascii="Arial" w:cs="Arial" w:eastAsia="Arial" w:hAnsi="Arial"/>
          <w:sz w:val="15"/>
          <w:szCs w:val="15"/>
          <w:color w:val="auto"/>
        </w:rPr>
        <w:t>Our principal sources of liquidity consist of: (i) cash and cash equivalents (which equaled $131.3 million as of May 1, 2021); (ii) short-term trade credit; (iii) cash generated from operations on an ongoing basis as we sell our merchandise inventory; and (iv) a revolving credit facility with a $75.0 million credit commitment (with no borrowings as of May 1, 2021). Trade credit represents a significant source of financing for inventory purchases and arises from customary payment terms and trade practices with our vendors.</w:t>
      </w:r>
    </w:p>
    <w:p>
      <w:pPr>
        <w:spacing w:after="0" w:line="174"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i w:val="1"/>
          <w:iCs w:val="1"/>
          <w:color w:val="auto"/>
        </w:rPr>
        <w:t>Cash Flows From Operating Activities</w:t>
      </w:r>
      <w:r>
        <w:rPr>
          <w:rFonts w:ascii="Arial" w:cs="Arial" w:eastAsia="Arial" w:hAnsi="Arial"/>
          <w:sz w:val="15"/>
          <w:szCs w:val="15"/>
          <w:color w:val="auto"/>
        </w:rPr>
        <w:t>. Net cash provided by operating activities was $61.7 million in the thirteen weeks ended</w:t>
      </w:r>
      <w:r>
        <w:rPr>
          <w:rFonts w:ascii="Arial" w:cs="Arial" w:eastAsia="Arial" w:hAnsi="Arial"/>
          <w:sz w:val="15"/>
          <w:szCs w:val="15"/>
          <w:i w:val="1"/>
          <w:iCs w:val="1"/>
          <w:color w:val="auto"/>
        </w:rPr>
        <w:t xml:space="preserve"> </w:t>
      </w:r>
      <w:r>
        <w:rPr>
          <w:rFonts w:ascii="Arial" w:cs="Arial" w:eastAsia="Arial" w:hAnsi="Arial"/>
          <w:sz w:val="15"/>
          <w:szCs w:val="15"/>
          <w:color w:val="auto"/>
        </w:rPr>
        <w:t>May 1, 2021 compared to $12.8 million in the same period of 2020. Sources of cash in the first quarter of 2021 included net income (adjusted for insurance proceeds and non-cash expenses) totaling $50.4 million (compared to a net loss in the first quarter of 2020). Other significant sources of cash in the first quarter of 2021 included (1) a $24.5 million increase in accounts payable (compared to a</w:t>
      </w:r>
    </w:p>
    <w:p>
      <w:pPr>
        <w:spacing w:after="0" w:line="1"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$14.0 million increase in the first quarter of 2020) due to a high volume of merchandise receipts during the final two months of the third quarter of 2020, with nearly all of such purchases still in accounts payable at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3105" cy="24130"/>
                    </a:xfrm>
                    <a:prstGeom prst="rect">
                      <a:avLst/>
                    </a:prstGeom>
                    <a:noFill/>
                  </pic:spPr>
                </pic:pic>
              </a:graphicData>
            </a:graphic>
          </wp:anchor>
        </w:drawing>
      </w:r>
    </w:p>
    <w:p>
      <w:pPr>
        <w:sectPr>
          <w:pgSz w:w="11900" w:h="16838" w:orient="portrait"/>
          <w:cols w:equalWidth="0" w:num="1">
            <w:col w:w="9120"/>
          </w:cols>
          <w:pgMar w:left="1380" w:top="498" w:right="139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80"/>
        <w:spacing w:after="0" w:line="265" w:lineRule="auto"/>
        <w:rPr>
          <w:sz w:val="20"/>
          <w:szCs w:val="20"/>
          <w:color w:val="auto"/>
        </w:rPr>
      </w:pPr>
      <w:r>
        <w:rPr>
          <w:rFonts w:ascii="Arial" w:cs="Arial" w:eastAsia="Arial" w:hAnsi="Arial"/>
          <w:sz w:val="15"/>
          <w:szCs w:val="15"/>
          <w:color w:val="auto"/>
        </w:rPr>
        <w:t>the end of the quarter; and (2) a $7.0 million increase in income tax payable (compared to a $1.1 million decrease in income tax receivable in the first quarter of 2020).</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color w:val="auto"/>
        </w:rPr>
        <w:t>Significant uses of cash during the first quarter of 2021 included (1) an $11.2 million decrease in accrued compensation (compared to a $5.5 million decrease in the first quarter of 2020) due to payment in the first quarter of 2021 of incentive compensation accrued in fiscal 2020; and (2) an $8.6 million decrease in accrued expenses and other long-term liabilities (compared with a $6.8 million decrease in the first quarter of 2020) due primarily to payments of operating lease liabilities.</w:t>
      </w:r>
    </w:p>
    <w:p>
      <w:pPr>
        <w:spacing w:after="0" w:line="187"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i w:val="1"/>
          <w:iCs w:val="1"/>
          <w:color w:val="auto"/>
        </w:rPr>
        <w:t xml:space="preserve">Cash Flows From Investing Activities. </w:t>
      </w:r>
      <w:r>
        <w:rPr>
          <w:rFonts w:ascii="Arial" w:cs="Arial" w:eastAsia="Arial" w:hAnsi="Arial"/>
          <w:sz w:val="15"/>
          <w:szCs w:val="15"/>
          <w:color w:val="auto"/>
        </w:rPr>
        <w:t>Cash used in investing activities was $5.7 million in the first quarter of 2021 compared to cash</w:t>
      </w:r>
      <w:r>
        <w:rPr>
          <w:rFonts w:ascii="Arial" w:cs="Arial" w:eastAsia="Arial" w:hAnsi="Arial"/>
          <w:sz w:val="15"/>
          <w:szCs w:val="15"/>
          <w:i w:val="1"/>
          <w:iCs w:val="1"/>
          <w:color w:val="auto"/>
        </w:rPr>
        <w:t xml:space="preserve"> </w:t>
      </w:r>
      <w:r>
        <w:rPr>
          <w:rFonts w:ascii="Arial" w:cs="Arial" w:eastAsia="Arial" w:hAnsi="Arial"/>
          <w:sz w:val="15"/>
          <w:szCs w:val="15"/>
          <w:color w:val="auto"/>
        </w:rPr>
        <w:t>provided of $39.3 million in the first quarter of 2020. Cash used in the first quarter of 2021 consisted primarily of purchases of property and equipment. Cash provided in the first quarter of 2020 was primarily from the sales of investment securities due to the pandemic, partially offset by $4.0 million used for purchases of property and equipment.</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i w:val="1"/>
          <w:iCs w:val="1"/>
          <w:color w:val="auto"/>
        </w:rPr>
        <w:t xml:space="preserve">Cash Flows From Financing Activities. </w:t>
      </w:r>
      <w:r>
        <w:rPr>
          <w:rFonts w:ascii="Arial" w:cs="Arial" w:eastAsia="Arial" w:hAnsi="Arial"/>
          <w:sz w:val="15"/>
          <w:szCs w:val="15"/>
          <w:color w:val="auto"/>
        </w:rPr>
        <w:t>Cash used in financing activities was $47.9 million in the first quarter of 2021 compared to cash</w:t>
      </w:r>
      <w:r>
        <w:rPr>
          <w:rFonts w:ascii="Arial" w:cs="Arial" w:eastAsia="Arial" w:hAnsi="Arial"/>
          <w:sz w:val="15"/>
          <w:szCs w:val="15"/>
          <w:i w:val="1"/>
          <w:iCs w:val="1"/>
          <w:color w:val="auto"/>
        </w:rPr>
        <w:t xml:space="preserve"> </w:t>
      </w:r>
      <w:r>
        <w:rPr>
          <w:rFonts w:ascii="Arial" w:cs="Arial" w:eastAsia="Arial" w:hAnsi="Arial"/>
          <w:sz w:val="15"/>
          <w:szCs w:val="15"/>
          <w:color w:val="auto"/>
        </w:rPr>
        <w:t>provided from financing activities of $36.1 million in the first quarter of 2020. The principal use of cash in the first quarter of 2021 was share repurchases of $45.5 million. Cash provided in the first quarter of 2020 was the result of a drawdown of $43.7 million on our revolving credit facility due to the pandemic, partially offset by $7.1 million of combined share repurchases and dividend payments.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Requirements</w:t>
      </w:r>
    </w:p>
    <w:p>
      <w:pPr>
        <w:spacing w:after="0" w:line="242"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Our cash requirements are primarily for working capital and capital expenditures for stores, distribution infrastructure and information systems. Historically, we have met these cash requirements using cash flow from operations and short-term trade credit. We have also used cash to repurchase stock under our stock repurchase program. In the first quarter of 2021, pursuant to our stock repurchase program, we repurchased 287,496 shares of our common stock at an aggregate cost of $23.6 million. In addition, we repurchased in a block trade 250,000 shares of our common stock at an aggregate cost of $21.9 million.</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We believe that our existing sources of liquidity will be sufficient to fund our operations for at least the next 12 months as well as the foreseeable future. However, any significant reduction in customer willingness to visit shopping centers or levels of customer spending at our stores, or any future temporary closures of our stores or distribution centers, or any disruptions in the supply chains related to our merchandise could require us to take actions that could include material changes in our operations and seeking additional debt or equity capital. We will continue to monitor the situation and take action as necessary to reduce our expenses and preserve our financial flexibility.</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242" w:lineRule="exact"/>
        <w:rPr>
          <w:sz w:val="20"/>
          <w:szCs w:val="20"/>
          <w:color w:val="auto"/>
        </w:rPr>
      </w:pPr>
    </w:p>
    <w:p>
      <w:pPr>
        <w:ind w:right="500"/>
        <w:spacing w:after="0" w:line="265" w:lineRule="auto"/>
        <w:rPr>
          <w:sz w:val="20"/>
          <w:szCs w:val="20"/>
          <w:color w:val="auto"/>
        </w:rPr>
      </w:pPr>
      <w:r>
        <w:rPr>
          <w:rFonts w:ascii="Arial" w:cs="Arial" w:eastAsia="Arial" w:hAnsi="Arial"/>
          <w:sz w:val="15"/>
          <w:szCs w:val="15"/>
          <w:color w:val="auto"/>
        </w:rPr>
        <w:t>See discussion of Recent Accounting Pronouncements in Note 1 to the unaudited condensed consolidated financial statements included in Part I, Item 1 of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242"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90" w:lineRule="exact"/>
        <w:rPr>
          <w:sz w:val="20"/>
          <w:szCs w:val="20"/>
          <w:color w:val="auto"/>
        </w:rPr>
      </w:pPr>
    </w:p>
    <w:p>
      <w:pPr>
        <w:ind w:right="200"/>
        <w:spacing w:after="0" w:line="265" w:lineRule="auto"/>
        <w:rPr>
          <w:sz w:val="20"/>
          <w:szCs w:val="20"/>
          <w:color w:val="auto"/>
        </w:rPr>
      </w:pPr>
      <w:r>
        <w:rPr>
          <w:rFonts w:ascii="Arial" w:cs="Arial" w:eastAsia="Arial" w:hAnsi="Arial"/>
          <w:sz w:val="15"/>
          <w:szCs w:val="15"/>
          <w:color w:val="auto"/>
        </w:rPr>
        <w:t>There have been no material changes to the Critical Accounting Policies outlined in the Company’s Annual Report on Form 10-K for the year ended January 30, 2021.</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242"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There have been no material changes in our market risk during the thirteen weeks ended May 1, 2021 compared to the disclosures in Part II, Item 7A of our Annual Report on Form 10-K for the year ended January 30, 2021.</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3105" cy="16510"/>
                    </a:xfrm>
                    <a:prstGeom prst="rect">
                      <a:avLst/>
                    </a:prstGeom>
                    <a:noFill/>
                  </pic:spPr>
                </pic:pic>
              </a:graphicData>
            </a:graphic>
          </wp:anchor>
        </w:drawing>
      </w:r>
    </w:p>
    <w:p>
      <w:pPr>
        <w:sectPr>
          <w:pgSz w:w="11900" w:h="16838" w:orient="portrait"/>
          <w:cols w:equalWidth="0" w:num="1">
            <w:col w:w="9120"/>
          </w:cols>
          <w:pgMar w:left="1380" w:top="498" w:right="139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242"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May 1, 2021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200" w:lineRule="exact"/>
        <w:rPr>
          <w:sz w:val="20"/>
          <w:szCs w:val="20"/>
          <w:color w:val="auto"/>
        </w:rPr>
      </w:pPr>
    </w:p>
    <w:p>
      <w:pPr>
        <w:ind w:right="200"/>
        <w:spacing w:after="0" w:line="265" w:lineRule="auto"/>
        <w:rPr>
          <w:sz w:val="20"/>
          <w:szCs w:val="20"/>
          <w:color w:val="auto"/>
        </w:rPr>
      </w:pPr>
      <w:r>
        <w:rPr>
          <w:rFonts w:ascii="Arial" w:cs="Arial" w:eastAsia="Arial" w:hAnsi="Arial"/>
          <w:sz w:val="15"/>
          <w:szCs w:val="15"/>
          <w:color w:val="auto"/>
        </w:rPr>
        <w:t>There were no changes in our internal control over financial reporting that occurred during the fiscal quarter ended May 1, 2021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 — 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Legal Proceedings.</w:t>
      </w:r>
    </w:p>
    <w:p>
      <w:pPr>
        <w:spacing w:after="0" w:line="242"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242"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There have been no material changes to the Risk Factors described under the section “ITEM 1A. RISK FACTORS” in the Company’s Annual Report on Form 10-K for the fiscal year ended January 30, 2021.</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Information on Share Repurchases</w:t>
      </w:r>
    </w:p>
    <w:p>
      <w:pPr>
        <w:spacing w:after="0" w:line="227"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The number of shares of common stock repurchased by the Company during the first quarter of fiscal 2021 and the average price paid per share are as follows:</w:t>
      </w:r>
    </w:p>
    <w:tbl>
      <w:tblPr>
        <w:tblLayout w:type="fixed"/>
        <w:tblInd w:w="0" w:type="dxa"/>
        <w:tblCellMar>
          <w:top w:w="0" w:type="dxa"/>
          <w:left w:w="0" w:type="dxa"/>
          <w:bottom w:w="0" w:type="dxa"/>
          <w:right w:w="0" w:type="dxa"/>
        </w:tblCellMar>
      </w:tblPr>
      <w:tr>
        <w:trPr>
          <w:trHeight w:val="155"/>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8"/>
              </w:rPr>
              <w:t>Maximum number (or</w:t>
            </w:r>
          </w:p>
        </w:tc>
      </w:tr>
      <w:tr>
        <w:trPr>
          <w:trHeight w:val="153"/>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Total number of shares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approximate dollar value)</w:t>
            </w:r>
          </w:p>
        </w:tc>
      </w:tr>
      <w:tr>
        <w:trPr>
          <w:trHeight w:val="153"/>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purchased as part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7"/>
              </w:rPr>
              <w:t>of shares that may yet be</w:t>
            </w:r>
          </w:p>
        </w:tc>
      </w:tr>
      <w:tr>
        <w:trPr>
          <w:trHeight w:val="153"/>
        </w:trPr>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46"/>
              <w:spacing w:after="0" w:line="153" w:lineRule="exact"/>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3"/>
                <w:szCs w:val="13"/>
                <w:color w:val="auto"/>
              </w:rPr>
            </w:pPr>
          </w:p>
        </w:tc>
        <w:tc>
          <w:tcPr>
            <w:tcW w:w="1460" w:type="dxa"/>
            <w:vAlign w:val="bottom"/>
            <w:gridSpan w:val="3"/>
          </w:tcPr>
          <w:p>
            <w:pPr>
              <w:jc w:val="right"/>
              <w:ind w:right="200"/>
              <w:spacing w:after="0" w:line="153" w:lineRule="exact"/>
              <w:rPr>
                <w:sz w:val="20"/>
                <w:szCs w:val="20"/>
                <w:color w:val="auto"/>
              </w:rPr>
            </w:pPr>
            <w:r>
              <w:rPr>
                <w:rFonts w:ascii="Arial" w:cs="Arial" w:eastAsia="Arial" w:hAnsi="Arial"/>
                <w:sz w:val="14"/>
                <w:szCs w:val="14"/>
                <w:b w:val="1"/>
                <w:bCs w:val="1"/>
                <w:color w:val="auto"/>
                <w:w w:val="98"/>
              </w:rPr>
              <w:t>Average price paid</w:t>
            </w:r>
          </w:p>
        </w:tc>
        <w:tc>
          <w:tcPr>
            <w:tcW w:w="16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publicly announced</w:t>
            </w:r>
          </w:p>
        </w:tc>
        <w:tc>
          <w:tcPr>
            <w:tcW w:w="160" w:type="dxa"/>
            <w:vAlign w:val="bottom"/>
          </w:tcPr>
          <w:p>
            <w:pPr>
              <w:spacing w:after="0"/>
              <w:rPr>
                <w:sz w:val="13"/>
                <w:szCs w:val="13"/>
                <w:color w:val="auto"/>
              </w:rPr>
            </w:pPr>
          </w:p>
        </w:tc>
        <w:tc>
          <w:tcPr>
            <w:tcW w:w="1920" w:type="dxa"/>
            <w:vAlign w:val="bottom"/>
            <w:gridSpan w:val="3"/>
          </w:tcPr>
          <w:p>
            <w:pPr>
              <w:jc w:val="center"/>
              <w:ind w:right="60"/>
              <w:spacing w:after="0" w:line="153" w:lineRule="exact"/>
              <w:rPr>
                <w:sz w:val="20"/>
                <w:szCs w:val="20"/>
                <w:color w:val="auto"/>
              </w:rPr>
            </w:pPr>
            <w:r>
              <w:rPr>
                <w:rFonts w:ascii="Arial" w:cs="Arial" w:eastAsia="Arial" w:hAnsi="Arial"/>
                <w:sz w:val="14"/>
                <w:szCs w:val="14"/>
                <w:b w:val="1"/>
                <w:bCs w:val="1"/>
                <w:color w:val="auto"/>
                <w:w w:val="97"/>
              </w:rPr>
              <w:t>purchased under the plans</w:t>
            </w:r>
          </w:p>
        </w:tc>
      </w:tr>
      <w:tr>
        <w:trPr>
          <w:trHeight w:val="165"/>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1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shares purchased</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1"/>
                <w:szCs w:val="11"/>
                <w:b w:val="1"/>
                <w:bCs w:val="1"/>
                <w:color w:val="auto"/>
              </w:rPr>
              <w:t>(1)</w:t>
            </w:r>
          </w:p>
        </w:tc>
        <w:tc>
          <w:tcPr>
            <w:tcW w:w="14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plans or programs </w:t>
            </w:r>
            <w:r>
              <w:rPr>
                <w:rFonts w:ascii="Arial" w:cs="Arial" w:eastAsia="Arial" w:hAnsi="Arial"/>
                <w:sz w:val="11"/>
                <w:szCs w:val="11"/>
                <w:b w:val="1"/>
                <w:bCs w:val="1"/>
                <w:color w:val="auto"/>
                <w:w w:val="98"/>
              </w:rPr>
              <w:t>(2)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11"/>
                <w:szCs w:val="11"/>
                <w:b w:val="1"/>
                <w:bCs w:val="1"/>
                <w:color w:val="auto"/>
              </w:rPr>
              <w:t>(2)</w:t>
            </w:r>
          </w:p>
        </w:tc>
        <w:tc>
          <w:tcPr>
            <w:tcW w:w="40" w:type="dxa"/>
            <w:vAlign w:val="bottom"/>
            <w:tcBorders>
              <w:bottom w:val="single" w:sz="8" w:color="CCEEFF"/>
            </w:tcBorders>
          </w:tcPr>
          <w:p>
            <w:pPr>
              <w:spacing w:after="0"/>
              <w:rPr>
                <w:sz w:val="14"/>
                <w:szCs w:val="14"/>
                <w:color w:val="auto"/>
              </w:rPr>
            </w:pPr>
          </w:p>
        </w:tc>
      </w:tr>
      <w:tr>
        <w:trPr>
          <w:trHeight w:val="172"/>
        </w:trPr>
        <w:tc>
          <w:tcPr>
            <w:tcW w:w="2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February (1/31/21 - 2/27/21)</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103,353</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68.13</w:t>
            </w: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26,377,613</w:t>
            </w:r>
          </w:p>
        </w:tc>
        <w:tc>
          <w:tcPr>
            <w:tcW w:w="40" w:type="dxa"/>
            <w:vAlign w:val="bottom"/>
            <w:shd w:val="clear" w:color="auto" w:fill="CCEEFF"/>
          </w:tcPr>
          <w:p>
            <w:pPr>
              <w:spacing w:after="0"/>
              <w:rPr>
                <w:sz w:val="14"/>
                <w:szCs w:val="14"/>
                <w:color w:val="auto"/>
              </w:rPr>
            </w:pPr>
          </w:p>
        </w:tc>
      </w:tr>
      <w:tr>
        <w:trPr>
          <w:trHeight w:val="179"/>
        </w:trPr>
        <w:tc>
          <w:tcPr>
            <w:tcW w:w="2540" w:type="dxa"/>
            <w:vAlign w:val="bottom"/>
            <w:gridSpan w:val="2"/>
          </w:tcPr>
          <w:p>
            <w:pPr>
              <w:spacing w:after="0"/>
              <w:rPr>
                <w:sz w:val="20"/>
                <w:szCs w:val="20"/>
                <w:color w:val="auto"/>
              </w:rPr>
            </w:pPr>
            <w:r>
              <w:rPr>
                <w:rFonts w:ascii="Arial" w:cs="Arial" w:eastAsia="Arial" w:hAnsi="Arial"/>
                <w:sz w:val="15"/>
                <w:szCs w:val="15"/>
                <w:color w:val="auto"/>
              </w:rPr>
              <w:t xml:space="preserve">March (2/28/21 - 04/03/21) </w:t>
            </w:r>
            <w:r>
              <w:rPr>
                <w:rFonts w:ascii="Arial" w:cs="Arial" w:eastAsia="Arial" w:hAnsi="Arial"/>
                <w:sz w:val="13"/>
                <w:szCs w:val="13"/>
                <w:color w:val="auto"/>
              </w:rPr>
              <w:t>(3)</w:t>
            </w:r>
          </w:p>
        </w:tc>
        <w:tc>
          <w:tcPr>
            <w:tcW w:w="1240" w:type="dxa"/>
            <w:vAlign w:val="bottom"/>
          </w:tcPr>
          <w:p>
            <w:pPr>
              <w:jc w:val="right"/>
              <w:spacing w:after="0"/>
              <w:rPr>
                <w:sz w:val="20"/>
                <w:szCs w:val="20"/>
                <w:color w:val="auto"/>
              </w:rPr>
            </w:pPr>
            <w:r>
              <w:rPr>
                <w:rFonts w:ascii="Arial" w:cs="Arial" w:eastAsia="Arial" w:hAnsi="Arial"/>
                <w:sz w:val="15"/>
                <w:szCs w:val="15"/>
                <w:color w:val="auto"/>
              </w:rPr>
              <w:t>349,576</w:t>
            </w:r>
          </w:p>
        </w:tc>
        <w:tc>
          <w:tcPr>
            <w:tcW w:w="320" w:type="dxa"/>
            <w:vAlign w:val="bottom"/>
            <w:gridSpan w:val="2"/>
          </w:tcPr>
          <w:p>
            <w:pPr>
              <w:jc w:val="right"/>
              <w:ind w:right="12"/>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86.30</w:t>
            </w: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99,576</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780" w:type="dxa"/>
            <w:vAlign w:val="bottom"/>
          </w:tcPr>
          <w:p>
            <w:pPr>
              <w:jc w:val="right"/>
              <w:spacing w:after="0"/>
              <w:rPr>
                <w:sz w:val="20"/>
                <w:szCs w:val="20"/>
                <w:color w:val="auto"/>
              </w:rPr>
            </w:pPr>
            <w:r>
              <w:rPr>
                <w:rFonts w:ascii="Arial" w:cs="Arial" w:eastAsia="Arial" w:hAnsi="Arial"/>
                <w:sz w:val="15"/>
                <w:szCs w:val="15"/>
                <w:color w:val="auto"/>
              </w:rPr>
              <w:t>18,062,197</w:t>
            </w:r>
          </w:p>
        </w:tc>
        <w:tc>
          <w:tcPr>
            <w:tcW w:w="40" w:type="dxa"/>
            <w:vAlign w:val="bottom"/>
          </w:tcPr>
          <w:p>
            <w:pPr>
              <w:spacing w:after="0"/>
              <w:rPr>
                <w:sz w:val="15"/>
                <w:szCs w:val="15"/>
                <w:color w:val="auto"/>
              </w:rPr>
            </w:pPr>
          </w:p>
        </w:tc>
      </w:tr>
      <w:tr>
        <w:trPr>
          <w:trHeight w:val="179"/>
        </w:trPr>
        <w:tc>
          <w:tcPr>
            <w:tcW w:w="2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April (4/4/21 - 5/1/21)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84,567</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97.68</w:t>
            </w:r>
          </w:p>
        </w:tc>
        <w:tc>
          <w:tcPr>
            <w:tcW w:w="14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84,567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9,803,187</w:t>
            </w:r>
          </w:p>
        </w:tc>
        <w:tc>
          <w:tcPr>
            <w:tcW w:w="40" w:type="dxa"/>
            <w:vAlign w:val="bottom"/>
            <w:shd w:val="clear" w:color="auto" w:fill="CCEEFF"/>
          </w:tcPr>
          <w:p>
            <w:pPr>
              <w:spacing w:after="0"/>
              <w:rPr>
                <w:sz w:val="15"/>
                <w:szCs w:val="15"/>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5"/>
                <w:szCs w:val="15"/>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537,496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287,496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1" w:lineRule="exact"/>
        <w:rPr>
          <w:sz w:val="20"/>
          <w:szCs w:val="20"/>
          <w:color w:val="auto"/>
        </w:rPr>
      </w:pPr>
    </w:p>
    <w:p>
      <w:pPr>
        <w:ind w:left="620" w:hanging="313"/>
        <w:spacing w:after="0"/>
        <w:tabs>
          <w:tab w:leader="none" w:pos="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the stock repurchase program.</w:t>
      </w:r>
    </w:p>
    <w:p>
      <w:pPr>
        <w:spacing w:after="0" w:line="5" w:lineRule="exact"/>
        <w:rPr>
          <w:rFonts w:ascii="Arial" w:cs="Arial" w:eastAsia="Arial" w:hAnsi="Arial"/>
          <w:sz w:val="14"/>
          <w:szCs w:val="14"/>
          <w:color w:val="auto"/>
        </w:rPr>
      </w:pPr>
    </w:p>
    <w:p>
      <w:pPr>
        <w:ind w:left="620" w:right="180" w:hanging="313"/>
        <w:spacing w:after="0" w:line="233" w:lineRule="auto"/>
        <w:tabs>
          <w:tab w:leader="none" w:pos="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On March 13, 2020 the Company announced that its board of directors approved a $30.0 million stock repurchase program. On December 22, 2020, the Company announced that its board of directors approved an additional $30.0 million stock repurchase program. Neither program has an expiration date.</w:t>
      </w:r>
    </w:p>
    <w:p>
      <w:pPr>
        <w:spacing w:after="0" w:line="3" w:lineRule="exact"/>
        <w:rPr>
          <w:rFonts w:ascii="Arial" w:cs="Arial" w:eastAsia="Arial" w:hAnsi="Arial"/>
          <w:sz w:val="14"/>
          <w:szCs w:val="14"/>
          <w:color w:val="auto"/>
        </w:rPr>
      </w:pPr>
    </w:p>
    <w:p>
      <w:pPr>
        <w:ind w:left="620" w:right="40" w:hanging="313"/>
        <w:spacing w:after="0" w:line="235" w:lineRule="auto"/>
        <w:tabs>
          <w:tab w:leader="none" w:pos="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On March 23, 2021, the Company completed a block repurchase of 250,000 shares of its common stock at a per share price of $87.40 for an aggregate cost of $21.9 million.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3105" cy="24130"/>
                    </a:xfrm>
                    <a:prstGeom prst="rect">
                      <a:avLst/>
                    </a:prstGeom>
                    <a:noFill/>
                  </pic:spPr>
                </pic:pic>
              </a:graphicData>
            </a:graphic>
          </wp:anchor>
        </w:drawing>
      </w:r>
    </w:p>
    <w:p>
      <w:pPr>
        <w:sectPr>
          <w:pgSz w:w="11900" w:h="16838" w:orient="portrait"/>
          <w:cols w:equalWidth="0" w:num="1">
            <w:col w:w="9120"/>
          </w:cols>
          <w:pgMar w:left="1380" w:top="498" w:right="139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9"/>
        <w:spacing w:after="0" w:line="265" w:lineRule="auto"/>
        <w:rPr>
          <w:sz w:val="20"/>
          <w:szCs w:val="20"/>
          <w:color w:val="auto"/>
        </w:rPr>
      </w:pPr>
      <w:r>
        <w:rPr>
          <w:rFonts w:ascii="Arial" w:cs="Arial" w:eastAsia="Arial" w:hAnsi="Arial"/>
          <w:sz w:val="15"/>
          <w:szCs w:val="15"/>
          <w:color w:val="auto"/>
        </w:rPr>
        <w:t>On June 2, 2021, the Company announced that its board of directors approved another program that authorized the repurchase of up to $30.0 million in shares of the Company’s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Defaults Upon Senior Securities.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Other Information.</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3105" cy="24130"/>
                    </a:xfrm>
                    <a:prstGeom prst="rect">
                      <a:avLst/>
                    </a:prstGeom>
                    <a:noFill/>
                  </pic:spPr>
                </pic:pic>
              </a:graphicData>
            </a:graphic>
          </wp:anchor>
        </w:drawing>
      </w:r>
    </w:p>
    <w:p>
      <w:pPr>
        <w:sectPr>
          <w:pgSz w:w="11900" w:h="16838" w:orient="portrait"/>
          <w:cols w:equalWidth="0" w:num="1">
            <w:col w:w="9079"/>
          </w:cols>
          <w:pgMar w:left="1380" w:top="498" w:right="1440"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Exhibits.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960" w:type="dxa"/>
            <w:vAlign w:val="bottom"/>
          </w:tcPr>
          <w:p>
            <w:pPr>
              <w:spacing w:after="0"/>
              <w:rPr>
                <w:sz w:val="20"/>
                <w:szCs w:val="20"/>
                <w:color w:val="auto"/>
              </w:rPr>
            </w:pPr>
            <w:r>
              <w:rPr>
                <w:rFonts w:ascii="Arial" w:cs="Arial" w:eastAsia="Arial" w:hAnsi="Arial"/>
                <w:sz w:val="15"/>
                <w:szCs w:val="15"/>
                <w:color w:val="auto"/>
              </w:rPr>
              <w:t>3.1</w:t>
            </w:r>
          </w:p>
        </w:tc>
        <w:tc>
          <w:tcPr>
            <w:tcW w:w="7880" w:type="dxa"/>
            <w:vAlign w:val="bottom"/>
            <w:tcBorders>
              <w:bottom w:val="single" w:sz="8" w:color="0000EE"/>
            </w:tcBorders>
            <w:gridSpan w:val="13"/>
          </w:tcPr>
          <w:p>
            <w:pPr>
              <w:spacing w:after="0"/>
              <w:rPr>
                <w:rFonts w:ascii="Arial" w:cs="Arial" w:eastAsia="Arial" w:hAnsi="Arial"/>
                <w:sz w:val="15"/>
                <w:szCs w:val="15"/>
                <w:color w:val="0000EE"/>
              </w:rPr>
            </w:pPr>
            <w:hyperlink r:id="rId29">
              <w:r>
                <w:rPr>
                  <w:rFonts w:ascii="Arial" w:cs="Arial" w:eastAsia="Arial" w:hAnsi="Arial"/>
                  <w:sz w:val="15"/>
                  <w:szCs w:val="15"/>
                  <w:color w:val="0000EE"/>
                </w:rPr>
                <w:t>Third Amended and Restated Certificate of Incorporation (incorporated by reference to Exhibit 3.1 to the Company’s</w:t>
              </w:r>
            </w:hyperlink>
          </w:p>
        </w:tc>
        <w:tc>
          <w:tcPr>
            <w:tcW w:w="160" w:type="dxa"/>
            <w:vAlign w:val="bottom"/>
            <w:gridSpan w:val="2"/>
          </w:tcPr>
          <w:p>
            <w:pPr>
              <w:spacing w:after="0"/>
              <w:rPr>
                <w:sz w:val="14"/>
                <w:szCs w:val="14"/>
                <w:color w:val="auto"/>
              </w:rPr>
            </w:pPr>
          </w:p>
        </w:tc>
      </w:tr>
      <w:tr>
        <w:trPr>
          <w:trHeight w:val="184"/>
        </w:trPr>
        <w:tc>
          <w:tcPr>
            <w:tcW w:w="960" w:type="dxa"/>
            <w:vAlign w:val="bottom"/>
          </w:tcPr>
          <w:p>
            <w:pPr>
              <w:spacing w:after="0"/>
              <w:rPr>
                <w:sz w:val="16"/>
                <w:szCs w:val="16"/>
                <w:color w:val="auto"/>
              </w:rPr>
            </w:pPr>
          </w:p>
        </w:tc>
        <w:tc>
          <w:tcPr>
            <w:tcW w:w="8040" w:type="dxa"/>
            <w:vAlign w:val="bottom"/>
            <w:gridSpan w:val="15"/>
          </w:tcPr>
          <w:p>
            <w:pPr>
              <w:spacing w:after="0"/>
              <w:rPr>
                <w:rFonts w:ascii="Arial" w:cs="Arial" w:eastAsia="Arial" w:hAnsi="Arial"/>
                <w:sz w:val="15"/>
                <w:szCs w:val="15"/>
                <w:color w:val="0000EE"/>
              </w:rPr>
            </w:pPr>
            <w:hyperlink r:id="rId29">
              <w:r>
                <w:rPr>
                  <w:rFonts w:ascii="Arial" w:cs="Arial" w:eastAsia="Arial" w:hAnsi="Arial"/>
                  <w:sz w:val="15"/>
                  <w:szCs w:val="15"/>
                  <w:color w:val="0000EE"/>
                </w:rPr>
                <w:t>Current Report on Form 8-K filed with the SEC on June 7, 2018)</w:t>
              </w:r>
              <w:r>
                <w:rPr>
                  <w:rFonts w:ascii="Arial" w:cs="Arial" w:eastAsia="Arial" w:hAnsi="Arial"/>
                  <w:sz w:val="15"/>
                  <w:szCs w:val="15"/>
                  <w:color w:val="000000"/>
                </w:rPr>
                <w:t>.</w:t>
              </w:r>
            </w:hyperlink>
          </w:p>
        </w:tc>
      </w:tr>
      <w:tr>
        <w:trPr>
          <w:trHeight w:val="20"/>
        </w:trPr>
        <w:tc>
          <w:tcPr>
            <w:tcW w:w="9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4"/>
        </w:trPr>
        <w:tc>
          <w:tcPr>
            <w:tcW w:w="960" w:type="dxa"/>
            <w:vAlign w:val="bottom"/>
          </w:tcPr>
          <w:p>
            <w:pPr>
              <w:spacing w:after="0"/>
              <w:rPr>
                <w:sz w:val="20"/>
                <w:szCs w:val="20"/>
                <w:color w:val="auto"/>
              </w:rPr>
            </w:pPr>
            <w:r>
              <w:rPr>
                <w:rFonts w:ascii="Arial" w:cs="Arial" w:eastAsia="Arial" w:hAnsi="Arial"/>
                <w:sz w:val="15"/>
                <w:szCs w:val="15"/>
                <w:color w:val="auto"/>
              </w:rPr>
              <w:t>10.1</w:t>
            </w:r>
          </w:p>
        </w:tc>
        <w:tc>
          <w:tcPr>
            <w:tcW w:w="7860" w:type="dxa"/>
            <w:vAlign w:val="bottom"/>
            <w:tcBorders>
              <w:bottom w:val="single" w:sz="8" w:color="0000EE"/>
            </w:tcBorders>
            <w:gridSpan w:val="12"/>
          </w:tcPr>
          <w:p>
            <w:pPr>
              <w:spacing w:after="0"/>
              <w:rPr>
                <w:rFonts w:ascii="Arial" w:cs="Arial" w:eastAsia="Arial" w:hAnsi="Arial"/>
                <w:sz w:val="15"/>
                <w:szCs w:val="15"/>
                <w:color w:val="0000EE"/>
              </w:rPr>
            </w:pPr>
            <w:hyperlink r:id="rId30">
              <w:r>
                <w:rPr>
                  <w:rFonts w:ascii="Arial" w:cs="Arial" w:eastAsia="Arial" w:hAnsi="Arial"/>
                  <w:sz w:val="15"/>
                  <w:szCs w:val="15"/>
                  <w:color w:val="0000EE"/>
                </w:rPr>
                <w:t>Third Amendment to Credit Agreement, dated as of April 15, 2021, by and among Citi Trends, Inc., as Borrower, Citi</w:t>
              </w:r>
            </w:hyperlink>
          </w:p>
        </w:tc>
        <w:tc>
          <w:tcPr>
            <w:tcW w:w="180" w:type="dxa"/>
            <w:vAlign w:val="bottom"/>
            <w:gridSpan w:val="3"/>
          </w:tcPr>
          <w:p>
            <w:pPr>
              <w:spacing w:after="0"/>
              <w:rPr>
                <w:sz w:val="24"/>
                <w:szCs w:val="24"/>
                <w:color w:val="auto"/>
              </w:rPr>
            </w:pPr>
          </w:p>
        </w:tc>
      </w:tr>
      <w:tr>
        <w:trPr>
          <w:trHeight w:val="184"/>
        </w:trPr>
        <w:tc>
          <w:tcPr>
            <w:tcW w:w="960" w:type="dxa"/>
            <w:vAlign w:val="bottom"/>
          </w:tcPr>
          <w:p>
            <w:pPr>
              <w:spacing w:after="0"/>
              <w:rPr>
                <w:sz w:val="16"/>
                <w:szCs w:val="16"/>
                <w:color w:val="auto"/>
              </w:rPr>
            </w:pPr>
          </w:p>
        </w:tc>
        <w:tc>
          <w:tcPr>
            <w:tcW w:w="8040" w:type="dxa"/>
            <w:vAlign w:val="bottom"/>
            <w:gridSpan w:val="15"/>
          </w:tcPr>
          <w:p>
            <w:pPr>
              <w:spacing w:after="0"/>
              <w:rPr>
                <w:rFonts w:ascii="Arial" w:cs="Arial" w:eastAsia="Arial" w:hAnsi="Arial"/>
                <w:sz w:val="15"/>
                <w:szCs w:val="15"/>
                <w:color w:val="0000EE"/>
              </w:rPr>
            </w:pPr>
            <w:hyperlink r:id="rId30">
              <w:r>
                <w:rPr>
                  <w:rFonts w:ascii="Arial" w:cs="Arial" w:eastAsia="Arial" w:hAnsi="Arial"/>
                  <w:sz w:val="15"/>
                  <w:szCs w:val="15"/>
                  <w:color w:val="0000EE"/>
                </w:rPr>
                <w:t>Trends Marketing Solutions, Inc., as Guarantor, and Bank of America, N.A., as Lender (incorporated by reference to</w:t>
              </w:r>
            </w:hyperlink>
          </w:p>
        </w:tc>
      </w:tr>
      <w:tr>
        <w:trPr>
          <w:trHeight w:val="184"/>
        </w:trPr>
        <w:tc>
          <w:tcPr>
            <w:tcW w:w="960" w:type="dxa"/>
            <w:vAlign w:val="bottom"/>
          </w:tcPr>
          <w:p>
            <w:pPr>
              <w:spacing w:after="0"/>
              <w:rPr>
                <w:sz w:val="16"/>
                <w:szCs w:val="16"/>
                <w:color w:val="auto"/>
              </w:rPr>
            </w:pPr>
          </w:p>
        </w:tc>
        <w:tc>
          <w:tcPr>
            <w:tcW w:w="6540" w:type="dxa"/>
            <w:vAlign w:val="bottom"/>
            <w:tcBorders>
              <w:top w:val="single" w:sz="8" w:color="0000EE"/>
              <w:bottom w:val="single" w:sz="8" w:color="0000EE"/>
            </w:tcBorders>
            <w:gridSpan w:val="7"/>
          </w:tcPr>
          <w:p>
            <w:pPr>
              <w:spacing w:after="0"/>
              <w:rPr>
                <w:rFonts w:ascii="Arial" w:cs="Arial" w:eastAsia="Arial" w:hAnsi="Arial"/>
                <w:sz w:val="15"/>
                <w:szCs w:val="15"/>
                <w:color w:val="0000EE"/>
              </w:rPr>
            </w:pPr>
            <w:hyperlink r:id="rId30">
              <w:r>
                <w:rPr>
                  <w:rFonts w:ascii="Arial" w:cs="Arial" w:eastAsia="Arial" w:hAnsi="Arial"/>
                  <w:sz w:val="15"/>
                  <w:szCs w:val="15"/>
                  <w:color w:val="0000EE"/>
                </w:rPr>
                <w:t>Exhibit 10.1 to the Company’s Current Report on Form 8-K filed with the SEC on April 15, 2021).</w:t>
              </w:r>
            </w:hyperlink>
          </w:p>
        </w:tc>
        <w:tc>
          <w:tcPr>
            <w:tcW w:w="1300" w:type="dxa"/>
            <w:vAlign w:val="bottom"/>
            <w:tcBorders>
              <w:top w:val="single" w:sz="8" w:color="0000EE"/>
            </w:tcBorders>
            <w:gridSpan w:val="4"/>
          </w:tcPr>
          <w:p>
            <w:pPr>
              <w:spacing w:after="0"/>
              <w:rPr>
                <w:sz w:val="16"/>
                <w:szCs w:val="16"/>
                <w:color w:val="auto"/>
              </w:rPr>
            </w:pPr>
          </w:p>
        </w:tc>
        <w:tc>
          <w:tcPr>
            <w:tcW w:w="200" w:type="dxa"/>
            <w:vAlign w:val="bottom"/>
            <w:gridSpan w:val="4"/>
          </w:tcPr>
          <w:p>
            <w:pPr>
              <w:spacing w:after="0"/>
              <w:rPr>
                <w:sz w:val="16"/>
                <w:szCs w:val="16"/>
                <w:color w:val="auto"/>
              </w:rPr>
            </w:pPr>
          </w:p>
        </w:tc>
      </w:tr>
      <w:tr>
        <w:trPr>
          <w:trHeight w:val="414"/>
        </w:trPr>
        <w:tc>
          <w:tcPr>
            <w:tcW w:w="960" w:type="dxa"/>
            <w:vAlign w:val="bottom"/>
          </w:tcPr>
          <w:p>
            <w:pPr>
              <w:spacing w:after="0"/>
              <w:rPr>
                <w:sz w:val="20"/>
                <w:szCs w:val="20"/>
                <w:color w:val="auto"/>
              </w:rPr>
            </w:pPr>
            <w:r>
              <w:rPr>
                <w:rFonts w:ascii="Arial" w:cs="Arial" w:eastAsia="Arial" w:hAnsi="Arial"/>
                <w:sz w:val="15"/>
                <w:szCs w:val="15"/>
                <w:color w:val="auto"/>
              </w:rPr>
              <w:t>10.2</w:t>
            </w:r>
          </w:p>
        </w:tc>
        <w:tc>
          <w:tcPr>
            <w:tcW w:w="8020" w:type="dxa"/>
            <w:vAlign w:val="bottom"/>
            <w:tcBorders>
              <w:bottom w:val="single" w:sz="8" w:color="0000EE"/>
            </w:tcBorders>
            <w:gridSpan w:val="14"/>
          </w:tcPr>
          <w:p>
            <w:pPr>
              <w:spacing w:after="0"/>
              <w:rPr>
                <w:rFonts w:ascii="Arial" w:cs="Arial" w:eastAsia="Arial" w:hAnsi="Arial"/>
                <w:sz w:val="15"/>
                <w:szCs w:val="15"/>
                <w:color w:val="0000EE"/>
              </w:rPr>
            </w:pPr>
            <w:hyperlink w:anchor="page20">
              <w:r>
                <w:rPr>
                  <w:rFonts w:ascii="Arial" w:cs="Arial" w:eastAsia="Arial" w:hAnsi="Arial"/>
                  <w:sz w:val="15"/>
                  <w:szCs w:val="15"/>
                  <w:color w:val="0000EE"/>
                </w:rPr>
                <w:t>Employment Non-Compete, Non-Solicit and Confidentiality Agreement, dated as of April 6, 2021, between Citi Trends,</w:t>
              </w:r>
            </w:hyperlink>
          </w:p>
        </w:tc>
        <w:tc>
          <w:tcPr>
            <w:tcW w:w="20" w:type="dxa"/>
            <w:vAlign w:val="bottom"/>
          </w:tcPr>
          <w:p>
            <w:pPr>
              <w:spacing w:after="0"/>
              <w:rPr>
                <w:sz w:val="24"/>
                <w:szCs w:val="24"/>
                <w:color w:val="auto"/>
              </w:rPr>
            </w:pPr>
          </w:p>
        </w:tc>
      </w:tr>
      <w:tr>
        <w:trPr>
          <w:trHeight w:val="184"/>
        </w:trPr>
        <w:tc>
          <w:tcPr>
            <w:tcW w:w="960" w:type="dxa"/>
            <w:vAlign w:val="bottom"/>
          </w:tcPr>
          <w:p>
            <w:pPr>
              <w:spacing w:after="0"/>
              <w:rPr>
                <w:sz w:val="16"/>
                <w:szCs w:val="16"/>
                <w:color w:val="auto"/>
              </w:rPr>
            </w:pPr>
          </w:p>
        </w:tc>
        <w:tc>
          <w:tcPr>
            <w:tcW w:w="2120" w:type="dxa"/>
            <w:vAlign w:val="bottom"/>
            <w:tcBorders>
              <w:bottom w:val="single" w:sz="8" w:color="0000EE"/>
            </w:tcBorders>
            <w:gridSpan w:val="2"/>
          </w:tcPr>
          <w:p>
            <w:pPr>
              <w:spacing w:after="0"/>
              <w:rPr>
                <w:rFonts w:ascii="Arial" w:cs="Arial" w:eastAsia="Arial" w:hAnsi="Arial"/>
                <w:sz w:val="15"/>
                <w:szCs w:val="15"/>
                <w:color w:val="0000EE"/>
              </w:rPr>
            </w:pPr>
            <w:hyperlink w:anchor="page20">
              <w:r>
                <w:rPr>
                  <w:rFonts w:ascii="Arial" w:cs="Arial" w:eastAsia="Arial" w:hAnsi="Arial"/>
                  <w:sz w:val="15"/>
                  <w:szCs w:val="15"/>
                  <w:color w:val="0000EE"/>
                </w:rPr>
                <w:t>Inc. and Jessica G. Berkowitz.*</w:t>
              </w:r>
            </w:hyperlink>
          </w:p>
        </w:tc>
        <w:tc>
          <w:tcPr>
            <w:tcW w:w="5920" w:type="dxa"/>
            <w:vAlign w:val="bottom"/>
            <w:gridSpan w:val="13"/>
          </w:tcPr>
          <w:p>
            <w:pPr>
              <w:spacing w:after="0"/>
              <w:rPr>
                <w:sz w:val="16"/>
                <w:szCs w:val="16"/>
                <w:color w:val="auto"/>
              </w:rPr>
            </w:pPr>
          </w:p>
        </w:tc>
      </w:tr>
      <w:tr>
        <w:trPr>
          <w:trHeight w:val="414"/>
        </w:trPr>
        <w:tc>
          <w:tcPr>
            <w:tcW w:w="960" w:type="dxa"/>
            <w:vAlign w:val="bottom"/>
          </w:tcPr>
          <w:p>
            <w:pPr>
              <w:spacing w:after="0"/>
              <w:rPr>
                <w:sz w:val="20"/>
                <w:szCs w:val="20"/>
                <w:color w:val="auto"/>
              </w:rPr>
            </w:pPr>
            <w:r>
              <w:rPr>
                <w:rFonts w:ascii="Arial" w:cs="Arial" w:eastAsia="Arial" w:hAnsi="Arial"/>
                <w:sz w:val="15"/>
                <w:szCs w:val="15"/>
                <w:color w:val="auto"/>
              </w:rPr>
              <w:t>10.3</w:t>
            </w:r>
          </w:p>
        </w:tc>
        <w:tc>
          <w:tcPr>
            <w:tcW w:w="6920" w:type="dxa"/>
            <w:vAlign w:val="bottom"/>
            <w:tcBorders>
              <w:bottom w:val="single" w:sz="8" w:color="0000EE"/>
            </w:tcBorders>
            <w:gridSpan w:val="8"/>
          </w:tcPr>
          <w:p>
            <w:pPr>
              <w:spacing w:after="0"/>
              <w:rPr>
                <w:rFonts w:ascii="Arial" w:cs="Arial" w:eastAsia="Arial" w:hAnsi="Arial"/>
                <w:sz w:val="15"/>
                <w:szCs w:val="15"/>
                <w:color w:val="0000EE"/>
              </w:rPr>
            </w:pPr>
            <w:hyperlink w:anchor="page27">
              <w:r>
                <w:rPr>
                  <w:rFonts w:ascii="Arial" w:cs="Arial" w:eastAsia="Arial" w:hAnsi="Arial"/>
                  <w:sz w:val="15"/>
                  <w:szCs w:val="15"/>
                  <w:color w:val="0000EE"/>
                </w:rPr>
                <w:t>Severance Agreement, dated as of April 6, 2021, between Citi Trends, Inc. and Jessica G. Berkowitz.*</w:t>
              </w:r>
            </w:hyperlink>
          </w:p>
        </w:tc>
        <w:tc>
          <w:tcPr>
            <w:tcW w:w="1120" w:type="dxa"/>
            <w:vAlign w:val="bottom"/>
            <w:gridSpan w:val="7"/>
          </w:tcPr>
          <w:p>
            <w:pPr>
              <w:spacing w:after="0"/>
              <w:rPr>
                <w:sz w:val="24"/>
                <w:szCs w:val="24"/>
                <w:color w:val="auto"/>
              </w:rPr>
            </w:pPr>
          </w:p>
        </w:tc>
      </w:tr>
      <w:tr>
        <w:trPr>
          <w:trHeight w:val="414"/>
        </w:trPr>
        <w:tc>
          <w:tcPr>
            <w:tcW w:w="960" w:type="dxa"/>
            <w:vAlign w:val="bottom"/>
          </w:tcPr>
          <w:p>
            <w:pPr>
              <w:spacing w:after="0"/>
              <w:rPr>
                <w:sz w:val="20"/>
                <w:szCs w:val="20"/>
                <w:color w:val="auto"/>
              </w:rPr>
            </w:pPr>
            <w:r>
              <w:rPr>
                <w:rFonts w:ascii="Arial" w:cs="Arial" w:eastAsia="Arial" w:hAnsi="Arial"/>
                <w:sz w:val="15"/>
                <w:szCs w:val="15"/>
                <w:color w:val="auto"/>
              </w:rPr>
              <w:t>10.4</w:t>
            </w:r>
          </w:p>
        </w:tc>
        <w:tc>
          <w:tcPr>
            <w:tcW w:w="8040" w:type="dxa"/>
            <w:vAlign w:val="bottom"/>
            <w:gridSpan w:val="15"/>
          </w:tcPr>
          <w:p>
            <w:pPr>
              <w:spacing w:after="0"/>
              <w:rPr>
                <w:rFonts w:ascii="Arial" w:cs="Arial" w:eastAsia="Arial" w:hAnsi="Arial"/>
                <w:sz w:val="15"/>
                <w:szCs w:val="15"/>
                <w:color w:val="0000EE"/>
              </w:rPr>
            </w:pPr>
            <w:hyperlink w:anchor="page32">
              <w:r>
                <w:rPr>
                  <w:rFonts w:ascii="Arial" w:cs="Arial" w:eastAsia="Arial" w:hAnsi="Arial"/>
                  <w:sz w:val="15"/>
                  <w:szCs w:val="15"/>
                  <w:color w:val="0000EE"/>
                </w:rPr>
                <w:t>Form of Restricted Stock Unit Award Agreement for Employees under the Citi Trends, Inc. 2012 Incentive Plan</w:t>
              </w:r>
            </w:hyperlink>
          </w:p>
        </w:tc>
      </w:tr>
      <w:tr>
        <w:trPr>
          <w:trHeight w:val="184"/>
        </w:trPr>
        <w:tc>
          <w:tcPr>
            <w:tcW w:w="960" w:type="dxa"/>
            <w:vAlign w:val="bottom"/>
          </w:tcPr>
          <w:p>
            <w:pPr>
              <w:spacing w:after="0"/>
              <w:rPr>
                <w:sz w:val="16"/>
                <w:szCs w:val="16"/>
                <w:color w:val="auto"/>
              </w:rPr>
            </w:pPr>
          </w:p>
        </w:tc>
        <w:tc>
          <w:tcPr>
            <w:tcW w:w="3100" w:type="dxa"/>
            <w:vAlign w:val="bottom"/>
            <w:tcBorders>
              <w:top w:val="single" w:sz="8" w:color="0000EE"/>
              <w:bottom w:val="single" w:sz="8" w:color="0000EE"/>
            </w:tcBorders>
            <w:gridSpan w:val="3"/>
          </w:tcPr>
          <w:p>
            <w:pPr>
              <w:spacing w:after="0"/>
              <w:rPr>
                <w:rFonts w:ascii="Arial" w:cs="Arial" w:eastAsia="Arial" w:hAnsi="Arial"/>
                <w:sz w:val="15"/>
                <w:szCs w:val="15"/>
                <w:color w:val="0000EE"/>
              </w:rPr>
            </w:pPr>
            <w:hyperlink w:anchor="page32">
              <w:r>
                <w:rPr>
                  <w:rFonts w:ascii="Arial" w:cs="Arial" w:eastAsia="Arial" w:hAnsi="Arial"/>
                  <w:sz w:val="15"/>
                  <w:szCs w:val="15"/>
                  <w:color w:val="0000EE"/>
                </w:rPr>
                <w:t>(Performance Based Vesting – EBIT Target).*</w:t>
              </w:r>
            </w:hyperlink>
          </w:p>
        </w:tc>
        <w:tc>
          <w:tcPr>
            <w:tcW w:w="4380" w:type="dxa"/>
            <w:vAlign w:val="bottom"/>
            <w:tcBorders>
              <w:top w:val="single" w:sz="8" w:color="0000EE"/>
            </w:tcBorders>
            <w:gridSpan w:val="7"/>
          </w:tcPr>
          <w:p>
            <w:pPr>
              <w:spacing w:after="0"/>
              <w:rPr>
                <w:sz w:val="16"/>
                <w:szCs w:val="16"/>
                <w:color w:val="auto"/>
              </w:rPr>
            </w:pPr>
          </w:p>
        </w:tc>
        <w:tc>
          <w:tcPr>
            <w:tcW w:w="560" w:type="dxa"/>
            <w:vAlign w:val="bottom"/>
            <w:gridSpan w:val="5"/>
          </w:tcPr>
          <w:p>
            <w:pPr>
              <w:spacing w:after="0"/>
              <w:rPr>
                <w:sz w:val="16"/>
                <w:szCs w:val="16"/>
                <w:color w:val="auto"/>
              </w:rPr>
            </w:pPr>
          </w:p>
        </w:tc>
      </w:tr>
      <w:tr>
        <w:trPr>
          <w:trHeight w:val="414"/>
        </w:trPr>
        <w:tc>
          <w:tcPr>
            <w:tcW w:w="960" w:type="dxa"/>
            <w:vAlign w:val="bottom"/>
          </w:tcPr>
          <w:p>
            <w:pPr>
              <w:spacing w:after="0"/>
              <w:rPr>
                <w:sz w:val="20"/>
                <w:szCs w:val="20"/>
                <w:color w:val="auto"/>
              </w:rPr>
            </w:pPr>
            <w:r>
              <w:rPr>
                <w:rFonts w:ascii="Arial" w:cs="Arial" w:eastAsia="Arial" w:hAnsi="Arial"/>
                <w:sz w:val="15"/>
                <w:szCs w:val="15"/>
                <w:color w:val="auto"/>
              </w:rPr>
              <w:t>31.1</w:t>
            </w:r>
          </w:p>
        </w:tc>
        <w:tc>
          <w:tcPr>
            <w:tcW w:w="8040" w:type="dxa"/>
            <w:vAlign w:val="bottom"/>
            <w:gridSpan w:val="15"/>
          </w:tcPr>
          <w:p>
            <w:pPr>
              <w:spacing w:after="0"/>
              <w:rPr>
                <w:rFonts w:ascii="Arial" w:cs="Arial" w:eastAsia="Arial" w:hAnsi="Arial"/>
                <w:sz w:val="15"/>
                <w:szCs w:val="15"/>
                <w:color w:val="0000EE"/>
              </w:rPr>
            </w:pPr>
            <w:hyperlink w:anchor="page35">
              <w:r>
                <w:rPr>
                  <w:rFonts w:ascii="Arial" w:cs="Arial" w:eastAsia="Arial" w:hAnsi="Arial"/>
                  <w:sz w:val="15"/>
                  <w:szCs w:val="15"/>
                  <w:color w:val="0000EE"/>
                </w:rPr>
                <w:t>Certification of Principal Executive Officer, Pursuant to Rule 13a-14(a) of the Securities Exchange Act of 1934,</w:t>
              </w:r>
            </w:hyperlink>
          </w:p>
        </w:tc>
      </w:tr>
      <w:tr>
        <w:trPr>
          <w:trHeight w:val="184"/>
        </w:trPr>
        <w:tc>
          <w:tcPr>
            <w:tcW w:w="960" w:type="dxa"/>
            <w:vAlign w:val="bottom"/>
          </w:tcPr>
          <w:p>
            <w:pPr>
              <w:spacing w:after="0"/>
              <w:rPr>
                <w:sz w:val="16"/>
                <w:szCs w:val="16"/>
                <w:color w:val="auto"/>
              </w:rPr>
            </w:pPr>
          </w:p>
        </w:tc>
        <w:tc>
          <w:tcPr>
            <w:tcW w:w="7460" w:type="dxa"/>
            <w:vAlign w:val="bottom"/>
            <w:tcBorders>
              <w:top w:val="single" w:sz="8" w:color="0000EE"/>
            </w:tcBorders>
            <w:gridSpan w:val="9"/>
          </w:tcPr>
          <w:p>
            <w:pPr>
              <w:spacing w:after="0"/>
              <w:rPr>
                <w:rFonts w:ascii="Arial" w:cs="Arial" w:eastAsia="Arial" w:hAnsi="Arial"/>
                <w:sz w:val="15"/>
                <w:szCs w:val="15"/>
                <w:color w:val="0000EE"/>
              </w:rPr>
            </w:pPr>
            <w:hyperlink w:anchor="page35">
              <w:r>
                <w:rPr>
                  <w:rFonts w:ascii="Arial" w:cs="Arial" w:eastAsia="Arial" w:hAnsi="Arial"/>
                  <w:sz w:val="15"/>
                  <w:szCs w:val="15"/>
                  <w:color w:val="0000EE"/>
                </w:rPr>
                <w:t>Adopted Pursuant to Section 302 of the Sarbanes-Oxley Act of 2002.*</w:t>
              </w:r>
            </w:hyperlink>
          </w:p>
        </w:tc>
        <w:tc>
          <w:tcPr>
            <w:tcW w:w="580" w:type="dxa"/>
            <w:vAlign w:val="bottom"/>
            <w:gridSpan w:val="6"/>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4"/>
        </w:trPr>
        <w:tc>
          <w:tcPr>
            <w:tcW w:w="960" w:type="dxa"/>
            <w:vAlign w:val="bottom"/>
          </w:tcPr>
          <w:p>
            <w:pPr>
              <w:spacing w:after="0"/>
              <w:rPr>
                <w:sz w:val="20"/>
                <w:szCs w:val="20"/>
                <w:color w:val="auto"/>
              </w:rPr>
            </w:pPr>
            <w:r>
              <w:rPr>
                <w:rFonts w:ascii="Arial" w:cs="Arial" w:eastAsia="Arial" w:hAnsi="Arial"/>
                <w:sz w:val="15"/>
                <w:szCs w:val="15"/>
                <w:color w:val="auto"/>
              </w:rPr>
              <w:t>31.2</w:t>
            </w:r>
          </w:p>
        </w:tc>
        <w:tc>
          <w:tcPr>
            <w:tcW w:w="8040" w:type="dxa"/>
            <w:vAlign w:val="bottom"/>
            <w:tcBorders>
              <w:bottom w:val="single" w:sz="8" w:color="0000EE"/>
            </w:tcBorders>
            <w:gridSpan w:val="15"/>
          </w:tcPr>
          <w:p>
            <w:pPr>
              <w:spacing w:after="0"/>
              <w:rPr>
                <w:rFonts w:ascii="Arial" w:cs="Arial" w:eastAsia="Arial" w:hAnsi="Arial"/>
                <w:sz w:val="15"/>
                <w:szCs w:val="15"/>
                <w:color w:val="0000EE"/>
              </w:rPr>
            </w:pPr>
            <w:hyperlink w:anchor="page36">
              <w:r>
                <w:rPr>
                  <w:rFonts w:ascii="Arial" w:cs="Arial" w:eastAsia="Arial" w:hAnsi="Arial"/>
                  <w:sz w:val="15"/>
                  <w:szCs w:val="15"/>
                  <w:color w:val="0000EE"/>
                </w:rPr>
                <w:t>Certification of Principal Financial Officer, Pursuant to Rule 13a-14(a) of the Securities Exchange Act of 1934, Adopted</w:t>
              </w:r>
            </w:hyperlink>
          </w:p>
        </w:tc>
      </w:tr>
      <w:tr>
        <w:trPr>
          <w:trHeight w:val="184"/>
        </w:trPr>
        <w:tc>
          <w:tcPr>
            <w:tcW w:w="960" w:type="dxa"/>
            <w:vAlign w:val="bottom"/>
          </w:tcPr>
          <w:p>
            <w:pPr>
              <w:spacing w:after="0"/>
              <w:rPr>
                <w:sz w:val="16"/>
                <w:szCs w:val="16"/>
                <w:color w:val="auto"/>
              </w:rPr>
            </w:pPr>
          </w:p>
        </w:tc>
        <w:tc>
          <w:tcPr>
            <w:tcW w:w="4140" w:type="dxa"/>
            <w:vAlign w:val="bottom"/>
            <w:tcBorders>
              <w:bottom w:val="single" w:sz="8" w:color="0000EE"/>
            </w:tcBorders>
            <w:gridSpan w:val="4"/>
          </w:tcPr>
          <w:p>
            <w:pPr>
              <w:spacing w:after="0"/>
              <w:rPr>
                <w:rFonts w:ascii="Arial" w:cs="Arial" w:eastAsia="Arial" w:hAnsi="Arial"/>
                <w:sz w:val="15"/>
                <w:szCs w:val="15"/>
                <w:color w:val="0000EE"/>
              </w:rPr>
            </w:pPr>
            <w:hyperlink w:anchor="page36">
              <w:r>
                <w:rPr>
                  <w:rFonts w:ascii="Arial" w:cs="Arial" w:eastAsia="Arial" w:hAnsi="Arial"/>
                  <w:sz w:val="15"/>
                  <w:szCs w:val="15"/>
                  <w:color w:val="0000EE"/>
                </w:rPr>
                <w:t>Pursuant to Section 302 of the Sarbanes-Oxley Act of 2002.*</w:t>
              </w:r>
            </w:hyperlink>
          </w:p>
        </w:tc>
        <w:tc>
          <w:tcPr>
            <w:tcW w:w="3900" w:type="dxa"/>
            <w:vAlign w:val="bottom"/>
            <w:gridSpan w:val="11"/>
          </w:tcPr>
          <w:p>
            <w:pPr>
              <w:spacing w:after="0"/>
              <w:rPr>
                <w:sz w:val="16"/>
                <w:szCs w:val="16"/>
                <w:color w:val="auto"/>
              </w:rPr>
            </w:pPr>
          </w:p>
        </w:tc>
      </w:tr>
      <w:tr>
        <w:trPr>
          <w:trHeight w:val="414"/>
        </w:trPr>
        <w:tc>
          <w:tcPr>
            <w:tcW w:w="960" w:type="dxa"/>
            <w:vAlign w:val="bottom"/>
          </w:tcPr>
          <w:p>
            <w:pPr>
              <w:spacing w:after="0"/>
              <w:rPr>
                <w:sz w:val="20"/>
                <w:szCs w:val="20"/>
                <w:color w:val="auto"/>
              </w:rPr>
            </w:pPr>
            <w:r>
              <w:rPr>
                <w:rFonts w:ascii="Arial" w:cs="Arial" w:eastAsia="Arial" w:hAnsi="Arial"/>
                <w:sz w:val="15"/>
                <w:szCs w:val="15"/>
                <w:color w:val="auto"/>
              </w:rPr>
              <w:t>32.1</w:t>
            </w:r>
          </w:p>
        </w:tc>
        <w:tc>
          <w:tcPr>
            <w:tcW w:w="7880" w:type="dxa"/>
            <w:vAlign w:val="bottom"/>
            <w:tcBorders>
              <w:bottom w:val="single" w:sz="8" w:color="0000EE"/>
            </w:tcBorders>
            <w:gridSpan w:val="13"/>
          </w:tcPr>
          <w:p>
            <w:pPr>
              <w:spacing w:after="0"/>
              <w:rPr>
                <w:rFonts w:ascii="Arial" w:cs="Arial" w:eastAsia="Arial" w:hAnsi="Arial"/>
                <w:sz w:val="15"/>
                <w:szCs w:val="15"/>
                <w:color w:val="0000EE"/>
              </w:rPr>
            </w:pPr>
            <w:hyperlink w:anchor="page37">
              <w:r>
                <w:rPr>
                  <w:rFonts w:ascii="Arial" w:cs="Arial" w:eastAsia="Arial" w:hAnsi="Arial"/>
                  <w:sz w:val="15"/>
                  <w:szCs w:val="15"/>
                  <w:color w:val="0000EE"/>
                </w:rPr>
                <w:t>Certifications Pursuant to 18 U.S.C. Section 1350, as adopted pursuant to Section 906 of the Sarbanes-Oxley Act of</w:t>
              </w:r>
            </w:hyperlink>
          </w:p>
        </w:tc>
        <w:tc>
          <w:tcPr>
            <w:tcW w:w="160" w:type="dxa"/>
            <w:vAlign w:val="bottom"/>
            <w:gridSpan w:val="2"/>
          </w:tcPr>
          <w:p>
            <w:pPr>
              <w:spacing w:after="0"/>
              <w:rPr>
                <w:sz w:val="24"/>
                <w:szCs w:val="24"/>
                <w:color w:val="auto"/>
              </w:rPr>
            </w:pPr>
          </w:p>
        </w:tc>
      </w:tr>
      <w:tr>
        <w:trPr>
          <w:trHeight w:val="184"/>
        </w:trPr>
        <w:tc>
          <w:tcPr>
            <w:tcW w:w="960" w:type="dxa"/>
            <w:vAlign w:val="bottom"/>
          </w:tcPr>
          <w:p>
            <w:pPr>
              <w:spacing w:after="0"/>
              <w:rPr>
                <w:sz w:val="16"/>
                <w:szCs w:val="16"/>
                <w:color w:val="auto"/>
              </w:rPr>
            </w:pPr>
          </w:p>
        </w:tc>
        <w:tc>
          <w:tcPr>
            <w:tcW w:w="580" w:type="dxa"/>
            <w:vAlign w:val="bottom"/>
            <w:tcBorders>
              <w:bottom w:val="single" w:sz="8" w:color="0000EE"/>
            </w:tcBorders>
          </w:tcPr>
          <w:p>
            <w:pPr>
              <w:spacing w:after="0"/>
              <w:rPr>
                <w:rFonts w:ascii="Arial" w:cs="Arial" w:eastAsia="Arial" w:hAnsi="Arial"/>
                <w:sz w:val="15"/>
                <w:szCs w:val="15"/>
                <w:color w:val="0000EE"/>
              </w:rPr>
            </w:pPr>
            <w:hyperlink w:anchor="page37">
              <w:r>
                <w:rPr>
                  <w:rFonts w:ascii="Arial" w:cs="Arial" w:eastAsia="Arial" w:hAnsi="Arial"/>
                  <w:sz w:val="15"/>
                  <w:szCs w:val="15"/>
                  <w:color w:val="0000EE"/>
                </w:rPr>
                <w:t>2002.* †</w:t>
              </w:r>
            </w:hyperlink>
          </w:p>
        </w:tc>
        <w:tc>
          <w:tcPr>
            <w:tcW w:w="7460" w:type="dxa"/>
            <w:vAlign w:val="bottom"/>
            <w:gridSpan w:val="14"/>
          </w:tcPr>
          <w:p>
            <w:pPr>
              <w:spacing w:after="0"/>
              <w:rPr>
                <w:sz w:val="16"/>
                <w:szCs w:val="16"/>
                <w:color w:val="auto"/>
              </w:rPr>
            </w:pPr>
          </w:p>
        </w:tc>
      </w:tr>
    </w:tbl>
    <w:p>
      <w:pPr>
        <w:spacing w:after="0" w:line="270" w:lineRule="exact"/>
        <w:rPr>
          <w:sz w:val="20"/>
          <w:szCs w:val="20"/>
          <w:color w:val="auto"/>
        </w:rPr>
      </w:pPr>
    </w:p>
    <w:p>
      <w:pPr>
        <w:ind w:left="1000" w:right="319" w:hanging="953"/>
        <w:spacing w:after="0" w:line="301" w:lineRule="auto"/>
        <w:tabs>
          <w:tab w:leader="none" w:pos="10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Inline XBRL Document Set for the condensed consolidated financial statements and accompanying notes in Part I, Item 1, “Financial Statements” of this Quarterly Report on Form 10-Q.*</w:t>
      </w:r>
    </w:p>
    <w:p>
      <w:pPr>
        <w:spacing w:after="0" w:line="206" w:lineRule="exact"/>
        <w:rPr>
          <w:sz w:val="20"/>
          <w:szCs w:val="20"/>
          <w:color w:val="auto"/>
        </w:rPr>
      </w:pPr>
    </w:p>
    <w:p>
      <w:pPr>
        <w:ind w:left="1000" w:right="639" w:hanging="953"/>
        <w:spacing w:after="0" w:line="301" w:lineRule="auto"/>
        <w:tabs>
          <w:tab w:leader="none" w:pos="10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Inline XBRL for the cover page of this Quarterly Report on Form 10-Q, included in the Exhibit 101 Inline XBRL Document Set.*</w:t>
      </w:r>
    </w:p>
    <w:p>
      <w:pPr>
        <w:spacing w:after="0" w:line="18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1443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4" w:lineRule="exact"/>
        <w:rPr>
          <w:sz w:val="20"/>
          <w:szCs w:val="20"/>
          <w:color w:val="auto"/>
        </w:rPr>
      </w:pPr>
    </w:p>
    <w:p>
      <w:pPr>
        <w:ind w:right="19"/>
        <w:spacing w:after="0" w:line="253" w:lineRule="auto"/>
        <w:tabs>
          <w:tab w:leader="none" w:pos="341" w:val="left"/>
        </w:tabs>
        <w:numPr>
          <w:ilvl w:val="0"/>
          <w:numId w:val="16"/>
        </w:numPr>
        <w:rPr>
          <w:rFonts w:ascii="Arial" w:cs="Arial" w:eastAsia="Arial" w:hAnsi="Arial"/>
          <w:sz w:val="15"/>
          <w:szCs w:val="15"/>
          <w:color w:val="auto"/>
        </w:rPr>
      </w:pPr>
      <w:r>
        <w:rPr>
          <w:rFonts w:ascii="Arial" w:cs="Arial" w:eastAsia="Arial" w:hAnsi="Arial"/>
          <w:sz w:val="15"/>
          <w:szCs w:val="15"/>
          <w:color w:val="auto"/>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5793105" cy="24130"/>
                    </a:xfrm>
                    <a:prstGeom prst="rect">
                      <a:avLst/>
                    </a:prstGeom>
                    <a:noFill/>
                  </pic:spPr>
                </pic:pic>
              </a:graphicData>
            </a:graphic>
          </wp:anchor>
        </w:drawing>
      </w:r>
    </w:p>
    <w:p>
      <w:pPr>
        <w:sectPr>
          <w:pgSz w:w="11900" w:h="16838" w:orient="portrait"/>
          <w:cols w:equalWidth="0" w:num="1">
            <w:col w:w="9079"/>
          </w:cols>
          <w:pgMar w:left="1380" w:top="498" w:right="1440"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SIGNATURES</w:t>
      </w:r>
    </w:p>
    <w:p>
      <w:pPr>
        <w:spacing w:after="0" w:line="242" w:lineRule="exact"/>
        <w:rPr>
          <w:sz w:val="20"/>
          <w:szCs w:val="20"/>
          <w:color w:val="auto"/>
        </w:rPr>
      </w:pPr>
    </w:p>
    <w:p>
      <w:pPr>
        <w:ind w:right="60" w:firstLine="613"/>
        <w:spacing w:after="0" w:line="257"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 and the undersigned also has signed this report in her capacity as the Registrant’s Chief Financial Officer (Principal Financial Officer).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20" w:type="dxa"/>
            <w:vAlign w:val="bottom"/>
            <w:gridSpan w:val="2"/>
          </w:tcPr>
          <w:p>
            <w:pPr>
              <w:ind w:left="4580"/>
              <w:spacing w:after="0"/>
              <w:rPr>
                <w:sz w:val="20"/>
                <w:szCs w:val="20"/>
                <w:color w:val="auto"/>
              </w:rPr>
            </w:pPr>
            <w:r>
              <w:rPr>
                <w:rFonts w:ascii="Arial" w:cs="Arial" w:eastAsia="Arial" w:hAnsi="Arial"/>
                <w:sz w:val="15"/>
                <w:szCs w:val="15"/>
                <w:color w:val="auto"/>
              </w:rPr>
              <w:t>CITI TRENDS, INC.</w:t>
            </w:r>
          </w:p>
        </w:tc>
      </w:tr>
      <w:tr>
        <w:trPr>
          <w:trHeight w:val="434"/>
        </w:trPr>
        <w:tc>
          <w:tcPr>
            <w:tcW w:w="5240" w:type="dxa"/>
            <w:vAlign w:val="bottom"/>
          </w:tcPr>
          <w:p>
            <w:pPr>
              <w:spacing w:after="0"/>
              <w:rPr>
                <w:sz w:val="20"/>
                <w:szCs w:val="20"/>
                <w:color w:val="auto"/>
              </w:rPr>
            </w:pPr>
            <w:r>
              <w:rPr>
                <w:rFonts w:ascii="Arial" w:cs="Arial" w:eastAsia="Arial" w:hAnsi="Arial"/>
                <w:sz w:val="15"/>
                <w:szCs w:val="15"/>
                <w:color w:val="auto"/>
              </w:rPr>
              <w:t>Date: June 9, 2021</w:t>
            </w:r>
          </w:p>
        </w:tc>
        <w:tc>
          <w:tcPr>
            <w:tcW w:w="3880" w:type="dxa"/>
            <w:vAlign w:val="bottom"/>
          </w:tcPr>
          <w:p>
            <w:pPr>
              <w:spacing w:after="0"/>
              <w:rPr>
                <w:sz w:val="24"/>
                <w:szCs w:val="24"/>
                <w:color w:val="auto"/>
              </w:rPr>
            </w:pPr>
          </w:p>
        </w:tc>
      </w:tr>
      <w:tr>
        <w:trPr>
          <w:trHeight w:val="445"/>
        </w:trPr>
        <w:tc>
          <w:tcPr>
            <w:tcW w:w="5240" w:type="dxa"/>
            <w:vAlign w:val="bottom"/>
          </w:tcPr>
          <w:p>
            <w:pPr>
              <w:ind w:left="4580"/>
              <w:spacing w:after="0"/>
              <w:rPr>
                <w:sz w:val="20"/>
                <w:szCs w:val="20"/>
                <w:color w:val="auto"/>
              </w:rPr>
            </w:pPr>
            <w:r>
              <w:rPr>
                <w:rFonts w:ascii="Arial" w:cs="Arial" w:eastAsia="Arial" w:hAnsi="Arial"/>
                <w:sz w:val="15"/>
                <w:szCs w:val="15"/>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Pamela J. Edwards</w:t>
            </w:r>
          </w:p>
        </w:tc>
      </w:tr>
      <w:tr>
        <w:trPr>
          <w:trHeight w:val="199"/>
        </w:trPr>
        <w:tc>
          <w:tcPr>
            <w:tcW w:w="5240" w:type="dxa"/>
            <w:vAlign w:val="bottom"/>
          </w:tcPr>
          <w:p>
            <w:pPr>
              <w:ind w:left="4580"/>
              <w:spacing w:after="0"/>
              <w:rPr>
                <w:sz w:val="20"/>
                <w:szCs w:val="20"/>
                <w:color w:val="auto"/>
              </w:rPr>
            </w:pPr>
            <w:r>
              <w:rPr>
                <w:rFonts w:ascii="Arial" w:cs="Arial" w:eastAsia="Arial" w:hAnsi="Arial"/>
                <w:sz w:val="15"/>
                <w:szCs w:val="15"/>
                <w:color w:val="auto"/>
              </w:rPr>
              <w:t>Name:</w:t>
            </w:r>
          </w:p>
        </w:tc>
        <w:tc>
          <w:tcPr>
            <w:tcW w:w="3880" w:type="dxa"/>
            <w:vAlign w:val="bottom"/>
          </w:tcPr>
          <w:p>
            <w:pPr>
              <w:spacing w:after="0"/>
              <w:rPr>
                <w:sz w:val="20"/>
                <w:szCs w:val="20"/>
                <w:color w:val="auto"/>
              </w:rPr>
            </w:pPr>
            <w:r>
              <w:rPr>
                <w:rFonts w:ascii="Arial" w:cs="Arial" w:eastAsia="Arial" w:hAnsi="Arial"/>
                <w:sz w:val="15"/>
                <w:szCs w:val="15"/>
                <w:color w:val="auto"/>
              </w:rPr>
              <w:t>Pamela J. Edwards</w:t>
            </w:r>
          </w:p>
        </w:tc>
      </w:tr>
      <w:tr>
        <w:trPr>
          <w:trHeight w:val="217"/>
        </w:trPr>
        <w:tc>
          <w:tcPr>
            <w:tcW w:w="5240" w:type="dxa"/>
            <w:vAlign w:val="bottom"/>
          </w:tcPr>
          <w:p>
            <w:pPr>
              <w:ind w:left="4580"/>
              <w:spacing w:after="0"/>
              <w:rPr>
                <w:sz w:val="20"/>
                <w:szCs w:val="20"/>
                <w:color w:val="auto"/>
              </w:rPr>
            </w:pPr>
            <w:r>
              <w:rPr>
                <w:rFonts w:ascii="Arial" w:cs="Arial" w:eastAsia="Arial" w:hAnsi="Arial"/>
                <w:sz w:val="15"/>
                <w:szCs w:val="15"/>
                <w:color w:val="auto"/>
              </w:rPr>
              <w:t>Title:</w:t>
            </w:r>
          </w:p>
        </w:tc>
        <w:tc>
          <w:tcPr>
            <w:tcW w:w="3880" w:type="dxa"/>
            <w:vAlign w:val="bottom"/>
          </w:tcPr>
          <w:p>
            <w:pPr>
              <w:spacing w:after="0"/>
              <w:rPr>
                <w:sz w:val="20"/>
                <w:szCs w:val="20"/>
                <w:color w:val="auto"/>
              </w:rPr>
            </w:pPr>
            <w:r>
              <w:rPr>
                <w:rFonts w:ascii="Arial" w:cs="Arial" w:eastAsia="Arial" w:hAnsi="Arial"/>
                <w:sz w:val="15"/>
                <w:szCs w:val="15"/>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579310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5793105" cy="16510"/>
                    </a:xfrm>
                    <a:prstGeom prst="rect">
                      <a:avLst/>
                    </a:prstGeom>
                    <a:noFill/>
                  </pic:spPr>
                </pic:pic>
              </a:graphicData>
            </a:graphic>
          </wp:anchor>
        </w:drawing>
      </w:r>
    </w:p>
    <w:p>
      <w:pPr>
        <w:sectPr>
          <w:pgSz w:w="11900" w:h="16838" w:orient="portrait"/>
          <w:cols w:equalWidth="0" w:num="1">
            <w:col w:w="9120"/>
          </w:cols>
          <w:pgMar w:left="1380" w:top="498" w:right="1399" w:bottom="1440" w:gutter="0" w:footer="0" w:header="0"/>
        </w:sectPr>
      </w:pPr>
    </w:p>
    <w:bookmarkStart w:id="19" w:name="page20"/>
    <w:bookmarkEnd w:id="19"/>
    <w:p>
      <w:pPr>
        <w:jc w:val="right"/>
        <w:ind w:right="99"/>
        <w:spacing w:after="0"/>
        <w:rPr>
          <w:sz w:val="20"/>
          <w:szCs w:val="20"/>
          <w:color w:val="auto"/>
        </w:rPr>
      </w:pPr>
      <w:r>
        <w:rPr>
          <w:rFonts w:ascii="Arial" w:cs="Arial" w:eastAsia="Arial" w:hAnsi="Arial"/>
          <w:sz w:val="15"/>
          <w:szCs w:val="15"/>
          <w:b w:val="1"/>
          <w:bCs w:val="1"/>
          <w:color w:val="auto"/>
        </w:rPr>
        <w:t>Exhibit 10.2</w:t>
      </w:r>
    </w:p>
    <w:p>
      <w:pPr>
        <w:spacing w:after="0" w:line="200" w:lineRule="exact"/>
        <w:rPr>
          <w:sz w:val="20"/>
          <w:szCs w:val="20"/>
          <w:color w:val="auto"/>
        </w:rPr>
      </w:pPr>
    </w:p>
    <w:p>
      <w:pPr>
        <w:spacing w:after="0" w:line="232" w:lineRule="exact"/>
        <w:rPr>
          <w:sz w:val="20"/>
          <w:szCs w:val="20"/>
          <w:color w:val="auto"/>
        </w:rPr>
      </w:pPr>
    </w:p>
    <w:p>
      <w:pPr>
        <w:jc w:val="center"/>
        <w:ind w:right="679"/>
        <w:spacing w:after="0"/>
        <w:rPr>
          <w:sz w:val="20"/>
          <w:szCs w:val="20"/>
          <w:color w:val="auto"/>
        </w:rPr>
      </w:pPr>
      <w:r>
        <w:rPr>
          <w:rFonts w:ascii="Arial" w:cs="Arial" w:eastAsia="Arial" w:hAnsi="Arial"/>
          <w:sz w:val="20"/>
          <w:szCs w:val="20"/>
          <w:b w:val="1"/>
          <w:bCs w:val="1"/>
          <w:u w:val="single" w:color="auto"/>
          <w:color w:val="auto"/>
        </w:rPr>
        <w:t>EMPLOYMENT NON-COMPETE, NON-SOLICIT AND CONFIDENTIALITY</w:t>
      </w:r>
    </w:p>
    <w:p>
      <w:pPr>
        <w:spacing w:after="0" w:line="22" w:lineRule="exact"/>
        <w:rPr>
          <w:sz w:val="20"/>
          <w:szCs w:val="20"/>
          <w:color w:val="auto"/>
        </w:rPr>
      </w:pPr>
    </w:p>
    <w:p>
      <w:pPr>
        <w:jc w:val="center"/>
        <w:ind w:right="639"/>
        <w:spacing w:after="0"/>
        <w:rPr>
          <w:sz w:val="20"/>
          <w:szCs w:val="20"/>
          <w:color w:val="auto"/>
        </w:rPr>
      </w:pPr>
      <w:r>
        <w:rPr>
          <w:rFonts w:ascii="Arial" w:cs="Arial" w:eastAsia="Arial" w:hAnsi="Arial"/>
          <w:sz w:val="20"/>
          <w:szCs w:val="20"/>
          <w:b w:val="1"/>
          <w:bCs w:val="1"/>
          <w:u w:val="single" w:color="auto"/>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right="199" w:firstLine="613"/>
        <w:spacing w:after="0" w:line="267" w:lineRule="auto"/>
        <w:rPr>
          <w:sz w:val="20"/>
          <w:szCs w:val="20"/>
          <w:color w:val="auto"/>
        </w:rPr>
      </w:pPr>
      <w:r>
        <w:rPr>
          <w:rFonts w:ascii="Arial" w:cs="Arial" w:eastAsia="Arial" w:hAnsi="Arial"/>
          <w:sz w:val="19"/>
          <w:szCs w:val="19"/>
          <w:color w:val="auto"/>
        </w:rPr>
        <w:t>This EMPLOYMENT NON-COMPETE, NON-SOLICIT AND CONFIDENTIALITY AGREEMENT (“Agreement”) is entered into between Citi Trends, Inc., including its subsidiaries, affiliates, divisions, successors, and related entities (“Company”), and Jessica Berkowitz (“Employee”), as of the date signed by Employee below, to be effective as of April 2, 2021 (the “Effective Date”).</w:t>
      </w:r>
    </w:p>
    <w:p>
      <w:pPr>
        <w:spacing w:after="0" w:line="178" w:lineRule="exact"/>
        <w:rPr>
          <w:sz w:val="20"/>
          <w:szCs w:val="20"/>
          <w:color w:val="auto"/>
        </w:rPr>
      </w:pPr>
    </w:p>
    <w:p>
      <w:pPr>
        <w:ind w:left="200" w:right="359" w:firstLine="612"/>
        <w:spacing w:after="0" w:line="255" w:lineRule="auto"/>
        <w:rPr>
          <w:sz w:val="20"/>
          <w:szCs w:val="20"/>
          <w:color w:val="auto"/>
        </w:rPr>
      </w:pPr>
      <w:r>
        <w:rPr>
          <w:rFonts w:ascii="Arial" w:cs="Arial" w:eastAsia="Arial" w:hAnsi="Arial"/>
          <w:sz w:val="20"/>
          <w:szCs w:val="20"/>
          <w:color w:val="auto"/>
        </w:rPr>
        <w:t>This Agreement is intended to and shall supersede and replace that certain Employment Non-Compete, Non-Solicit and Confidentiality Agreement between the Company and Employee dated as of March 30, 2021 (the “</w:t>
      </w:r>
      <w:r>
        <w:rPr>
          <w:rFonts w:ascii="Arial" w:cs="Arial" w:eastAsia="Arial" w:hAnsi="Arial"/>
          <w:sz w:val="20"/>
          <w:szCs w:val="20"/>
          <w:u w:val="single" w:color="auto"/>
          <w:color w:val="auto"/>
        </w:rPr>
        <w:t>Prior Confidentiality Agreement</w:t>
      </w:r>
      <w:r>
        <w:rPr>
          <w:rFonts w:ascii="Arial" w:cs="Arial" w:eastAsia="Arial" w:hAnsi="Arial"/>
          <w:sz w:val="20"/>
          <w:szCs w:val="20"/>
          <w:color w:val="auto"/>
        </w:rPr>
        <w:t>”).</w:t>
      </w:r>
    </w:p>
    <w:p>
      <w:pPr>
        <w:spacing w:after="0" w:line="149" w:lineRule="exact"/>
        <w:rPr>
          <w:sz w:val="20"/>
          <w:szCs w:val="20"/>
          <w:color w:val="auto"/>
        </w:rPr>
      </w:pPr>
    </w:p>
    <w:p>
      <w:pPr>
        <w:jc w:val="both"/>
        <w:ind w:left="200" w:right="199" w:firstLine="612"/>
        <w:spacing w:after="0" w:line="250" w:lineRule="auto"/>
        <w:rPr>
          <w:sz w:val="20"/>
          <w:szCs w:val="20"/>
          <w:color w:val="auto"/>
        </w:rPr>
      </w:pPr>
      <w:r>
        <w:rPr>
          <w:rFonts w:ascii="Arial" w:cs="Arial" w:eastAsia="Arial" w:hAnsi="Arial"/>
          <w:sz w:val="20"/>
          <w:szCs w:val="20"/>
          <w:color w:val="auto"/>
        </w:rPr>
        <w:t>For and in consideration of the mutual covenants and agreements contained herein, including, but not limited to, Company agreeing to employ and/or continuing to employ Employee, and other good and valuable consideration, the receipt and sufficiency of which are hereby acknowledged, the parties agree:</w:t>
      </w:r>
    </w:p>
    <w:p>
      <w:pPr>
        <w:spacing w:after="0" w:line="175" w:lineRule="exact"/>
        <w:rPr>
          <w:sz w:val="20"/>
          <w:szCs w:val="20"/>
          <w:color w:val="auto"/>
        </w:rPr>
      </w:pPr>
    </w:p>
    <w:p>
      <w:pPr>
        <w:jc w:val="both"/>
        <w:ind w:left="200" w:right="199" w:hanging="2"/>
        <w:spacing w:after="0" w:line="259" w:lineRule="auto"/>
        <w:tabs>
          <w:tab w:leader="none" w:pos="814"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Employment; Scope of Services</w:t>
      </w:r>
      <w:r>
        <w:rPr>
          <w:rFonts w:ascii="Arial" w:cs="Arial" w:eastAsia="Arial" w:hAnsi="Arial"/>
          <w:sz w:val="19"/>
          <w:szCs w:val="19"/>
          <w:color w:val="auto"/>
        </w:rPr>
        <w:t>. As of the Effective Date</w:t>
      </w:r>
      <w:r>
        <w:rPr>
          <w:rFonts w:ascii="Arial" w:cs="Arial" w:eastAsia="Arial" w:hAnsi="Arial"/>
          <w:sz w:val="19"/>
          <w:szCs w:val="19"/>
          <w:b w:val="1"/>
          <w:bCs w:val="1"/>
          <w:color w:val="auto"/>
        </w:rPr>
        <w:t>,</w:t>
      </w:r>
      <w:r>
        <w:rPr>
          <w:rFonts w:ascii="Arial" w:cs="Arial" w:eastAsia="Arial" w:hAnsi="Arial"/>
          <w:sz w:val="19"/>
          <w:szCs w:val="19"/>
          <w:color w:val="auto"/>
        </w:rPr>
        <w:t xml:space="preserve"> Company shall employ and/or continue to employ Employee, and Employee shall be employed and/or continue to be employed by Company, as Senior Vice President, Planning and Allocation. Employee shall use his/her best efforts and shall devote his/her full time, attention, knowledge and skills to the faithful performance of his/her duties and responsibilities as a Company employee. Employee shall have such authority and such other duties and responsibilities as assigned by the Chief Executive Officer. Employee shall comply with Company’s policies and procedures, shall conduct him/herself as an ethical business professional, and shall comply with federal, state and local laws.</w:t>
      </w:r>
    </w:p>
    <w:p>
      <w:pPr>
        <w:spacing w:after="0" w:line="162" w:lineRule="exact"/>
        <w:rPr>
          <w:rFonts w:ascii="Arial" w:cs="Arial" w:eastAsia="Arial" w:hAnsi="Arial"/>
          <w:sz w:val="19"/>
          <w:szCs w:val="19"/>
          <w:color w:val="auto"/>
        </w:rPr>
      </w:pPr>
    </w:p>
    <w:p>
      <w:pPr>
        <w:jc w:val="both"/>
        <w:ind w:left="200" w:right="199" w:hanging="2"/>
        <w:spacing w:after="0" w:line="246" w:lineRule="auto"/>
        <w:tabs>
          <w:tab w:leader="none" w:pos="814"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At-Will Employment</w:t>
      </w:r>
      <w:r>
        <w:rPr>
          <w:rFonts w:ascii="Arial" w:cs="Arial" w:eastAsia="Arial" w:hAnsi="Arial"/>
          <w:sz w:val="20"/>
          <w:szCs w:val="20"/>
          <w:color w:val="auto"/>
        </w:rPr>
        <w:t>. Nothing in this Agreement alters the at-will employment relationship between Employee and Company or limits Company’s right to alter or modify Employee’s job title or job duties and responsibilities any time at Company’s discretion. Employment with Company is “at-will” which means that either Employee or Company may terminate the employment relationship at any time, with or without notice, with or without cause. The date of Employee’s cessation of employment for any reason is the “</w:t>
      </w:r>
      <w:r>
        <w:rPr>
          <w:rFonts w:ascii="Arial" w:cs="Arial" w:eastAsia="Arial" w:hAnsi="Arial"/>
          <w:sz w:val="20"/>
          <w:szCs w:val="20"/>
          <w:b w:val="1"/>
          <w:bCs w:val="1"/>
          <w:color w:val="auto"/>
        </w:rPr>
        <w:t>Separation Date</w:t>
      </w:r>
      <w:r>
        <w:rPr>
          <w:rFonts w:ascii="Arial" w:cs="Arial" w:eastAsia="Arial" w:hAnsi="Arial"/>
          <w:sz w:val="20"/>
          <w:szCs w:val="20"/>
          <w:color w:val="auto"/>
        </w:rPr>
        <w:t>.”</w:t>
      </w:r>
    </w:p>
    <w:p>
      <w:pPr>
        <w:spacing w:after="0" w:line="182" w:lineRule="exact"/>
        <w:rPr>
          <w:rFonts w:ascii="Arial" w:cs="Arial" w:eastAsia="Arial" w:hAnsi="Arial"/>
          <w:sz w:val="20"/>
          <w:szCs w:val="20"/>
          <w:color w:val="auto"/>
        </w:rPr>
      </w:pPr>
    </w:p>
    <w:p>
      <w:pPr>
        <w:ind w:left="800" w:hanging="610"/>
        <w:spacing w:after="0"/>
        <w:tabs>
          <w:tab w:leader="none" w:pos="80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200" w:right="199" w:firstLine="612"/>
        <w:spacing w:after="0" w:line="255" w:lineRule="auto"/>
        <w:tabs>
          <w:tab w:leader="none" w:pos="1427" w:val="left"/>
        </w:tabs>
        <w:numPr>
          <w:ilvl w:val="1"/>
          <w:numId w:val="17"/>
        </w:numPr>
        <w:rPr>
          <w:rFonts w:ascii="Arial" w:cs="Arial" w:eastAsia="Arial" w:hAnsi="Arial"/>
          <w:sz w:val="19"/>
          <w:szCs w:val="19"/>
          <w:color w:val="auto"/>
        </w:rPr>
      </w:pPr>
      <w:r>
        <w:rPr>
          <w:rFonts w:ascii="Arial" w:cs="Arial" w:eastAsia="Arial" w:hAnsi="Arial"/>
          <w:sz w:val="19"/>
          <w:szCs w:val="19"/>
          <w:color w:val="auto"/>
        </w:rPr>
        <w:t>Employee acknowledges and agrees that: (1) the retail sale of value-priced/off- price family apparel is an extremely competitive industry; (2) Company has an ongoing strategy for expansion of its business in the United States; (3) Company’s major competitors operate throughout the United States and some internationally; and (4) because of Employee’s position as Senior Vice President, Planning and Allocation he/she will have access to, knowledge of, and be entrusted with, highly sensitive and competitive Confidential Information and Trade Secrets (as defined in subsection</w:t>
      </w:r>
    </w:p>
    <w:p>
      <w:pPr>
        <w:spacing w:after="0" w:line="5" w:lineRule="exact"/>
        <w:rPr>
          <w:sz w:val="20"/>
          <w:szCs w:val="20"/>
          <w:color w:val="auto"/>
        </w:rPr>
      </w:pPr>
    </w:p>
    <w:p>
      <w:pPr>
        <w:ind w:left="200" w:right="219" w:hanging="2"/>
        <w:spacing w:after="0" w:line="252" w:lineRule="auto"/>
        <w:tabs>
          <w:tab w:leader="none" w:pos="628" w:val="left"/>
        </w:tabs>
        <w:numPr>
          <w:ilvl w:val="0"/>
          <w:numId w:val="18"/>
        </w:numPr>
        <w:rPr>
          <w:rFonts w:ascii="Arial" w:cs="Arial" w:eastAsia="Arial" w:hAnsi="Arial"/>
          <w:sz w:val="20"/>
          <w:szCs w:val="20"/>
          <w:color w:val="auto"/>
        </w:rPr>
      </w:pPr>
      <w:r>
        <w:rPr>
          <w:rFonts w:ascii="Arial" w:cs="Arial" w:eastAsia="Arial" w:hAnsi="Arial"/>
          <w:sz w:val="20"/>
          <w:szCs w:val="20"/>
          <w:color w:val="auto"/>
        </w:rPr>
        <w:t>below) of Company, including without limitation information regarding sales margins, purchasing and pricing strategies, marketing strategies, vendors and</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38100</wp:posOffset>
            </wp:positionV>
            <wp:extent cx="558990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5589905"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 w:name="page21"/>
    <w:bookmarkEnd w:id="20"/>
    <w:p>
      <w:pPr>
        <w:jc w:val="both"/>
        <w:ind w:left="200" w:right="199"/>
        <w:spacing w:after="0" w:line="250" w:lineRule="auto"/>
        <w:rPr>
          <w:sz w:val="20"/>
          <w:szCs w:val="20"/>
          <w:color w:val="auto"/>
        </w:rPr>
      </w:pPr>
      <w:r>
        <w:rPr>
          <w:rFonts w:ascii="Arial" w:cs="Arial" w:eastAsia="Arial" w:hAnsi="Arial"/>
          <w:sz w:val="20"/>
          <w:szCs w:val="20"/>
          <w:color w:val="auto"/>
        </w:rPr>
        <w:t>suppliers, plans for expansion and placement of stores, and also specific information about Company’s districts and stores, such as staffing, budgets, profits and the financial success of individual districts and stores, which Company has developed and will continue to develop and the disclosure or use of which would cause Company great and irreparable harm.</w:t>
      </w:r>
    </w:p>
    <w:p>
      <w:pPr>
        <w:spacing w:after="0" w:line="162" w:lineRule="exact"/>
        <w:rPr>
          <w:sz w:val="20"/>
          <w:szCs w:val="20"/>
          <w:color w:val="auto"/>
        </w:rPr>
      </w:pPr>
    </w:p>
    <w:p>
      <w:pPr>
        <w:jc w:val="both"/>
        <w:ind w:left="200" w:right="199" w:firstLine="612"/>
        <w:spacing w:after="0" w:line="256" w:lineRule="auto"/>
        <w:tabs>
          <w:tab w:leader="none" w:pos="1427" w:val="left"/>
        </w:tabs>
        <w:numPr>
          <w:ilvl w:val="1"/>
          <w:numId w:val="19"/>
        </w:numPr>
        <w:rPr>
          <w:rFonts w:ascii="Arial" w:cs="Arial" w:eastAsia="Arial" w:hAnsi="Arial"/>
          <w:sz w:val="19"/>
          <w:szCs w:val="19"/>
          <w:color w:val="auto"/>
        </w:rPr>
      </w:pPr>
      <w:r>
        <w:rPr>
          <w:rFonts w:ascii="Arial" w:cs="Arial" w:eastAsia="Arial" w:hAnsi="Arial"/>
          <w:sz w:val="19"/>
          <w:szCs w:val="19"/>
          <w:color w:val="auto"/>
        </w:rPr>
        <w:t>As used herein,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and includes any and all Company data and information in any form whatsoever (tangible or intangible) which: (1) relates to the business of Company, irrespective of whether the data or information constitutes a “trade secret” (as defined below); (2) is disclosed to Employee or which Employee obtains or becomes aware of as a consequence of Employee’s relationship with Company; (3) has value to Company; and (4) is not generally known to Company’s competitors. “Confidential Information” includes (but is not limited to) technical or sales data, formulas, patterns, compilations, programs, devices, methods, techniques, drawings, processes, financial data and statements, financial plans and strategies, product plans, sales or advertising information and plans, marketing information and plans, pricing information, the identity or lists of employees, vendors and suppliers of Company, and confidential or proprietary information of such employees, vendors and suppliers. “</w:t>
      </w:r>
      <w:r>
        <w:rPr>
          <w:rFonts w:ascii="Arial" w:cs="Arial" w:eastAsia="Arial" w:hAnsi="Arial"/>
          <w:sz w:val="19"/>
          <w:szCs w:val="19"/>
          <w:b w:val="1"/>
          <w:bCs w:val="1"/>
          <w:color w:val="auto"/>
        </w:rPr>
        <w:t>Trade Secret</w:t>
      </w:r>
      <w:r>
        <w:rPr>
          <w:rFonts w:ascii="Arial" w:cs="Arial" w:eastAsia="Arial" w:hAnsi="Arial"/>
          <w:sz w:val="19"/>
          <w:szCs w:val="19"/>
          <w:color w:val="auto"/>
        </w:rPr>
        <w:t>” means any and all information, knowledge or data in any form whatsoever, tangible or intangible, that is considered a trade secret under applicable law. Employee acknowledges and agrees that all Confidential Information and Trade Secrets are and remain the sole and exclusive property of Company.</w:t>
      </w:r>
    </w:p>
    <w:p>
      <w:pPr>
        <w:spacing w:after="0" w:line="178" w:lineRule="exact"/>
        <w:rPr>
          <w:rFonts w:ascii="Arial" w:cs="Arial" w:eastAsia="Arial" w:hAnsi="Arial"/>
          <w:sz w:val="19"/>
          <w:szCs w:val="19"/>
          <w:color w:val="auto"/>
        </w:rPr>
      </w:pPr>
    </w:p>
    <w:p>
      <w:pPr>
        <w:jc w:val="both"/>
        <w:ind w:left="200" w:right="199" w:firstLine="612"/>
        <w:spacing w:after="0" w:line="243" w:lineRule="auto"/>
        <w:tabs>
          <w:tab w:leader="none" w:pos="1427" w:val="left"/>
        </w:tabs>
        <w:numPr>
          <w:ilvl w:val="1"/>
          <w:numId w:val="19"/>
        </w:numPr>
        <w:rPr>
          <w:rFonts w:ascii="Arial" w:cs="Arial" w:eastAsia="Arial" w:hAnsi="Arial"/>
          <w:sz w:val="20"/>
          <w:szCs w:val="20"/>
          <w:color w:val="auto"/>
        </w:rPr>
      </w:pPr>
      <w:r>
        <w:rPr>
          <w:rFonts w:ascii="Arial" w:cs="Arial" w:eastAsia="Arial" w:hAnsi="Arial"/>
          <w:sz w:val="20"/>
          <w:szCs w:val="20"/>
          <w:color w:val="auto"/>
        </w:rPr>
        <w:t>Employee agrees that he/she shall hold all Confidential Information and Trade Secrets in strictest confidence, and that he/she shall protect such Confidential Information and Trade Secrets from disclosure by or to others. Employee further agrees that he/she shall not at any time (except as authorized by Company in connection with Employee’s duties and responsibilities as an employee): (1) disclose, publish, transfer, or communicate Confidential Information or Trade Secrets to any person or entity, other than authorized Company personnel;</w:t>
      </w:r>
    </w:p>
    <w:p>
      <w:pPr>
        <w:jc w:val="both"/>
        <w:ind w:left="200" w:right="199" w:hanging="2"/>
        <w:spacing w:after="0" w:line="242" w:lineRule="auto"/>
        <w:tabs>
          <w:tab w:leader="none" w:pos="5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use or reproduce Confidential Information or Trade Secrets for personal benefit or for any purpose or reason other than furthering the legitimate business interest of Company within the scope of Employee’s duties with Company; or (3) remove or transfer any Confidential Information or Trade Secrets from Company’s premises or systems (by any method or means) except for use in Company’s business and consistent with Employee’s duties with the Company. The foregoing covenants and obligations are in addition to, and do not limit, any common law or statutory rights and/or protections afforded to Company.</w:t>
      </w:r>
    </w:p>
    <w:p>
      <w:pPr>
        <w:spacing w:after="0" w:line="185" w:lineRule="exact"/>
        <w:rPr>
          <w:rFonts w:ascii="Arial" w:cs="Arial" w:eastAsia="Arial" w:hAnsi="Arial"/>
          <w:sz w:val="20"/>
          <w:szCs w:val="20"/>
          <w:color w:val="auto"/>
        </w:rPr>
      </w:pPr>
    </w:p>
    <w:p>
      <w:pPr>
        <w:jc w:val="both"/>
        <w:ind w:left="200" w:right="199" w:firstLine="612"/>
        <w:spacing w:after="0" w:line="243" w:lineRule="auto"/>
        <w:tabs>
          <w:tab w:leader="none" w:pos="1427" w:val="left"/>
        </w:tabs>
        <w:numPr>
          <w:ilvl w:val="1"/>
          <w:numId w:val="20"/>
        </w:numPr>
        <w:rPr>
          <w:rFonts w:ascii="Arial" w:cs="Arial" w:eastAsia="Arial" w:hAnsi="Arial"/>
          <w:sz w:val="20"/>
          <w:szCs w:val="20"/>
          <w:color w:val="auto"/>
        </w:rPr>
      </w:pPr>
      <w:r>
        <w:rPr>
          <w:rFonts w:ascii="Arial" w:cs="Arial" w:eastAsia="Arial" w:hAnsi="Arial"/>
          <w:sz w:val="20"/>
          <w:szCs w:val="20"/>
          <w:color w:val="auto"/>
        </w:rPr>
        <w:t>Employee acknowledges that Company has provided or will provide Employee with Company property, including without limitation, employee handbooks, policy manuals, price lists, financial reports, and vendor and supplier information, among other items. Upon the Separation Date, or upon the request of Company, Employee shall immediately deliver to Company all property belonging to Company, including without limitation, all Confidential Information, Trade Secrets, and any property related to Company, whether in electronic or other format, as well as any copies thereof, then in Employee’s custody, control, or possession. Upon the Separation Date, Employee shall provide Company with a declaration certifying that all Confidential Information and any other Company property have been returned to Company, that Employee has not kept any copies of such items or distributed such items to any third party, and that Employee has otherwise complied with the terms of Section 3 of this Agreement.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-139700</wp:posOffset>
            </wp:positionV>
            <wp:extent cx="558990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5589905" cy="16510"/>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21" w:name="page22"/>
    <w:bookmarkEnd w:id="21"/>
    <w:p>
      <w:pPr>
        <w:jc w:val="both"/>
        <w:ind w:left="200" w:right="199" w:firstLine="612"/>
        <w:spacing w:after="0" w:line="243" w:lineRule="auto"/>
        <w:tabs>
          <w:tab w:leader="none" w:pos="1427" w:val="left"/>
        </w:tabs>
        <w:numPr>
          <w:ilvl w:val="1"/>
          <w:numId w:val="21"/>
        </w:numPr>
        <w:rPr>
          <w:rFonts w:ascii="Arial" w:cs="Arial" w:eastAsia="Arial" w:hAnsi="Arial"/>
          <w:sz w:val="20"/>
          <w:szCs w:val="20"/>
          <w:color w:val="auto"/>
        </w:rPr>
      </w:pPr>
      <w:r>
        <w:rPr>
          <w:rFonts w:ascii="Arial" w:cs="Arial" w:eastAsia="Arial" w:hAnsi="Arial"/>
          <w:sz w:val="20"/>
          <w:szCs w:val="20"/>
          <w:color w:val="auto"/>
        </w:rPr>
        <w:t>Employee shall not be held criminally or civilly liable under any federal or state trade secret law for the disclosure of a trade secret (as defined in section 1839 of title 18, United States Code)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If Employee files a lawsuit for retaliation by the Company for reporting a suspected violation of law, Employee may disclose the trade secret to the attorney of Employee and use the trade secret information in the court proceeding if Employee (A) files any document containing the trade secret under seal; and (B) does not disclose the trade secret, except as permitted by court order.</w:t>
      </w:r>
    </w:p>
    <w:p>
      <w:pPr>
        <w:spacing w:after="0" w:line="175" w:lineRule="exact"/>
        <w:rPr>
          <w:rFonts w:ascii="Arial" w:cs="Arial" w:eastAsia="Arial" w:hAnsi="Arial"/>
          <w:sz w:val="20"/>
          <w:szCs w:val="20"/>
          <w:color w:val="auto"/>
        </w:rPr>
      </w:pPr>
    </w:p>
    <w:p>
      <w:pPr>
        <w:jc w:val="both"/>
        <w:ind w:left="200" w:right="199" w:hanging="2"/>
        <w:spacing w:after="0" w:line="259" w:lineRule="auto"/>
        <w:tabs>
          <w:tab w:leader="none" w:pos="814"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Covenant Not to Compete</w:t>
      </w:r>
      <w:r>
        <w:rPr>
          <w:rFonts w:ascii="Arial" w:cs="Arial" w:eastAsia="Arial" w:hAnsi="Arial"/>
          <w:sz w:val="19"/>
          <w:szCs w:val="19"/>
          <w:color w:val="auto"/>
        </w:rPr>
        <w:t>. Employee acknowledges and agrees that Company has invested a great deal of time and money in developing relationships with its employees, customers, and “Merchandise Vendors” (as defined below). Employee further acknowledges and agrees that in rendering services to Company, Employee has been, will be and will continue to be exposed to and learn much information about Company’s business, including valuable Confidential Information and Trade Secrets, the Company’s employees, and the Company’s “Merchandise Vendors,” to which Employee would not have access if not for Employee’s employment with Company and which it would be unfair to disclose to others, or to use to Company’s disadvantage.</w:t>
      </w:r>
    </w:p>
    <w:p>
      <w:pPr>
        <w:spacing w:after="0" w:line="171" w:lineRule="exact"/>
        <w:rPr>
          <w:sz w:val="20"/>
          <w:szCs w:val="20"/>
          <w:color w:val="auto"/>
        </w:rPr>
      </w:pPr>
    </w:p>
    <w:p>
      <w:pPr>
        <w:jc w:val="both"/>
        <w:ind w:left="200" w:right="199"/>
        <w:spacing w:after="0" w:line="259" w:lineRule="auto"/>
        <w:rPr>
          <w:sz w:val="20"/>
          <w:szCs w:val="20"/>
          <w:color w:val="auto"/>
        </w:rPr>
      </w:pPr>
      <w:r>
        <w:rPr>
          <w:rFonts w:ascii="Arial" w:cs="Arial" w:eastAsia="Arial" w:hAnsi="Arial"/>
          <w:sz w:val="19"/>
          <w:szCs w:val="19"/>
          <w:color w:val="auto"/>
        </w:rPr>
        <w:t>Employee acknowledges and agrees that the restrictions contained in this Agreement are necessary and reasonable to protect Company’s legitimate business interests in its Trade Secrets, valuable Confidential Information and relationships and goodwill with its employees, customers, and “Merchandising Vendors.” Employee further acknowledges that Employee’s skills, education and training qualify Employee to work and obtain employment which does not violate this Agreement and that the restrictions in this Agreement have been crafted as narrowly as reasonably possible to protect Company’s legitimate business interests in its Trade Secrets, valuable Confidential Information and relationships and goodwill with its employees, customers, and “Merchandising Vendors.”</w:t>
      </w:r>
    </w:p>
    <w:p>
      <w:pPr>
        <w:spacing w:after="0" w:line="171" w:lineRule="exact"/>
        <w:rPr>
          <w:sz w:val="20"/>
          <w:szCs w:val="20"/>
          <w:color w:val="auto"/>
        </w:rPr>
      </w:pPr>
    </w:p>
    <w:p>
      <w:pPr>
        <w:jc w:val="both"/>
        <w:ind w:left="200" w:right="199"/>
        <w:spacing w:after="0" w:line="242" w:lineRule="auto"/>
        <w:rPr>
          <w:sz w:val="20"/>
          <w:szCs w:val="20"/>
          <w:color w:val="auto"/>
        </w:rPr>
      </w:pPr>
      <w:r>
        <w:rPr>
          <w:rFonts w:ascii="Arial" w:cs="Arial" w:eastAsia="Arial" w:hAnsi="Arial"/>
          <w:sz w:val="20"/>
          <w:szCs w:val="20"/>
          <w:color w:val="auto"/>
        </w:rPr>
        <w:t>In light of the foregoing, Employee agrees that he/she will not, at any point during his/her employment with Company, work for or engage or participate in any business, enterprise, or endeavor that in any way competes with any aspect of Company’s business or that otherwise conflicts with Company’s interests. In addition, for a period of one (1) year following the Separation Date, and regardless of the reason for separation, Employee shall not, within any geographic area in which Company does business at any time during Employee’s employment with Company: (a) become employed by or work for a “Competitor” (as defined below) in any position or capacity involving duties and/or responsibilities which are the same as or substantially similar to any of the duties and/or responsibilities Employee had with and/or performed for Company; or (b) perform or provide any services which are the same as or substantially similar to any of the services which Employee performed or provided for the Company, for or on behalf of any Competitor. For purposes of this Section 4, the term “</w:t>
      </w:r>
      <w:r>
        <w:rPr>
          <w:rFonts w:ascii="Arial" w:cs="Arial" w:eastAsia="Arial" w:hAnsi="Arial"/>
          <w:sz w:val="20"/>
          <w:szCs w:val="20"/>
          <w:b w:val="1"/>
          <w:bCs w:val="1"/>
          <w:color w:val="auto"/>
        </w:rPr>
        <w:t>Competitor</w:t>
      </w:r>
      <w:r>
        <w:rPr>
          <w:rFonts w:ascii="Arial" w:cs="Arial" w:eastAsia="Arial" w:hAnsi="Arial"/>
          <w:sz w:val="20"/>
          <w:szCs w:val="20"/>
          <w:color w:val="auto"/>
        </w:rPr>
        <w:t>” shall mean only the following businesses, commonly known as: Cato, TJX (including without limitation TJMAXX and Marshalls), Burlington Stores, Gabe’s/Rugged Wearhouse, and Ross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426720</wp:posOffset>
            </wp:positionV>
            <wp:extent cx="558990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558990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9019"/>
          </w:cols>
          <w:pgMar w:left="1440" w:top="374" w:right="1440" w:bottom="1440" w:gutter="0" w:footer="0" w:header="0"/>
        </w:sectPr>
      </w:pPr>
    </w:p>
    <w:bookmarkStart w:id="22" w:name="page23"/>
    <w:bookmarkEnd w:id="22"/>
    <w:p>
      <w:pPr>
        <w:jc w:val="both"/>
        <w:ind w:left="200" w:right="199" w:hanging="2"/>
        <w:spacing w:after="0" w:line="255" w:lineRule="auto"/>
        <w:tabs>
          <w:tab w:leader="none" w:pos="814"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Covenant Not to Solicit</w:t>
      </w:r>
      <w:r>
        <w:rPr>
          <w:rFonts w:ascii="Arial" w:cs="Arial" w:eastAsia="Arial" w:hAnsi="Arial"/>
          <w:sz w:val="19"/>
          <w:szCs w:val="19"/>
          <w:color w:val="auto"/>
        </w:rPr>
        <w:t>. During Employee’s employment with Company, and for a period of eighteen (18) months following the Separation Date, and regardless of the reason for separation, Employee agrees not to solicit any “Merchandise Vendors” (as defined below) for the purpose of obtaining merchandise and/or inventory for or on behalf of any “Competitor” (as defined in Section 4 of this Agreement). As used herein, “</w:t>
      </w:r>
      <w:r>
        <w:rPr>
          <w:rFonts w:ascii="Arial" w:cs="Arial" w:eastAsia="Arial" w:hAnsi="Arial"/>
          <w:sz w:val="19"/>
          <w:szCs w:val="19"/>
          <w:b w:val="1"/>
          <w:bCs w:val="1"/>
          <w:color w:val="auto"/>
        </w:rPr>
        <w:t>Merchandise Vendors</w:t>
      </w:r>
      <w:r>
        <w:rPr>
          <w:rFonts w:ascii="Arial" w:cs="Arial" w:eastAsia="Arial" w:hAnsi="Arial"/>
          <w:sz w:val="19"/>
          <w:szCs w:val="19"/>
          <w:color w:val="auto"/>
        </w:rPr>
        <w:t>” means and includes any person or entity who/that has been a vendor or supplier of merchandise and/or inventory to Company during the eighteen (18) months immediately preceding the Separation Date or to whom/which Company is actively soliciting for the provision of merchandise and/or inventory, and with whom/which Employee had “material contact.” For purposes of this agreement, “</w:t>
      </w:r>
      <w:r>
        <w:rPr>
          <w:rFonts w:ascii="Arial" w:cs="Arial" w:eastAsia="Arial" w:hAnsi="Arial"/>
          <w:sz w:val="19"/>
          <w:szCs w:val="19"/>
          <w:b w:val="1"/>
          <w:bCs w:val="1"/>
          <w:color w:val="auto"/>
        </w:rPr>
        <w:t>material contact</w:t>
      </w:r>
      <w:r>
        <w:rPr>
          <w:rFonts w:ascii="Arial" w:cs="Arial" w:eastAsia="Arial" w:hAnsi="Arial"/>
          <w:sz w:val="19"/>
          <w:szCs w:val="19"/>
          <w:color w:val="auto"/>
        </w:rPr>
        <w:t>” means contact between Employee and an existing or prospective Merchandise Vendor: (a) with whom Employee dealt on behalf of Company within two years prior to the date of Employee’s termination; (b) whose dealings with Company were coordinated or supervised by Employee within two years prior to the date of Employee’s termination; (c) about whom Employee obtained Confidential Information in the ordinary course of business as a result of Employee’s association with Company within two years prior to the date of Employee’s termination; or, (d) who provides merchandise and/or inventory to Company, the provision of which results or resulted in compensation, commissions, or earnings for Employee within two years prior to the date of Employee’s termination.</w:t>
      </w:r>
    </w:p>
    <w:p>
      <w:pPr>
        <w:spacing w:after="0" w:line="168" w:lineRule="exact"/>
        <w:rPr>
          <w:sz w:val="20"/>
          <w:szCs w:val="20"/>
          <w:color w:val="auto"/>
        </w:rPr>
      </w:pPr>
    </w:p>
    <w:p>
      <w:pPr>
        <w:jc w:val="both"/>
        <w:ind w:left="200" w:right="199"/>
        <w:spacing w:after="0" w:line="247" w:lineRule="auto"/>
        <w:rPr>
          <w:sz w:val="20"/>
          <w:szCs w:val="20"/>
          <w:color w:val="auto"/>
        </w:rPr>
      </w:pPr>
      <w:r>
        <w:rPr>
          <w:rFonts w:ascii="Arial" w:cs="Arial" w:eastAsia="Arial" w:hAnsi="Arial"/>
          <w:sz w:val="20"/>
          <w:szCs w:val="20"/>
          <w:color w:val="auto"/>
        </w:rPr>
        <w:t>Employee specifically acknowledges and agrees that, as Senior Vice President, Planning and Allocation, his/her duties include, without limitation, establishing purchasing and pricing strategies and policies, managing sales margins, involvement in establishing and maintaining vendor relationships, and having contact with and confidential and/or proprietary information regarding Merchandise Vendors.</w:t>
      </w:r>
    </w:p>
    <w:p>
      <w:pPr>
        <w:spacing w:after="0" w:line="184" w:lineRule="exact"/>
        <w:rPr>
          <w:sz w:val="20"/>
          <w:szCs w:val="20"/>
          <w:color w:val="auto"/>
        </w:rPr>
      </w:pPr>
    </w:p>
    <w:p>
      <w:pPr>
        <w:jc w:val="both"/>
        <w:ind w:left="200" w:right="199" w:hanging="2"/>
        <w:spacing w:after="0" w:line="257" w:lineRule="auto"/>
        <w:tabs>
          <w:tab w:leader="none" w:pos="81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Covenant Not to Recruit Personnel</w:t>
      </w:r>
      <w:r>
        <w:rPr>
          <w:rFonts w:ascii="Arial" w:cs="Arial" w:eastAsia="Arial" w:hAnsi="Arial"/>
          <w:sz w:val="19"/>
          <w:szCs w:val="19"/>
          <w:color w:val="auto"/>
        </w:rPr>
        <w:t>. During Employee’s employment with Company, and for a period of two (2) years following the Separation Date, and regardless of the reason for separation, Employee will not: (a) recruit or solicit to hire or assist others in recruiting or soliciting to hire, any employee or independent contractor of Company; or (b) cause or assist others in causing any</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employee or independent contractor of Company to terminate his/her relationship with Company.</w:t>
      </w:r>
    </w:p>
    <w:p>
      <w:pPr>
        <w:spacing w:after="0" w:line="199" w:lineRule="exact"/>
        <w:rPr>
          <w:sz w:val="20"/>
          <w:szCs w:val="20"/>
          <w:color w:val="auto"/>
        </w:rPr>
      </w:pPr>
    </w:p>
    <w:p>
      <w:pPr>
        <w:jc w:val="both"/>
        <w:ind w:left="200" w:right="199" w:hanging="2"/>
        <w:spacing w:after="0" w:line="256" w:lineRule="auto"/>
        <w:tabs>
          <w:tab w:leader="none" w:pos="814"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held invalid, illegal, or otherwise unenforceable, in whole or in part, the remaining provisions, and any partially enforceable provisions to the extent enforceable, shall be binding and remain in full force and effect. Further, each particular prohibition or restriction set forth in any Section of this Agreement shall be deemed a severable unit, and if any court of competent jurisdiction determines that any portion of such prohibition or restriction is against the policy of the law in any respect, but such restraint, considered as a whole, is not so clearly unreasonable and overreaching in its terms as to be unconscionable, the court shall enforce so much of such restraint as is determined to be reasonably necessary to protect the legitimate interests of Company. Employee and Company expressly agree that, should any court of competent jurisdiction find or determine that any of the covenants contained herein are overly-broad or otherwise unenforceable, the court may “blue- pencil,” modify, and/or reform any such covenant (in whole or in part) so as to cure the over- breadth or to otherwise render the covenant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420370</wp:posOffset>
            </wp:positionV>
            <wp:extent cx="558990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558990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9019"/>
          </w:cols>
          <w:pgMar w:left="1440" w:top="374" w:right="1440" w:bottom="1440" w:gutter="0" w:footer="0" w:header="0"/>
        </w:sectPr>
      </w:pPr>
    </w:p>
    <w:bookmarkStart w:id="23" w:name="page24"/>
    <w:bookmarkEnd w:id="23"/>
    <w:p>
      <w:pPr>
        <w:jc w:val="both"/>
        <w:ind w:left="200" w:right="199" w:hanging="2"/>
        <w:spacing w:after="0" w:line="255" w:lineRule="auto"/>
        <w:tabs>
          <w:tab w:leader="none" w:pos="814"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Survival of Covenants</w:t>
      </w:r>
      <w:r>
        <w:rPr>
          <w:rFonts w:ascii="Arial" w:cs="Arial" w:eastAsia="Arial" w:hAnsi="Arial"/>
          <w:sz w:val="20"/>
          <w:szCs w:val="20"/>
          <w:color w:val="auto"/>
        </w:rPr>
        <w:t>. All rights and covenants contained in Sections 3, 4, 5, and 6 of this Agreement, and all remedies relating thereto, shall survive the termination of this Agreement for any reason.</w:t>
      </w:r>
    </w:p>
    <w:p>
      <w:pPr>
        <w:spacing w:after="0" w:line="161" w:lineRule="exact"/>
        <w:rPr>
          <w:rFonts w:ascii="Arial" w:cs="Arial" w:eastAsia="Arial" w:hAnsi="Arial"/>
          <w:sz w:val="20"/>
          <w:szCs w:val="20"/>
          <w:color w:val="auto"/>
        </w:rPr>
      </w:pPr>
    </w:p>
    <w:p>
      <w:pPr>
        <w:jc w:val="both"/>
        <w:ind w:left="200" w:right="219" w:hanging="2"/>
        <w:spacing w:after="0" w:line="247" w:lineRule="auto"/>
        <w:tabs>
          <w:tab w:leader="none" w:pos="814"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The covenants, terms, and provisions set forth in this Agreement shall inure to the benefit of and be enforceable by Company and its successors, assigns, and successors-in-interest, including, without limitation, any corporation, partnership, or other entity with which Company may be merged or by which it may be acquired. Employee may not assign Employee’s rights or obligations under this Agreement to any other party.</w:t>
      </w:r>
    </w:p>
    <w:p>
      <w:pPr>
        <w:spacing w:after="0" w:line="183" w:lineRule="exact"/>
        <w:rPr>
          <w:rFonts w:ascii="Arial" w:cs="Arial" w:eastAsia="Arial" w:hAnsi="Arial"/>
          <w:sz w:val="20"/>
          <w:szCs w:val="20"/>
          <w:color w:val="auto"/>
        </w:rPr>
      </w:pPr>
    </w:p>
    <w:p>
      <w:pPr>
        <w:jc w:val="both"/>
        <w:ind w:left="200" w:right="219" w:hanging="2"/>
        <w:spacing w:after="0" w:line="255" w:lineRule="auto"/>
        <w:tabs>
          <w:tab w:leader="none" w:pos="814"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All matters affecting this Agreement, including the validity thereof, are to be subject to, and interpreted and construed in accordance with, the laws of the State of Georgia applicable to contracts executed in and to be performed in that State.</w:t>
      </w:r>
    </w:p>
    <w:p>
      <w:pPr>
        <w:spacing w:after="0" w:line="174" w:lineRule="exact"/>
        <w:rPr>
          <w:rFonts w:ascii="Arial" w:cs="Arial" w:eastAsia="Arial" w:hAnsi="Arial"/>
          <w:sz w:val="20"/>
          <w:szCs w:val="20"/>
          <w:color w:val="auto"/>
        </w:rPr>
      </w:pPr>
    </w:p>
    <w:p>
      <w:pPr>
        <w:jc w:val="both"/>
        <w:ind w:left="200" w:right="199" w:hanging="2"/>
        <w:spacing w:after="0" w:line="246" w:lineRule="auto"/>
        <w:tabs>
          <w:tab w:leader="none" w:pos="814"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No Interference with Rights</w:t>
      </w:r>
      <w:r>
        <w:rPr>
          <w:rFonts w:ascii="Arial" w:cs="Arial" w:eastAsia="Arial" w:hAnsi="Arial"/>
          <w:sz w:val="20"/>
          <w:szCs w:val="20"/>
          <w:color w:val="auto"/>
        </w:rPr>
        <w:t>. Employee understands, agrees and acknowledges that nothing contained in this Agreement will prevent Employee from filing a charge or complaint with, reporting possible violations of any law or regulation, making disclosures to, and/or participating in any investigation or proceeding conducted by, the National Labor Relations Board, Equal Employment Opportunity Commission, the Securities and Exchange Commission, and/or any governmental authority charged with the enforcement of any laws.</w:t>
      </w:r>
    </w:p>
    <w:p>
      <w:pPr>
        <w:spacing w:after="0" w:line="169" w:lineRule="exact"/>
        <w:rPr>
          <w:rFonts w:ascii="Arial" w:cs="Arial" w:eastAsia="Arial" w:hAnsi="Arial"/>
          <w:sz w:val="20"/>
          <w:szCs w:val="20"/>
          <w:color w:val="auto"/>
        </w:rPr>
      </w:pPr>
    </w:p>
    <w:p>
      <w:pPr>
        <w:ind w:left="800" w:hanging="610"/>
        <w:spacing w:after="0"/>
        <w:tabs>
          <w:tab w:leader="none" w:pos="80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Acknowledgment of Reasonableness/Remedies/Enforcement</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left="200" w:right="199" w:firstLine="612"/>
        <w:spacing w:after="0" w:line="247" w:lineRule="auto"/>
        <w:tabs>
          <w:tab w:leader="none" w:pos="1427" w:val="left"/>
        </w:tabs>
        <w:numPr>
          <w:ilvl w:val="1"/>
          <w:numId w:val="26"/>
        </w:numPr>
        <w:rPr>
          <w:rFonts w:ascii="Arial" w:cs="Arial" w:eastAsia="Arial" w:hAnsi="Arial"/>
          <w:sz w:val="20"/>
          <w:szCs w:val="20"/>
          <w:color w:val="auto"/>
        </w:rPr>
      </w:pPr>
      <w:r>
        <w:rPr>
          <w:rFonts w:ascii="Arial" w:cs="Arial" w:eastAsia="Arial" w:hAnsi="Arial"/>
          <w:sz w:val="20"/>
          <w:szCs w:val="20"/>
          <w:color w:val="auto"/>
        </w:rPr>
        <w:t>Employee acknowledges that: (1) Company has valid interests to protect pursuant to Sections 3, 4, 5, and 6 of this Agreement; (2) the breach of the provisions of Sections 3, 4, 5, or 6 of this Agreement would result in irreparable injury and permanent damage to Company; and (3) such restrictions are reasonable and necessary to protect the interests of Company, are critical to the success of Company’s business, and do not cause undue hardship on Employee.</w:t>
      </w:r>
    </w:p>
    <w:p>
      <w:pPr>
        <w:spacing w:after="0" w:line="170" w:lineRule="exact"/>
        <w:rPr>
          <w:rFonts w:ascii="Arial" w:cs="Arial" w:eastAsia="Arial" w:hAnsi="Arial"/>
          <w:sz w:val="20"/>
          <w:szCs w:val="20"/>
          <w:color w:val="auto"/>
        </w:rPr>
      </w:pPr>
    </w:p>
    <w:p>
      <w:pPr>
        <w:jc w:val="both"/>
        <w:ind w:left="200" w:right="199" w:firstLine="612"/>
        <w:spacing w:after="0" w:line="243" w:lineRule="auto"/>
        <w:tabs>
          <w:tab w:leader="none" w:pos="1427" w:val="left"/>
        </w:tabs>
        <w:numPr>
          <w:ilvl w:val="1"/>
          <w:numId w:val="26"/>
        </w:numPr>
        <w:rPr>
          <w:rFonts w:ascii="Arial" w:cs="Arial" w:eastAsia="Arial" w:hAnsi="Arial"/>
          <w:sz w:val="20"/>
          <w:szCs w:val="20"/>
          <w:color w:val="auto"/>
        </w:rPr>
      </w:pPr>
      <w:r>
        <w:rPr>
          <w:rFonts w:ascii="Arial" w:cs="Arial" w:eastAsia="Arial" w:hAnsi="Arial"/>
          <w:sz w:val="20"/>
          <w:szCs w:val="20"/>
          <w:color w:val="auto"/>
        </w:rPr>
        <w:t>Employee agrees that determining damages in the event of a breach of Sections 3, 4, 5, or 6 by Employee would be difficult and that money damages alone would be an inadequate remedy for the injuries and damages which would be suffered by Company from such breach. Therefore, Employee agrees that Company shall be entitled (in addition to any other remedies it may have under this Agreement, at law, or otherwise) to immediate injunctive and other equitable relief to prevent or curtail any such breach or threatened breach by Employee. Employee and Company waive any requirement that a bond or any other security be posted. Nothing in this Agreement shall prohibit Company from seeking or recovering any legal or monetary damages to which it may be entitled if Employee breaches any provision in this Agreement.</w:t>
      </w:r>
    </w:p>
    <w:p>
      <w:pPr>
        <w:spacing w:after="0" w:line="191" w:lineRule="exact"/>
        <w:rPr>
          <w:rFonts w:ascii="Arial" w:cs="Arial" w:eastAsia="Arial" w:hAnsi="Arial"/>
          <w:sz w:val="20"/>
          <w:szCs w:val="20"/>
          <w:color w:val="auto"/>
        </w:rPr>
      </w:pPr>
    </w:p>
    <w:p>
      <w:pPr>
        <w:jc w:val="both"/>
        <w:ind w:left="200" w:right="199" w:firstLine="612"/>
        <w:spacing w:after="0" w:line="255" w:lineRule="auto"/>
        <w:tabs>
          <w:tab w:leader="none" w:pos="1427" w:val="left"/>
        </w:tabs>
        <w:numPr>
          <w:ilvl w:val="1"/>
          <w:numId w:val="26"/>
        </w:numPr>
        <w:rPr>
          <w:rFonts w:ascii="Arial" w:cs="Arial" w:eastAsia="Arial" w:hAnsi="Arial"/>
          <w:sz w:val="20"/>
          <w:szCs w:val="20"/>
          <w:color w:val="auto"/>
        </w:rPr>
      </w:pPr>
      <w:r>
        <w:rPr>
          <w:rFonts w:ascii="Arial" w:cs="Arial" w:eastAsia="Arial" w:hAnsi="Arial"/>
          <w:sz w:val="20"/>
          <w:szCs w:val="20"/>
          <w:color w:val="auto"/>
        </w:rPr>
        <w:t>In the event Employee breaches this Agreement, Employee shall be liable to Company for all costs of enforcement, including attorneys’ fees and court costs, in addition to all other damages and redress available to Company in equity or in law.</w:t>
      </w:r>
    </w:p>
    <w:p>
      <w:pPr>
        <w:spacing w:after="0" w:line="174" w:lineRule="exact"/>
        <w:rPr>
          <w:rFonts w:ascii="Arial" w:cs="Arial" w:eastAsia="Arial" w:hAnsi="Arial"/>
          <w:sz w:val="20"/>
          <w:szCs w:val="20"/>
          <w:color w:val="auto"/>
        </w:rPr>
      </w:pPr>
    </w:p>
    <w:p>
      <w:pPr>
        <w:jc w:val="both"/>
        <w:ind w:left="200" w:right="219" w:hanging="2"/>
        <w:spacing w:after="0" w:line="267" w:lineRule="auto"/>
        <w:tabs>
          <w:tab w:leader="none" w:pos="814"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This Agreement constitutes the entire agreement between the parties and supersedes any and all prior contracts, agreements, or understandings between the parties which may have been entered into by Company and Employee relating to the subject matter hereof (including, without limitation, the Prior Confidentiality Agreement), except for any severance</w:t>
      </w: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86360</wp:posOffset>
            </wp:positionV>
            <wp:extent cx="558990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589905" cy="16510"/>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24" w:name="page25"/>
    <w:bookmarkEnd w:id="24"/>
    <w:p>
      <w:pPr>
        <w:jc w:val="both"/>
        <w:ind w:left="200" w:right="219"/>
        <w:spacing w:after="0" w:line="244" w:lineRule="auto"/>
        <w:rPr>
          <w:sz w:val="20"/>
          <w:szCs w:val="20"/>
          <w:color w:val="auto"/>
        </w:rPr>
      </w:pPr>
      <w:r>
        <w:rPr>
          <w:rFonts w:ascii="Arial" w:cs="Arial" w:eastAsia="Arial" w:hAnsi="Arial"/>
          <w:sz w:val="20"/>
          <w:szCs w:val="20"/>
          <w:color w:val="auto"/>
        </w:rPr>
        <w:t>agreements or certain restricted stock award and stock option agreements, which are to remain in full force and effect. This Agreement may not be amended or modified in any manner except by an instrument in writing signed by both Company and Employee.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170" w:lineRule="exact"/>
        <w:rPr>
          <w:sz w:val="20"/>
          <w:szCs w:val="20"/>
          <w:color w:val="auto"/>
        </w:rPr>
      </w:pPr>
    </w:p>
    <w:p>
      <w:pPr>
        <w:jc w:val="both"/>
        <w:ind w:left="200" w:right="199"/>
        <w:spacing w:after="0" w:line="251" w:lineRule="auto"/>
        <w:rPr>
          <w:sz w:val="20"/>
          <w:szCs w:val="20"/>
          <w:color w:val="auto"/>
        </w:rPr>
      </w:pPr>
      <w:r>
        <w:rPr>
          <w:rFonts w:ascii="Arial" w:cs="Arial" w:eastAsia="Arial" w:hAnsi="Arial"/>
          <w:sz w:val="20"/>
          <w:szCs w:val="20"/>
          <w:b w:val="1"/>
          <w:bCs w:val="1"/>
          <w:color w:val="auto"/>
        </w:rPr>
        <w:t>EMPLOYEE ACKNOWLEDGES AND AGREES THAT HE/SHE HAS CAREFULLY READ THIS AGREEMENT AND KNOWS AND UNDERSTANDS ITS CONTENTS, THAT HE/SHE ENTERS INTO THIS AGREEMENT KNOWINGLY AND VOLUNTARILY, AND THAT HE/SHE INDICATES HIS/HER CONSENT BY SIGNING THIS FINAL PAGE.</w:t>
      </w:r>
    </w:p>
    <w:p>
      <w:pPr>
        <w:spacing w:after="0" w:line="192"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(SIGNATURES TO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443230</wp:posOffset>
            </wp:positionV>
            <wp:extent cx="558990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589905" cy="2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9019"/>
          </w:cols>
          <w:pgMar w:left="1440" w:top="374" w:right="1440" w:bottom="1440" w:gutter="0" w:footer="0" w:header="0"/>
        </w:sectPr>
      </w:pPr>
    </w:p>
    <w:bookmarkStart w:id="25" w:name="page26"/>
    <w:bookmarkEnd w:id="25"/>
    <w:p>
      <w:pPr>
        <w:ind w:left="200" w:right="339" w:firstLine="612"/>
        <w:spacing w:after="0" w:line="271" w:lineRule="auto"/>
        <w:rPr>
          <w:sz w:val="20"/>
          <w:szCs w:val="20"/>
          <w:color w:val="auto"/>
        </w:rPr>
      </w:pPr>
      <w:r>
        <w:rPr>
          <w:rFonts w:ascii="Arial" w:cs="Arial" w:eastAsia="Arial" w:hAnsi="Arial"/>
          <w:sz w:val="20"/>
          <w:szCs w:val="20"/>
          <w:color w:val="auto"/>
        </w:rPr>
        <w:t>IN WITNESS WHEREOF, the parties hereto have executed this Agreement under seal as of the day and year set forth below.</w:t>
      </w:r>
    </w:p>
    <w:p>
      <w:pPr>
        <w:spacing w:after="0" w:line="337" w:lineRule="exact"/>
        <w:rPr>
          <w:sz w:val="20"/>
          <w:szCs w:val="20"/>
          <w:color w:val="auto"/>
        </w:rPr>
      </w:pPr>
    </w:p>
    <w:tbl>
      <w:tblPr>
        <w:tblLayout w:type="fixed"/>
        <w:tblInd w:w="100" w:type="dxa"/>
        <w:tblCellMar>
          <w:top w:w="0" w:type="dxa"/>
          <w:left w:w="0" w:type="dxa"/>
          <w:bottom w:w="0" w:type="dxa"/>
          <w:right w:w="0" w:type="dxa"/>
        </w:tblCellMar>
      </w:tblPr>
      <w:tr>
        <w:trPr>
          <w:trHeight w:val="264"/>
        </w:trPr>
        <w:tc>
          <w:tcPr>
            <w:tcW w:w="3900" w:type="dxa"/>
            <w:vAlign w:val="bottom"/>
            <w:gridSpan w:val="5"/>
          </w:tcPr>
          <w:p>
            <w:pPr>
              <w:ind w:left="100"/>
              <w:spacing w:after="0"/>
              <w:rPr>
                <w:sz w:val="20"/>
                <w:szCs w:val="20"/>
                <w:color w:val="auto"/>
              </w:rPr>
            </w:pPr>
            <w:r>
              <w:rPr>
                <w:rFonts w:ascii="Arial" w:cs="Arial" w:eastAsia="Arial" w:hAnsi="Arial"/>
                <w:sz w:val="20"/>
                <w:szCs w:val="20"/>
                <w:color w:val="auto"/>
              </w:rPr>
              <w:t>Citi Trends, Inc.</w:t>
            </w:r>
          </w:p>
        </w:tc>
        <w:tc>
          <w:tcPr>
            <w:tcW w:w="600" w:type="dxa"/>
            <w:vAlign w:val="bottom"/>
          </w:tcPr>
          <w:p>
            <w:pPr>
              <w:spacing w:after="0"/>
              <w:rPr>
                <w:sz w:val="22"/>
                <w:szCs w:val="22"/>
                <w:color w:val="auto"/>
              </w:rPr>
            </w:pPr>
          </w:p>
        </w:tc>
        <w:tc>
          <w:tcPr>
            <w:tcW w:w="4340" w:type="dxa"/>
            <w:vAlign w:val="bottom"/>
            <w:gridSpan w:val="4"/>
          </w:tcPr>
          <w:p>
            <w:pPr>
              <w:ind w:left="60"/>
              <w:spacing w:after="0"/>
              <w:rPr>
                <w:sz w:val="20"/>
                <w:szCs w:val="20"/>
                <w:color w:val="auto"/>
              </w:rPr>
            </w:pPr>
            <w:r>
              <w:rPr>
                <w:rFonts w:ascii="Arial" w:cs="Arial" w:eastAsia="Arial" w:hAnsi="Arial"/>
                <w:sz w:val="20"/>
                <w:szCs w:val="20"/>
                <w:color w:val="auto"/>
              </w:rPr>
              <w:t>/s/ Jessica Berkowitz</w:t>
            </w: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940" w:type="dxa"/>
            <w:vAlign w:val="bottom"/>
            <w:gridSpan w:val="5"/>
          </w:tcPr>
          <w:p>
            <w:pPr>
              <w:ind w:left="600"/>
              <w:spacing w:after="0"/>
              <w:rPr>
                <w:sz w:val="20"/>
                <w:szCs w:val="20"/>
                <w:color w:val="auto"/>
              </w:rPr>
            </w:pPr>
            <w:r>
              <w:rPr>
                <w:rFonts w:ascii="Arial" w:cs="Arial" w:eastAsia="Arial" w:hAnsi="Arial"/>
                <w:sz w:val="20"/>
                <w:szCs w:val="20"/>
                <w:color w:val="auto"/>
              </w:rPr>
              <w:t>Employee Signature</w:t>
            </w:r>
          </w:p>
        </w:tc>
        <w:tc>
          <w:tcPr>
            <w:tcW w:w="0" w:type="dxa"/>
            <w:vAlign w:val="bottom"/>
          </w:tcPr>
          <w:p>
            <w:pPr>
              <w:spacing w:after="0"/>
              <w:rPr>
                <w:sz w:val="1"/>
                <w:szCs w:val="1"/>
                <w:color w:val="auto"/>
              </w:rPr>
            </w:pPr>
          </w:p>
        </w:tc>
      </w:tr>
      <w:tr>
        <w:trPr>
          <w:trHeight w:val="443"/>
        </w:trPr>
        <w:tc>
          <w:tcPr>
            <w:tcW w:w="3900" w:type="dxa"/>
            <w:vAlign w:val="bottom"/>
            <w:gridSpan w:val="5"/>
          </w:tcPr>
          <w:p>
            <w:pPr>
              <w:ind w:left="100"/>
              <w:spacing w:after="0"/>
              <w:rPr>
                <w:sz w:val="20"/>
                <w:szCs w:val="20"/>
                <w:color w:val="auto"/>
              </w:rPr>
            </w:pPr>
            <w:r>
              <w:rPr>
                <w:rFonts w:ascii="Arial" w:cs="Arial" w:eastAsia="Arial" w:hAnsi="Arial"/>
                <w:sz w:val="20"/>
                <w:szCs w:val="20"/>
                <w:color w:val="auto"/>
              </w:rPr>
              <w:t>By: /s/ David N. Makuen</w:t>
            </w:r>
          </w:p>
        </w:tc>
        <w:tc>
          <w:tcPr>
            <w:tcW w:w="4940" w:type="dxa"/>
            <w:vAlign w:val="bottom"/>
            <w:gridSpan w:val="5"/>
            <w:vMerge w:val="restart"/>
          </w:tcPr>
          <w:p>
            <w:pPr>
              <w:ind w:left="600"/>
              <w:spacing w:after="0"/>
              <w:rPr>
                <w:sz w:val="20"/>
                <w:szCs w:val="20"/>
                <w:color w:val="auto"/>
              </w:rPr>
            </w:pPr>
            <w:r>
              <w:rPr>
                <w:rFonts w:ascii="Arial" w:cs="Arial" w:eastAsia="Arial" w:hAnsi="Arial"/>
                <w:sz w:val="20"/>
                <w:szCs w:val="20"/>
                <w:color w:val="auto"/>
              </w:rPr>
              <w:t>Date: 4/6/21</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740" w:type="dxa"/>
            <w:vAlign w:val="bottom"/>
          </w:tcPr>
          <w:p>
            <w:pPr>
              <w:spacing w:after="0"/>
              <w:rPr>
                <w:sz w:val="17"/>
                <w:szCs w:val="17"/>
                <w:color w:val="auto"/>
              </w:rPr>
            </w:pPr>
          </w:p>
        </w:tc>
        <w:tc>
          <w:tcPr>
            <w:tcW w:w="494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480" w:type="dxa"/>
            <w:vAlign w:val="bottom"/>
            <w:gridSpan w:val="2"/>
            <w:shd w:val="clear" w:color="auto" w:fill="000000"/>
          </w:tcPr>
          <w:p>
            <w:pPr>
              <w:spacing w:after="0"/>
              <w:rPr>
                <w:sz w:val="2"/>
                <w:szCs w:val="2"/>
                <w:color w:val="auto"/>
              </w:rPr>
            </w:pPr>
          </w:p>
        </w:tc>
        <w:tc>
          <w:tcPr>
            <w:tcW w:w="3320" w:type="dxa"/>
            <w:vAlign w:val="bottom"/>
            <w:tcBorders>
              <w:right w:val="single" w:sz="8" w:color="auto"/>
            </w:tcBorders>
            <w:gridSpan w:val="2"/>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900" w:type="dxa"/>
            <w:vAlign w:val="bottom"/>
            <w:gridSpan w:val="5"/>
          </w:tcPr>
          <w:p>
            <w:pPr>
              <w:ind w:left="100"/>
              <w:spacing w:after="0"/>
              <w:rPr>
                <w:sz w:val="20"/>
                <w:szCs w:val="20"/>
                <w:color w:val="auto"/>
              </w:rPr>
            </w:pPr>
            <w:r>
              <w:rPr>
                <w:rFonts w:ascii="Arial" w:cs="Arial" w:eastAsia="Arial" w:hAnsi="Arial"/>
                <w:sz w:val="20"/>
                <w:szCs w:val="20"/>
                <w:color w:val="auto"/>
              </w:rPr>
              <w:t>David N. Makuen</w:t>
            </w: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900" w:type="dxa"/>
            <w:vAlign w:val="bottom"/>
            <w:gridSpan w:val="5"/>
          </w:tcPr>
          <w:p>
            <w:pPr>
              <w:ind w:left="100"/>
              <w:spacing w:after="0"/>
              <w:rPr>
                <w:sz w:val="20"/>
                <w:szCs w:val="20"/>
                <w:color w:val="auto"/>
              </w:rPr>
            </w:pPr>
            <w:r>
              <w:rPr>
                <w:rFonts w:ascii="Arial" w:cs="Arial" w:eastAsia="Arial" w:hAnsi="Arial"/>
                <w:sz w:val="20"/>
                <w:szCs w:val="20"/>
                <w:color w:val="auto"/>
              </w:rPr>
              <w:t>Chief Executive Officer</w:t>
            </w: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900" w:type="dxa"/>
            <w:vAlign w:val="bottom"/>
            <w:gridSpan w:val="5"/>
            <w:vMerge w:val="restart"/>
          </w:tcPr>
          <w:p>
            <w:pPr>
              <w:ind w:left="100"/>
              <w:spacing w:after="0"/>
              <w:rPr>
                <w:sz w:val="20"/>
                <w:szCs w:val="20"/>
                <w:color w:val="auto"/>
              </w:rPr>
            </w:pPr>
            <w:r>
              <w:rPr>
                <w:rFonts w:ascii="Arial" w:cs="Arial" w:eastAsia="Arial" w:hAnsi="Arial"/>
                <w:sz w:val="20"/>
                <w:szCs w:val="20"/>
                <w:color w:val="auto"/>
              </w:rPr>
              <w:t>Date: 4/6/21</w:t>
            </w:r>
          </w:p>
        </w:tc>
        <w:tc>
          <w:tcPr>
            <w:tcW w:w="6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900" w:type="dxa"/>
            <w:vAlign w:val="bottom"/>
            <w:gridSpan w:val="5"/>
            <w:vMerge w:val="continue"/>
          </w:tcPr>
          <w:p>
            <w:pPr>
              <w:spacing w:after="0"/>
              <w:rPr>
                <w:sz w:val="16"/>
                <w:szCs w:val="16"/>
                <w:color w:val="auto"/>
              </w:rPr>
            </w:pPr>
          </w:p>
        </w:tc>
        <w:tc>
          <w:tcPr>
            <w:tcW w:w="4940" w:type="dxa"/>
            <w:vAlign w:val="bottom"/>
            <w:gridSpan w:val="5"/>
            <w:vMerge w:val="restart"/>
          </w:tcPr>
          <w:p>
            <w:pPr>
              <w:ind w:left="600"/>
              <w:spacing w:after="0"/>
              <w:rPr>
                <w:sz w:val="20"/>
                <w:szCs w:val="20"/>
                <w:color w:val="auto"/>
              </w:rPr>
            </w:pPr>
            <w:r>
              <w:rPr>
                <w:rFonts w:ascii="Arial" w:cs="Arial" w:eastAsia="Arial" w:hAnsi="Arial"/>
                <w:sz w:val="20"/>
                <w:szCs w:val="20"/>
                <w:color w:val="auto"/>
              </w:rPr>
              <w:t>Employee Residence Address:</w:t>
            </w:r>
          </w:p>
        </w:tc>
        <w:tc>
          <w:tcPr>
            <w:tcW w:w="0" w:type="dxa"/>
            <w:vAlign w:val="bottom"/>
          </w:tcPr>
          <w:p>
            <w:pPr>
              <w:spacing w:after="0"/>
              <w:rPr>
                <w:sz w:val="1"/>
                <w:szCs w:val="1"/>
                <w:color w:val="auto"/>
              </w:rPr>
            </w:pPr>
          </w:p>
        </w:tc>
      </w:tr>
      <w:tr>
        <w:trPr>
          <w:trHeight w:val="551"/>
        </w:trPr>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494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29"/>
        </w:trPr>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019"/>
          </w:cols>
          <w:pgMar w:left="1440" w:top="374" w:right="1440" w:bottom="1440" w:gutter="0" w:footer="0" w:header="0"/>
        </w:sectPr>
      </w:pPr>
    </w:p>
    <w:bookmarkStart w:id="26" w:name="page27"/>
    <w:bookmarkEnd w:id="26"/>
    <w:p>
      <w:pPr>
        <w:jc w:val="right"/>
        <w:ind w:right="99"/>
        <w:spacing w:after="0"/>
        <w:rPr>
          <w:sz w:val="20"/>
          <w:szCs w:val="20"/>
          <w:color w:val="auto"/>
        </w:rPr>
      </w:pPr>
      <w:r>
        <w:rPr>
          <w:rFonts w:ascii="Arial" w:cs="Arial" w:eastAsia="Arial" w:hAnsi="Arial"/>
          <w:sz w:val="19"/>
          <w:szCs w:val="19"/>
          <w:b w:val="1"/>
          <w:bCs w:val="1"/>
          <w:color w:val="auto"/>
        </w:rPr>
        <w:t>Exhibit 10.3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SEVERANCE AGREEMENT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200" w:right="199" w:firstLine="612"/>
        <w:spacing w:after="0" w:line="250" w:lineRule="auto"/>
        <w:rPr>
          <w:sz w:val="20"/>
          <w:szCs w:val="20"/>
          <w:color w:val="auto"/>
        </w:rPr>
      </w:pPr>
      <w:r>
        <w:rPr>
          <w:rFonts w:ascii="Arial" w:cs="Arial" w:eastAsia="Arial" w:hAnsi="Arial"/>
          <w:sz w:val="20"/>
          <w:szCs w:val="20"/>
          <w:color w:val="auto"/>
        </w:rPr>
        <w:t>This SEVERANCE AGREEMENT (“Agreement”) is entered into between Citi Trends, Inc., a Delaware corporation, including its subsidiaries, affiliates, divisions, successors, and related entities (the “Company”), and Jessica Berkowitz, an individual (the “Executive”), as of the date signed by the Executive below, to be effective as of April 2, 2021.</w:t>
      </w:r>
    </w:p>
    <w:p>
      <w:pPr>
        <w:spacing w:after="0" w:line="166" w:lineRule="exact"/>
        <w:rPr>
          <w:sz w:val="20"/>
          <w:szCs w:val="20"/>
          <w:color w:val="auto"/>
        </w:rPr>
      </w:pPr>
    </w:p>
    <w:p>
      <w:pPr>
        <w:jc w:val="both"/>
        <w:ind w:left="200" w:right="199" w:firstLine="612"/>
        <w:spacing w:after="0" w:line="255" w:lineRule="auto"/>
        <w:rPr>
          <w:sz w:val="20"/>
          <w:szCs w:val="20"/>
          <w:color w:val="auto"/>
        </w:rPr>
      </w:pPr>
      <w:r>
        <w:rPr>
          <w:rFonts w:ascii="Arial" w:cs="Arial" w:eastAsia="Arial" w:hAnsi="Arial"/>
          <w:sz w:val="20"/>
          <w:szCs w:val="20"/>
          <w:color w:val="auto"/>
        </w:rPr>
        <w:t>WHEREAS, this Agreement is intended to and shall supersede and replace that certain Severance Agreement between the Company and Employee dated as of March 30, 2018 (the “</w:t>
      </w:r>
      <w:r>
        <w:rPr>
          <w:rFonts w:ascii="Arial" w:cs="Arial" w:eastAsia="Arial" w:hAnsi="Arial"/>
          <w:sz w:val="20"/>
          <w:szCs w:val="20"/>
          <w:u w:val="single" w:color="auto"/>
          <w:color w:val="auto"/>
        </w:rPr>
        <w:t>Prior</w:t>
      </w:r>
      <w:r>
        <w:rPr>
          <w:rFonts w:ascii="Arial" w:cs="Arial" w:eastAsia="Arial" w:hAnsi="Arial"/>
          <w:sz w:val="20"/>
          <w:szCs w:val="20"/>
          <w:color w:val="auto"/>
        </w:rPr>
        <w:t xml:space="preserve"> </w:t>
      </w:r>
      <w:r>
        <w:rPr>
          <w:rFonts w:ascii="Arial" w:cs="Arial" w:eastAsia="Arial" w:hAnsi="Arial"/>
          <w:sz w:val="20"/>
          <w:szCs w:val="20"/>
          <w:u w:val="single" w:color="auto"/>
          <w:color w:val="auto"/>
        </w:rPr>
        <w:t>Severance Agreement</w:t>
      </w:r>
      <w:r>
        <w:rPr>
          <w:rFonts w:ascii="Arial" w:cs="Arial" w:eastAsia="Arial" w:hAnsi="Arial"/>
          <w:sz w:val="20"/>
          <w:szCs w:val="20"/>
          <w:color w:val="auto"/>
        </w:rPr>
        <w:t>”).</w:t>
      </w:r>
    </w:p>
    <w:p>
      <w:pPr>
        <w:spacing w:after="0" w:line="161" w:lineRule="exact"/>
        <w:rPr>
          <w:sz w:val="20"/>
          <w:szCs w:val="20"/>
          <w:color w:val="auto"/>
        </w:rPr>
      </w:pPr>
    </w:p>
    <w:p>
      <w:pPr>
        <w:jc w:val="both"/>
        <w:ind w:left="200" w:right="199" w:firstLine="612"/>
        <w:spacing w:after="0" w:line="250" w:lineRule="auto"/>
        <w:rPr>
          <w:sz w:val="20"/>
          <w:szCs w:val="20"/>
          <w:color w:val="auto"/>
        </w:rPr>
      </w:pPr>
      <w:r>
        <w:rPr>
          <w:rFonts w:ascii="Arial" w:cs="Arial" w:eastAsia="Arial" w:hAnsi="Arial"/>
          <w:sz w:val="20"/>
          <w:szCs w:val="20"/>
          <w:color w:val="auto"/>
        </w:rPr>
        <w:t>WHEREAS, the Company and the Executive are also parties to an Employment Non-Compete, Non-Solicit and Confidentiality Agreement (the “</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and certain restricted stock award and stock option agreements (collectively, the “</w:t>
      </w:r>
      <w:r>
        <w:rPr>
          <w:rFonts w:ascii="Arial" w:cs="Arial" w:eastAsia="Arial" w:hAnsi="Arial"/>
          <w:sz w:val="20"/>
          <w:szCs w:val="20"/>
          <w:u w:val="single" w:color="auto"/>
          <w:color w:val="auto"/>
        </w:rPr>
        <w:t>Equity Agreements</w:t>
      </w:r>
      <w:r>
        <w:rPr>
          <w:rFonts w:ascii="Arial" w:cs="Arial" w:eastAsia="Arial" w:hAnsi="Arial"/>
          <w:sz w:val="20"/>
          <w:szCs w:val="20"/>
          <w:color w:val="auto"/>
        </w:rPr>
        <w:t>”), which are to remain in full force and effect;</w:t>
      </w:r>
    </w:p>
    <w:p>
      <w:pPr>
        <w:spacing w:after="0" w:line="153" w:lineRule="exact"/>
        <w:rPr>
          <w:sz w:val="20"/>
          <w:szCs w:val="20"/>
          <w:color w:val="auto"/>
        </w:rPr>
      </w:pPr>
    </w:p>
    <w:p>
      <w:pPr>
        <w:jc w:val="both"/>
        <w:ind w:left="200" w:right="219" w:firstLine="612"/>
        <w:spacing w:after="0" w:line="271" w:lineRule="auto"/>
        <w:rPr>
          <w:sz w:val="20"/>
          <w:szCs w:val="20"/>
          <w:color w:val="auto"/>
        </w:rPr>
      </w:pPr>
      <w:r>
        <w:rPr>
          <w:rFonts w:ascii="Arial" w:cs="Arial" w:eastAsia="Arial" w:hAnsi="Arial"/>
          <w:sz w:val="20"/>
          <w:szCs w:val="20"/>
          <w:color w:val="auto"/>
        </w:rPr>
        <w:t>NOW, THEREFORE, in consideration of the mutual agreements set forth herein, the parties agree as follows:</w:t>
      </w:r>
    </w:p>
    <w:p>
      <w:pPr>
        <w:spacing w:after="0" w:line="154" w:lineRule="exact"/>
        <w:rPr>
          <w:sz w:val="20"/>
          <w:szCs w:val="20"/>
          <w:color w:val="auto"/>
        </w:rPr>
      </w:pPr>
    </w:p>
    <w:p>
      <w:pPr>
        <w:jc w:val="both"/>
        <w:ind w:left="200" w:right="199" w:hanging="2"/>
        <w:spacing w:after="0" w:line="247" w:lineRule="auto"/>
        <w:tabs>
          <w:tab w:leader="none" w:pos="814"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 xml:space="preserve">Termination Payments and Benefits. </w:t>
      </w:r>
      <w:r>
        <w:rPr>
          <w:rFonts w:ascii="Arial" w:cs="Arial" w:eastAsia="Arial" w:hAnsi="Arial"/>
          <w:sz w:val="20"/>
          <w:szCs w:val="20"/>
          <w:color w:val="auto"/>
        </w:rPr>
        <w:t>Regardless of the circumstances of the Executive’s</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Executive shall be entitled to payment when due of any earned and unpaid base salary, expense reimbursements and vacation days accrued prior to the termination of Executive’s employment, and other unpaid vested amounts or benefits under Company retirement and health benefit plans, and, as applicable, under Equity Agreements in accordance with their terms, and to no other compensation or benefits.</w:t>
      </w:r>
    </w:p>
    <w:p>
      <w:pPr>
        <w:spacing w:after="0" w:line="168" w:lineRule="exact"/>
        <w:rPr>
          <w:rFonts w:ascii="Arial" w:cs="Arial" w:eastAsia="Arial" w:hAnsi="Arial"/>
          <w:sz w:val="20"/>
          <w:szCs w:val="20"/>
          <w:color w:val="auto"/>
        </w:rPr>
      </w:pPr>
    </w:p>
    <w:p>
      <w:pPr>
        <w:jc w:val="both"/>
        <w:ind w:left="200" w:right="199" w:firstLine="612"/>
        <w:spacing w:after="0" w:line="249" w:lineRule="auto"/>
        <w:tabs>
          <w:tab w:leader="none" w:pos="1427" w:val="left"/>
        </w:tabs>
        <w:numPr>
          <w:ilvl w:val="1"/>
          <w:numId w:val="27"/>
        </w:numPr>
        <w:rPr>
          <w:rFonts w:ascii="Arial" w:cs="Arial" w:eastAsia="Arial" w:hAnsi="Arial"/>
          <w:sz w:val="20"/>
          <w:szCs w:val="20"/>
          <w:color w:val="auto"/>
        </w:rPr>
      </w:pPr>
      <w:r>
        <w:rPr>
          <w:rFonts w:ascii="Arial" w:cs="Arial" w:eastAsia="Arial" w:hAnsi="Arial"/>
          <w:sz w:val="20"/>
          <w:szCs w:val="20"/>
          <w:color w:val="auto"/>
        </w:rPr>
        <w:t>If (i) the Company terminates the Executive’s employment without Cause, or (ii) the Executive terminates employment with the Company within twelve (12) months following the</w:t>
      </w:r>
    </w:p>
    <w:p>
      <w:pPr>
        <w:ind w:left="200"/>
        <w:spacing w:after="0"/>
        <w:rPr>
          <w:rFonts w:ascii="Arial" w:cs="Arial" w:eastAsia="Arial" w:hAnsi="Arial"/>
          <w:sz w:val="20"/>
          <w:szCs w:val="20"/>
          <w:color w:val="auto"/>
        </w:rPr>
      </w:pPr>
      <w:r>
        <w:rPr>
          <w:rFonts w:ascii="Arial" w:cs="Arial" w:eastAsia="Arial" w:hAnsi="Arial"/>
          <w:sz w:val="19"/>
          <w:szCs w:val="19"/>
          <w:color w:val="auto"/>
        </w:rPr>
        <w:t>occurrence of a Change in Control, provided that within such period, (a) either Executive’s job  duties</w:t>
      </w:r>
    </w:p>
    <w:p>
      <w:pPr>
        <w:spacing w:after="0" w:line="213" w:lineRule="exact"/>
        <w:rPr>
          <w:sz w:val="20"/>
          <w:szCs w:val="20"/>
          <w:color w:val="auto"/>
        </w:rPr>
      </w:pPr>
    </w:p>
    <w:p>
      <w:pPr>
        <w:jc w:val="both"/>
        <w:ind w:left="200" w:right="199"/>
        <w:spacing w:after="0" w:line="277" w:lineRule="auto"/>
        <w:rPr>
          <w:sz w:val="20"/>
          <w:szCs w:val="20"/>
          <w:color w:val="auto"/>
        </w:rPr>
      </w:pPr>
      <w:r>
        <w:rPr>
          <w:rFonts w:ascii="Arial" w:cs="Arial" w:eastAsia="Arial" w:hAnsi="Arial"/>
          <w:sz w:val="18"/>
          <w:szCs w:val="18"/>
          <w:color w:val="auto"/>
        </w:rPr>
        <w:t>have been materially and permanently diminished or the Executive’s compensation has been materially decreased and (b) Executive provides written notice to the Company within ninety (90) days of the</w:t>
      </w:r>
    </w:p>
    <w:p>
      <w:pPr>
        <w:jc w:val="both"/>
        <w:ind w:left="200" w:right="199"/>
        <w:spacing w:after="0" w:line="256" w:lineRule="auto"/>
        <w:rPr>
          <w:sz w:val="20"/>
          <w:szCs w:val="20"/>
          <w:color w:val="auto"/>
        </w:rPr>
      </w:pPr>
      <w:r>
        <w:rPr>
          <w:rFonts w:ascii="Arial" w:cs="Arial" w:eastAsia="Arial" w:hAnsi="Arial"/>
          <w:sz w:val="19"/>
          <w:szCs w:val="19"/>
          <w:color w:val="auto"/>
        </w:rPr>
        <w:t>occurrence of an aforementioned event and the Company fails to cure the event within thirty (30) days following the Company’s receipt of the Executive’s written notice, then, in the case of either (i) or (ii) above, the Company will provide the Executive with separation payments of twelve (12) months base salary at Executive’s base salary rate at the time of Executive’s termination or if greater, the Executive’s base rate in effect on the Change of Control Date; to be paid in twenty-six (26) regular bi-weekly pay periods beginning on the first pay period occurring after the sixtieth (60th) day following the Executive’s termination, provided the Executive executes and does not subsequently revoke the Separation and General Release Agreement referenced below within such sixty (60) day period.</w:t>
      </w:r>
    </w:p>
    <w:p>
      <w:pPr>
        <w:spacing w:after="0" w:line="175" w:lineRule="exact"/>
        <w:rPr>
          <w:sz w:val="20"/>
          <w:szCs w:val="20"/>
          <w:color w:val="auto"/>
        </w:rPr>
      </w:pPr>
    </w:p>
    <w:p>
      <w:pPr>
        <w:jc w:val="both"/>
        <w:ind w:left="200" w:right="199" w:firstLine="612"/>
        <w:spacing w:after="0" w:line="250" w:lineRule="auto"/>
        <w:tabs>
          <w:tab w:leader="none" w:pos="1427" w:val="left"/>
        </w:tabs>
        <w:numPr>
          <w:ilvl w:val="0"/>
          <w:numId w:val="28"/>
        </w:numPr>
        <w:rPr>
          <w:rFonts w:ascii="Arial" w:cs="Arial" w:eastAsia="Arial" w:hAnsi="Arial"/>
          <w:sz w:val="20"/>
          <w:szCs w:val="20"/>
          <w:color w:val="auto"/>
        </w:rPr>
      </w:pPr>
      <w:r>
        <w:rPr>
          <w:rFonts w:ascii="Arial" w:cs="Arial" w:eastAsia="Arial" w:hAnsi="Arial"/>
          <w:sz w:val="20"/>
          <w:szCs w:val="20"/>
          <w:color w:val="auto"/>
        </w:rPr>
        <w:t>For a period of twelve (12) months from the Executive’s separation from service, the Company will pay to the Executive an amount, minus all applicable taxes and withholdings, equal to the full monthly cost (including any portion of the cost previously paid by the employee) to provide the same level of group health benefits maintained by Executive as of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702945</wp:posOffset>
            </wp:positionV>
            <wp:extent cx="558990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589905" cy="1651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7" w:name="page28"/>
    <w:bookmarkEnd w:id="27"/>
    <w:p>
      <w:pPr>
        <w:ind w:left="200" w:right="219"/>
        <w:spacing w:after="0" w:line="271" w:lineRule="auto"/>
        <w:rPr>
          <w:sz w:val="20"/>
          <w:szCs w:val="20"/>
          <w:color w:val="auto"/>
        </w:rPr>
      </w:pPr>
      <w:r>
        <w:rPr>
          <w:rFonts w:ascii="Arial" w:cs="Arial" w:eastAsia="Arial" w:hAnsi="Arial"/>
          <w:sz w:val="20"/>
          <w:szCs w:val="20"/>
          <w:color w:val="auto"/>
        </w:rPr>
        <w:t>separation from service, provided the Executive executes and does not subsequently revoke the Separation and General Release Agreement referenced below within such sixty (60) day period.</w:t>
      </w:r>
    </w:p>
    <w:p>
      <w:pPr>
        <w:spacing w:after="0" w:line="145" w:lineRule="exact"/>
        <w:rPr>
          <w:sz w:val="20"/>
          <w:szCs w:val="20"/>
          <w:color w:val="auto"/>
        </w:rPr>
      </w:pPr>
    </w:p>
    <w:p>
      <w:pPr>
        <w:ind w:left="200" w:right="499" w:firstLine="612"/>
        <w:spacing w:after="0" w:line="271" w:lineRule="auto"/>
        <w:tabs>
          <w:tab w:leader="none" w:pos="1427" w:val="left"/>
        </w:tabs>
        <w:numPr>
          <w:ilvl w:val="1"/>
          <w:numId w:val="29"/>
        </w:numPr>
        <w:rPr>
          <w:rFonts w:ascii="Arial" w:cs="Arial" w:eastAsia="Arial" w:hAnsi="Arial"/>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u w:val="single" w:color="auto"/>
          <w:color w:val="auto"/>
        </w:rPr>
        <w:t>Change in Control</w:t>
      </w:r>
      <w:r>
        <w:rPr>
          <w:rFonts w:ascii="Arial" w:cs="Arial" w:eastAsia="Arial" w:hAnsi="Arial"/>
          <w:sz w:val="20"/>
          <w:szCs w:val="20"/>
          <w:color w:val="auto"/>
        </w:rPr>
        <w:t>” shall mean the occurrence of any one of the following events:</w:t>
      </w:r>
    </w:p>
    <w:p>
      <w:pPr>
        <w:spacing w:after="0" w:line="157" w:lineRule="exact"/>
        <w:rPr>
          <w:rFonts w:ascii="Arial" w:cs="Arial" w:eastAsia="Arial" w:hAnsi="Arial"/>
          <w:sz w:val="20"/>
          <w:szCs w:val="20"/>
          <w:color w:val="auto"/>
        </w:rPr>
      </w:pPr>
    </w:p>
    <w:p>
      <w:pPr>
        <w:jc w:val="both"/>
        <w:ind w:left="200" w:right="199" w:firstLine="1225"/>
        <w:spacing w:after="0" w:line="254" w:lineRule="auto"/>
        <w:tabs>
          <w:tab w:leader="none" w:pos="2041" w:val="left"/>
        </w:tabs>
        <w:numPr>
          <w:ilvl w:val="2"/>
          <w:numId w:val="29"/>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14(d)(2) of the Securities Exchange Act of 1934, as amended (the “</w:t>
      </w:r>
      <w:r>
        <w:rPr>
          <w:rFonts w:ascii="Arial" w:cs="Arial" w:eastAsia="Arial" w:hAnsi="Arial"/>
          <w:sz w:val="19"/>
          <w:szCs w:val="19"/>
          <w:u w:val="single" w:color="auto"/>
          <w:color w:val="auto"/>
        </w:rPr>
        <w:t>1934 Act</w:t>
      </w:r>
      <w:r>
        <w:rPr>
          <w:rFonts w:ascii="Arial" w:cs="Arial" w:eastAsia="Arial" w:hAnsi="Arial"/>
          <w:sz w:val="19"/>
          <w:szCs w:val="19"/>
          <w:color w:val="auto"/>
        </w:rPr>
        <w:t>”)) (a “</w:t>
      </w:r>
      <w:r>
        <w:rPr>
          <w:rFonts w:ascii="Arial" w:cs="Arial" w:eastAsia="Arial" w:hAnsi="Arial"/>
          <w:sz w:val="19"/>
          <w:szCs w:val="19"/>
          <w:u w:val="single" w:color="auto"/>
          <w:color w:val="auto"/>
        </w:rPr>
        <w:t>Person</w:t>
      </w:r>
      <w:r>
        <w:rPr>
          <w:rFonts w:ascii="Arial" w:cs="Arial" w:eastAsia="Arial" w:hAnsi="Arial"/>
          <w:sz w:val="19"/>
          <w:szCs w:val="19"/>
          <w:color w:val="auto"/>
        </w:rPr>
        <w:t>”) of beneficial ownership (within the meaning of Rule 13d-3 promulgated under the 1934 Act) of 50% or more of the combined voting power of the then outstanding voting securities of the Company entitled to vote generally in the election of directors (the “</w:t>
      </w:r>
      <w:r>
        <w:rPr>
          <w:rFonts w:ascii="Arial" w:cs="Arial" w:eastAsia="Arial" w:hAnsi="Arial"/>
          <w:sz w:val="19"/>
          <w:szCs w:val="19"/>
          <w:u w:val="single" w:color="auto"/>
          <w:color w:val="auto"/>
        </w:rPr>
        <w:t>Outstanding Company Voting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Securities</w:t>
      </w:r>
      <w:r>
        <w:rPr>
          <w:rFonts w:ascii="Arial" w:cs="Arial" w:eastAsia="Arial" w:hAnsi="Arial"/>
          <w:sz w:val="19"/>
          <w:szCs w:val="19"/>
          <w:color w:val="auto"/>
        </w:rPr>
        <w:t>”); provided, however, that for purposes of this subsection (1), the following acquisitions shall not constitute a Change of Control: (i) any acquisition by a Person who is on the date of this Agreement the beneficial owner of 50% or more of the Outstanding Company Voting Securities, (ii) any acquisition directly from the Company, (iii) any acquisition by the Company,</w:t>
      </w:r>
    </w:p>
    <w:p>
      <w:pPr>
        <w:spacing w:after="0" w:line="6" w:lineRule="exact"/>
        <w:rPr>
          <w:rFonts w:ascii="Arial" w:cs="Arial" w:eastAsia="Arial" w:hAnsi="Arial"/>
          <w:sz w:val="19"/>
          <w:szCs w:val="19"/>
          <w:color w:val="auto"/>
        </w:rPr>
      </w:pPr>
    </w:p>
    <w:p>
      <w:pPr>
        <w:jc w:val="both"/>
        <w:ind w:left="200" w:right="199" w:hanging="2"/>
        <w:spacing w:after="0" w:line="244" w:lineRule="auto"/>
        <w:tabs>
          <w:tab w:leader="none" w:pos="5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acquisition by any employee benefit plan (or related trust) sponsored or maintained by the Company or any corporation controlled by the Company, or (v) any acquisition by any corporation pursuant to a transaction which complies with clauses (i), (ii) and (iii) of subsection (3) of this definition; or</w:t>
      </w:r>
    </w:p>
    <w:p>
      <w:pPr>
        <w:spacing w:after="0" w:line="183" w:lineRule="exact"/>
        <w:rPr>
          <w:rFonts w:ascii="Arial" w:cs="Arial" w:eastAsia="Arial" w:hAnsi="Arial"/>
          <w:sz w:val="20"/>
          <w:szCs w:val="20"/>
          <w:color w:val="auto"/>
        </w:rPr>
      </w:pPr>
    </w:p>
    <w:p>
      <w:pPr>
        <w:jc w:val="both"/>
        <w:ind w:left="200" w:right="199" w:firstLine="1225"/>
        <w:spacing w:after="0" w:line="255" w:lineRule="auto"/>
        <w:tabs>
          <w:tab w:leader="none" w:pos="2041" w:val="left"/>
        </w:tabs>
        <w:numPr>
          <w:ilvl w:val="2"/>
          <w:numId w:val="30"/>
        </w:numPr>
        <w:rPr>
          <w:rFonts w:ascii="Arial" w:cs="Arial" w:eastAsia="Arial" w:hAnsi="Arial"/>
          <w:sz w:val="19"/>
          <w:szCs w:val="19"/>
          <w:color w:val="auto"/>
        </w:rPr>
      </w:pPr>
      <w:r>
        <w:rPr>
          <w:rFonts w:ascii="Arial" w:cs="Arial" w:eastAsia="Arial" w:hAnsi="Arial"/>
          <w:sz w:val="19"/>
          <w:szCs w:val="19"/>
          <w:color w:val="auto"/>
        </w:rPr>
        <w:t>individuals who, as of the date of this Agreement, constitute the Board of Directors of the Company (the “</w:t>
      </w:r>
      <w:r>
        <w:rPr>
          <w:rFonts w:ascii="Arial" w:cs="Arial" w:eastAsia="Arial" w:hAnsi="Arial"/>
          <w:sz w:val="19"/>
          <w:szCs w:val="19"/>
          <w:u w:val="single" w:color="auto"/>
          <w:color w:val="auto"/>
        </w:rPr>
        <w:t>Incumbent Board</w:t>
      </w:r>
      <w:r>
        <w:rPr>
          <w:rFonts w:ascii="Arial" w:cs="Arial" w:eastAsia="Arial" w:hAnsi="Arial"/>
          <w:sz w:val="19"/>
          <w:szCs w:val="19"/>
          <w:color w:val="auto"/>
        </w:rPr>
        <w:t>”) cease for any reason to constitute at least a majority of the Board of Directors of the Company;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w:t>
      </w:r>
    </w:p>
    <w:p>
      <w:pPr>
        <w:spacing w:after="0" w:line="5" w:lineRule="exact"/>
        <w:rPr>
          <w:sz w:val="20"/>
          <w:szCs w:val="20"/>
          <w:color w:val="auto"/>
        </w:rPr>
      </w:pPr>
    </w:p>
    <w:p>
      <w:pPr>
        <w:jc w:val="both"/>
        <w:ind w:left="200" w:right="199"/>
        <w:spacing w:after="0" w:line="244" w:lineRule="auto"/>
        <w:rPr>
          <w:sz w:val="20"/>
          <w:szCs w:val="20"/>
          <w:color w:val="auto"/>
        </w:rPr>
      </w:pPr>
      <w:r>
        <w:rPr>
          <w:rFonts w:ascii="Arial" w:cs="Arial" w:eastAsia="Arial" w:hAnsi="Arial"/>
          <w:sz w:val="20"/>
          <w:szCs w:val="20"/>
          <w:color w:val="auto"/>
        </w:rPr>
        <w:t>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 of the Company; or</w:t>
      </w:r>
    </w:p>
    <w:p>
      <w:pPr>
        <w:spacing w:after="0" w:line="171" w:lineRule="exact"/>
        <w:rPr>
          <w:sz w:val="20"/>
          <w:szCs w:val="20"/>
          <w:color w:val="auto"/>
        </w:rPr>
      </w:pPr>
    </w:p>
    <w:p>
      <w:pPr>
        <w:jc w:val="both"/>
        <w:ind w:left="200" w:right="199" w:firstLine="1227"/>
        <w:spacing w:after="0" w:line="242" w:lineRule="auto"/>
        <w:rPr>
          <w:sz w:val="20"/>
          <w:szCs w:val="20"/>
          <w:color w:val="auto"/>
        </w:rPr>
      </w:pPr>
      <w:r>
        <w:rPr>
          <w:rFonts w:ascii="Arial" w:cs="Arial" w:eastAsia="Arial" w:hAnsi="Arial"/>
          <w:sz w:val="20"/>
          <w:szCs w:val="20"/>
          <w:color w:val="auto"/>
        </w:rPr>
        <w:t>(iii) consummation of a reorganization, merger, consolidation or share exchange or sale or other disposition of all or substantially all of the assets of the Company (a “</w:t>
      </w:r>
      <w:r>
        <w:rPr>
          <w:rFonts w:ascii="Arial" w:cs="Arial" w:eastAsia="Arial" w:hAnsi="Arial"/>
          <w:sz w:val="20"/>
          <w:szCs w:val="20"/>
          <w:u w:val="single" w:color="auto"/>
          <w:color w:val="auto"/>
        </w:rPr>
        <w:t>Business</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Combination</w:t>
      </w:r>
      <w:r>
        <w:rPr>
          <w:rFonts w:ascii="Arial" w:cs="Arial" w:eastAsia="Arial" w:hAnsi="Arial"/>
          <w:sz w:val="20"/>
          <w:szCs w:val="20"/>
          <w:color w:val="auto"/>
        </w:rPr>
        <w:t>”),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(excluding any corporation resulting from such Business Combination or any employee benefit plan (or related trust) of the Company or such corporation resulting from such Business Combination) beneficially owns, directly or indirectly, 20% or more of the combined voting power of the then outstanding voting securities of such corporation except to the extent that such ownership existed prior to the Business Combination, and (iii) at least a majority of the</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71755</wp:posOffset>
            </wp:positionV>
            <wp:extent cx="5589905"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589905" cy="24130"/>
                    </a:xfrm>
                    <a:prstGeom prst="rect">
                      <a:avLst/>
                    </a:prstGeom>
                    <a:noFill/>
                  </pic:spPr>
                </pic:pic>
              </a:graphicData>
            </a:graphic>
          </wp:anchor>
        </w:drawing>
      </w:r>
    </w:p>
    <w:p>
      <w:pPr>
        <w:sectPr>
          <w:pgSz w:w="11900" w:h="16838" w:orient="portrait"/>
          <w:cols w:equalWidth="0" w:num="1">
            <w:col w:w="9019"/>
          </w:cols>
          <w:pgMar w:left="1440" w:top="387" w:right="1440" w:bottom="1440" w:gutter="0" w:footer="0" w:header="0"/>
        </w:sectPr>
      </w:pPr>
    </w:p>
    <w:bookmarkStart w:id="28" w:name="page29"/>
    <w:bookmarkEnd w:id="28"/>
    <w:p>
      <w:pPr>
        <w:jc w:val="both"/>
        <w:ind w:left="200" w:right="219"/>
        <w:spacing w:after="0" w:line="255" w:lineRule="auto"/>
        <w:rPr>
          <w:sz w:val="20"/>
          <w:szCs w:val="20"/>
          <w:color w:val="auto"/>
        </w:rPr>
      </w:pPr>
      <w:r>
        <w:rPr>
          <w:rFonts w:ascii="Arial" w:cs="Arial" w:eastAsia="Arial" w:hAnsi="Arial"/>
          <w:sz w:val="20"/>
          <w:szCs w:val="20"/>
          <w:color w:val="auto"/>
        </w:rPr>
        <w:t>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61" w:lineRule="exact"/>
        <w:rPr>
          <w:sz w:val="20"/>
          <w:szCs w:val="20"/>
          <w:color w:val="auto"/>
        </w:rPr>
      </w:pPr>
    </w:p>
    <w:p>
      <w:pPr>
        <w:ind w:left="200" w:right="879" w:firstLine="1225"/>
        <w:spacing w:after="0" w:line="271" w:lineRule="auto"/>
        <w:tabs>
          <w:tab w:leader="none" w:pos="2041" w:val="left"/>
        </w:tabs>
        <w:numPr>
          <w:ilvl w:val="1"/>
          <w:numId w:val="31"/>
        </w:numPr>
        <w:rPr>
          <w:rFonts w:ascii="Arial" w:cs="Arial" w:eastAsia="Arial" w:hAnsi="Arial"/>
          <w:sz w:val="20"/>
          <w:szCs w:val="20"/>
          <w:color w:val="auto"/>
        </w:rPr>
      </w:pPr>
      <w:r>
        <w:rPr>
          <w:rFonts w:ascii="Arial" w:cs="Arial" w:eastAsia="Arial" w:hAnsi="Arial"/>
          <w:sz w:val="20"/>
          <w:szCs w:val="20"/>
          <w:color w:val="auto"/>
        </w:rPr>
        <w:t>approval by the shareholders of the Company of a complete liquidation or dissolution of the Company.</w:t>
      </w:r>
    </w:p>
    <w:p>
      <w:pPr>
        <w:spacing w:after="0" w:line="157" w:lineRule="exact"/>
        <w:rPr>
          <w:rFonts w:ascii="Arial" w:cs="Arial" w:eastAsia="Arial" w:hAnsi="Arial"/>
          <w:sz w:val="20"/>
          <w:szCs w:val="20"/>
          <w:color w:val="auto"/>
        </w:rPr>
      </w:pPr>
    </w:p>
    <w:p>
      <w:pPr>
        <w:jc w:val="both"/>
        <w:ind w:left="200" w:right="199" w:firstLine="612"/>
        <w:spacing w:after="0" w:line="262" w:lineRule="auto"/>
        <w:tabs>
          <w:tab w:leader="none" w:pos="1427"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separation payments and benefits described in Sections 1(a) and 1(b), above, are conditioned upon Executive executing a Separation and General Release Agreement at the time of</w:t>
      </w:r>
    </w:p>
    <w:p>
      <w:pPr>
        <w:spacing w:after="0" w:line="1" w:lineRule="exact"/>
        <w:rPr>
          <w:sz w:val="20"/>
          <w:szCs w:val="20"/>
          <w:color w:val="auto"/>
        </w:rPr>
      </w:pPr>
    </w:p>
    <w:p>
      <w:pPr>
        <w:ind w:left="200" w:right="199"/>
        <w:spacing w:after="0" w:line="252" w:lineRule="auto"/>
        <w:rPr>
          <w:sz w:val="20"/>
          <w:szCs w:val="20"/>
          <w:color w:val="auto"/>
        </w:rPr>
      </w:pPr>
      <w:r>
        <w:rPr>
          <w:rFonts w:ascii="Arial" w:cs="Arial" w:eastAsia="Arial" w:hAnsi="Arial"/>
          <w:sz w:val="20"/>
          <w:szCs w:val="20"/>
          <w:color w:val="auto"/>
        </w:rPr>
        <w:t>termination, which releases and waives any and all claims against the Company and its affiliated persons and companies, and is acceptable to the Company.</w:t>
      </w:r>
    </w:p>
    <w:p>
      <w:pPr>
        <w:spacing w:after="0" w:line="176" w:lineRule="exact"/>
        <w:rPr>
          <w:sz w:val="20"/>
          <w:szCs w:val="20"/>
          <w:color w:val="auto"/>
        </w:rPr>
      </w:pPr>
    </w:p>
    <w:p>
      <w:pPr>
        <w:jc w:val="both"/>
        <w:ind w:left="200" w:right="199" w:firstLine="612"/>
        <w:spacing w:after="0" w:line="255" w:lineRule="auto"/>
        <w:tabs>
          <w:tab w:leader="none" w:pos="1427"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 all other circumstances of separation, including if the Executive resigns, retires or is terminated for Cause, the Executive shall not be entitled to receive any separation payments or benefits. For purposes of this Agreement, “</w:t>
      </w:r>
      <w:r>
        <w:rPr>
          <w:rFonts w:ascii="Arial" w:cs="Arial" w:eastAsia="Arial" w:hAnsi="Arial"/>
          <w:sz w:val="20"/>
          <w:szCs w:val="20"/>
          <w:u w:val="single" w:color="auto"/>
          <w:color w:val="auto"/>
        </w:rPr>
        <w:t>Cause</w:t>
      </w:r>
      <w:r>
        <w:rPr>
          <w:rFonts w:ascii="Arial" w:cs="Arial" w:eastAsia="Arial" w:hAnsi="Arial"/>
          <w:sz w:val="20"/>
          <w:szCs w:val="20"/>
          <w:color w:val="auto"/>
        </w:rPr>
        <w:t>” shall mean the Executive’s:</w:t>
      </w:r>
    </w:p>
    <w:p>
      <w:pPr>
        <w:spacing w:after="0" w:line="148" w:lineRule="exact"/>
        <w:rPr>
          <w:rFonts w:ascii="Arial" w:cs="Arial" w:eastAsia="Arial" w:hAnsi="Arial"/>
          <w:sz w:val="20"/>
          <w:szCs w:val="20"/>
          <w:color w:val="auto"/>
        </w:rPr>
      </w:pPr>
    </w:p>
    <w:p>
      <w:pPr>
        <w:ind w:left="200" w:right="219" w:firstLine="1225"/>
        <w:spacing w:after="0" w:line="271" w:lineRule="auto"/>
        <w:tabs>
          <w:tab w:leader="none" w:pos="2041" w:val="left"/>
        </w:tabs>
        <w:numPr>
          <w:ilvl w:val="1"/>
          <w:numId w:val="33"/>
        </w:numPr>
        <w:rPr>
          <w:rFonts w:ascii="Arial" w:cs="Arial" w:eastAsia="Arial" w:hAnsi="Arial"/>
          <w:sz w:val="20"/>
          <w:szCs w:val="20"/>
          <w:color w:val="auto"/>
        </w:rPr>
      </w:pPr>
      <w:r>
        <w:rPr>
          <w:rFonts w:ascii="Arial" w:cs="Arial" w:eastAsia="Arial" w:hAnsi="Arial"/>
          <w:sz w:val="20"/>
          <w:szCs w:val="20"/>
          <w:color w:val="auto"/>
        </w:rPr>
        <w:t>commission of an act of fraud or dishonesty, the purpose or effect of which, in the CEO and/or Board’s sole determination, adversely affects the Company;</w:t>
      </w:r>
    </w:p>
    <w:p>
      <w:pPr>
        <w:spacing w:after="0" w:line="145" w:lineRule="exact"/>
        <w:rPr>
          <w:rFonts w:ascii="Arial" w:cs="Arial" w:eastAsia="Arial" w:hAnsi="Arial"/>
          <w:sz w:val="20"/>
          <w:szCs w:val="20"/>
          <w:color w:val="auto"/>
        </w:rPr>
      </w:pPr>
    </w:p>
    <w:p>
      <w:pPr>
        <w:ind w:left="200" w:right="219" w:firstLine="1225"/>
        <w:spacing w:after="0" w:line="271" w:lineRule="auto"/>
        <w:tabs>
          <w:tab w:leader="none" w:pos="2041" w:val="left"/>
        </w:tabs>
        <w:numPr>
          <w:ilvl w:val="1"/>
          <w:numId w:val="33"/>
        </w:numPr>
        <w:rPr>
          <w:rFonts w:ascii="Arial" w:cs="Arial" w:eastAsia="Arial" w:hAnsi="Arial"/>
          <w:sz w:val="20"/>
          <w:szCs w:val="20"/>
          <w:color w:val="auto"/>
        </w:rPr>
      </w:pPr>
      <w:r>
        <w:rPr>
          <w:rFonts w:ascii="Arial" w:cs="Arial" w:eastAsia="Arial" w:hAnsi="Arial"/>
          <w:sz w:val="20"/>
          <w:szCs w:val="20"/>
          <w:color w:val="auto"/>
        </w:rPr>
        <w:t>conviction of a felony or a crime involving embezzlement, conversion of property or moral turpitude (whether by plea of nolo contendere or otherwise);</w:t>
      </w:r>
    </w:p>
    <w:p>
      <w:pPr>
        <w:spacing w:after="0" w:line="157" w:lineRule="exact"/>
        <w:rPr>
          <w:rFonts w:ascii="Arial" w:cs="Arial" w:eastAsia="Arial" w:hAnsi="Arial"/>
          <w:sz w:val="20"/>
          <w:szCs w:val="20"/>
          <w:color w:val="auto"/>
        </w:rPr>
      </w:pPr>
    </w:p>
    <w:p>
      <w:pPr>
        <w:jc w:val="both"/>
        <w:ind w:left="200" w:right="219" w:firstLine="1225"/>
        <w:spacing w:after="0" w:line="255" w:lineRule="auto"/>
        <w:tabs>
          <w:tab w:leader="none" w:pos="2041" w:val="left"/>
        </w:tabs>
        <w:numPr>
          <w:ilvl w:val="1"/>
          <w:numId w:val="33"/>
        </w:numPr>
        <w:rPr>
          <w:rFonts w:ascii="Arial" w:cs="Arial" w:eastAsia="Arial" w:hAnsi="Arial"/>
          <w:sz w:val="20"/>
          <w:szCs w:val="20"/>
          <w:color w:val="auto"/>
        </w:rPr>
      </w:pPr>
      <w:r>
        <w:rPr>
          <w:rFonts w:ascii="Arial" w:cs="Arial" w:eastAsia="Arial" w:hAnsi="Arial"/>
          <w:sz w:val="20"/>
          <w:szCs w:val="20"/>
          <w:color w:val="auto"/>
        </w:rPr>
        <w:t>engaging in willful or reckless misconduct or gross negligence in connection with any property or activity of the Company, the purpose or effect of which, in the CEO and/or Board’s sole determination, adversely affects the Company;</w:t>
      </w:r>
    </w:p>
    <w:p>
      <w:pPr>
        <w:spacing w:after="0" w:line="174" w:lineRule="exact"/>
        <w:rPr>
          <w:rFonts w:ascii="Arial" w:cs="Arial" w:eastAsia="Arial" w:hAnsi="Arial"/>
          <w:sz w:val="20"/>
          <w:szCs w:val="20"/>
          <w:color w:val="auto"/>
        </w:rPr>
      </w:pPr>
    </w:p>
    <w:p>
      <w:pPr>
        <w:jc w:val="both"/>
        <w:ind w:left="200" w:right="199" w:firstLine="1225"/>
        <w:spacing w:after="0" w:line="246" w:lineRule="auto"/>
        <w:tabs>
          <w:tab w:leader="none" w:pos="2041" w:val="left"/>
        </w:tabs>
        <w:numPr>
          <w:ilvl w:val="1"/>
          <w:numId w:val="33"/>
        </w:numPr>
        <w:rPr>
          <w:rFonts w:ascii="Arial" w:cs="Arial" w:eastAsia="Arial" w:hAnsi="Arial"/>
          <w:sz w:val="20"/>
          <w:szCs w:val="20"/>
          <w:color w:val="auto"/>
        </w:rPr>
      </w:pPr>
      <w:r>
        <w:rPr>
          <w:rFonts w:ascii="Arial" w:cs="Arial" w:eastAsia="Arial" w:hAnsi="Arial"/>
          <w:sz w:val="20"/>
          <w:szCs w:val="20"/>
          <w:color w:val="auto"/>
        </w:rPr>
        <w:t>material breach of any of the Executive’s obligations as an employee or stockholder as set forth in the Company’s Information Security Policies and Code of Business Conduct, the Confidentiality Agreement or any other agreement in effect between the Company and the Executive; provided that, in the event such breach is susceptible to cure, the Executive has been given written notice by the CEO and/or Board of such breach and 30 days from such notice fails to cure the breach; or</w:t>
      </w:r>
    </w:p>
    <w:p>
      <w:pPr>
        <w:spacing w:after="0" w:line="169" w:lineRule="exact"/>
        <w:rPr>
          <w:rFonts w:ascii="Arial" w:cs="Arial" w:eastAsia="Arial" w:hAnsi="Arial"/>
          <w:sz w:val="20"/>
          <w:szCs w:val="20"/>
          <w:color w:val="auto"/>
        </w:rPr>
      </w:pPr>
    </w:p>
    <w:p>
      <w:pPr>
        <w:jc w:val="both"/>
        <w:ind w:left="200" w:right="199" w:firstLine="1225"/>
        <w:spacing w:after="0" w:line="246" w:lineRule="auto"/>
        <w:tabs>
          <w:tab w:leader="none" w:pos="2041" w:val="left"/>
        </w:tabs>
        <w:numPr>
          <w:ilvl w:val="1"/>
          <w:numId w:val="33"/>
        </w:numPr>
        <w:rPr>
          <w:rFonts w:ascii="Arial" w:cs="Arial" w:eastAsia="Arial" w:hAnsi="Arial"/>
          <w:sz w:val="20"/>
          <w:szCs w:val="20"/>
          <w:color w:val="auto"/>
        </w:rPr>
      </w:pPr>
      <w:r>
        <w:rPr>
          <w:rFonts w:ascii="Arial" w:cs="Arial" w:eastAsia="Arial" w:hAnsi="Arial"/>
          <w:sz w:val="20"/>
          <w:szCs w:val="20"/>
          <w:color w:val="auto"/>
        </w:rPr>
        <w:t>failure or refusal to perform any material duty or responsibility under this Agreement or a determination that the Executive has breached his fiduciary obligations to the Company; provided that, in the event such failure, refusal or breach is susceptible to cure, the</w:t>
      </w:r>
    </w:p>
    <w:p>
      <w:pPr>
        <w:spacing w:after="0" w:line="1" w:lineRule="exact"/>
        <w:rPr>
          <w:sz w:val="20"/>
          <w:szCs w:val="20"/>
          <w:color w:val="auto"/>
        </w:rPr>
      </w:pPr>
    </w:p>
    <w:p>
      <w:pPr>
        <w:ind w:left="200" w:right="199"/>
        <w:spacing w:after="0" w:line="252" w:lineRule="auto"/>
        <w:rPr>
          <w:sz w:val="20"/>
          <w:szCs w:val="20"/>
          <w:color w:val="auto"/>
        </w:rPr>
      </w:pPr>
      <w:r>
        <w:rPr>
          <w:rFonts w:ascii="Arial" w:cs="Arial" w:eastAsia="Arial" w:hAnsi="Arial"/>
          <w:sz w:val="20"/>
          <w:szCs w:val="20"/>
          <w:color w:val="auto"/>
        </w:rPr>
        <w:t>Executive has been given written notice by the CEO and/or Board of such failure, refusal or breach and 30 days from such notice fails to cure such failure, refusal or breach.</w:t>
      </w:r>
    </w:p>
    <w:p>
      <w:pPr>
        <w:spacing w:after="0" w:line="172" w:lineRule="exact"/>
        <w:rPr>
          <w:sz w:val="20"/>
          <w:szCs w:val="20"/>
          <w:color w:val="auto"/>
        </w:rPr>
      </w:pPr>
    </w:p>
    <w:p>
      <w:pPr>
        <w:jc w:val="both"/>
        <w:ind w:left="200" w:right="199" w:hanging="2"/>
        <w:spacing w:after="0" w:line="248" w:lineRule="auto"/>
        <w:tabs>
          <w:tab w:leader="none" w:pos="814"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 xml:space="preserve">Notice. </w:t>
      </w:r>
      <w:r>
        <w:rPr>
          <w:rFonts w:ascii="Arial" w:cs="Arial" w:eastAsia="Arial" w:hAnsi="Arial"/>
          <w:sz w:val="20"/>
          <w:szCs w:val="20"/>
          <w:color w:val="auto"/>
        </w:rPr>
        <w:t>The Executive will send all communications to the Company in writing, to:</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Vice President of Human Resources, Citi Trends, Inc., 104 Coleman Blvd., Savannah, Georgia 31408, Fax: (866) 231-8835. All communications from the Company to the Executive relating to this Agreement shall be sent to the Executive in writing at his office and home address as reflected in the Company’s records.</w:t>
      </w:r>
    </w:p>
    <w:p>
      <w:pPr>
        <w:spacing w:after="0" w:line="178" w:lineRule="exact"/>
        <w:rPr>
          <w:rFonts w:ascii="Arial" w:cs="Arial" w:eastAsia="Arial" w:hAnsi="Arial"/>
          <w:sz w:val="20"/>
          <w:szCs w:val="20"/>
          <w:color w:val="auto"/>
        </w:rPr>
      </w:pPr>
    </w:p>
    <w:p>
      <w:pPr>
        <w:ind w:left="200" w:right="219" w:hanging="2"/>
        <w:spacing w:after="0" w:line="275" w:lineRule="auto"/>
        <w:tabs>
          <w:tab w:leader="none" w:pos="814" w:val="left"/>
        </w:tabs>
        <w:numPr>
          <w:ilvl w:val="0"/>
          <w:numId w:val="34"/>
        </w:numPr>
        <w:rPr>
          <w:rFonts w:ascii="Arial" w:cs="Arial" w:eastAsia="Arial" w:hAnsi="Arial"/>
          <w:sz w:val="20"/>
          <w:szCs w:val="20"/>
          <w:color w:val="auto"/>
        </w:rPr>
      </w:pPr>
      <w:r>
        <w:rPr>
          <w:rFonts w:ascii="Arial" w:cs="Arial" w:eastAsia="Arial" w:hAnsi="Arial"/>
          <w:sz w:val="20"/>
          <w:szCs w:val="20"/>
          <w:b w:val="1"/>
          <w:bCs w:val="1"/>
          <w:color w:val="auto"/>
        </w:rPr>
        <w:t xml:space="preserve">Amendment. </w:t>
      </w:r>
      <w:r>
        <w:rPr>
          <w:rFonts w:ascii="Arial" w:cs="Arial" w:eastAsia="Arial" w:hAnsi="Arial"/>
          <w:sz w:val="20"/>
          <w:szCs w:val="20"/>
          <w:color w:val="auto"/>
        </w:rPr>
        <w:t>No provisions of this Agreement may be modified, waived, or discharged except</w:t>
      </w:r>
      <w:r>
        <w:rPr>
          <w:rFonts w:ascii="Arial" w:cs="Arial" w:eastAsia="Arial" w:hAnsi="Arial"/>
          <w:sz w:val="20"/>
          <w:szCs w:val="20"/>
          <w:b w:val="1"/>
          <w:bCs w:val="1"/>
          <w:color w:val="auto"/>
        </w:rPr>
        <w:t xml:space="preserve"> </w:t>
      </w:r>
      <w:r>
        <w:rPr>
          <w:rFonts w:ascii="Arial" w:cs="Arial" w:eastAsia="Arial" w:hAnsi="Arial"/>
          <w:sz w:val="20"/>
          <w:szCs w:val="20"/>
          <w:color w:val="auto"/>
        </w:rPr>
        <w:t>by a written document signed by a duly authorized Company officer and the Executive. A</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-635</wp:posOffset>
            </wp:positionV>
            <wp:extent cx="558990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589905" cy="16510"/>
                    </a:xfrm>
                    <a:prstGeom prst="rect">
                      <a:avLst/>
                    </a:prstGeom>
                    <a:noFill/>
                  </pic:spPr>
                </pic:pic>
              </a:graphicData>
            </a:graphic>
          </wp:anchor>
        </w:drawing>
      </w:r>
    </w:p>
    <w:p>
      <w:pPr>
        <w:sectPr>
          <w:pgSz w:w="11900" w:h="16838" w:orient="portrait"/>
          <w:cols w:equalWidth="0" w:num="1">
            <w:col w:w="9019"/>
          </w:cols>
          <w:pgMar w:left="1440" w:top="387" w:right="1440" w:bottom="1440" w:gutter="0" w:footer="0" w:header="0"/>
        </w:sectPr>
      </w:pPr>
    </w:p>
    <w:bookmarkStart w:id="29" w:name="page30"/>
    <w:bookmarkEnd w:id="29"/>
    <w:p>
      <w:pPr>
        <w:ind w:left="200" w:right="219"/>
        <w:spacing w:after="0" w:line="271" w:lineRule="auto"/>
        <w:rPr>
          <w:sz w:val="20"/>
          <w:szCs w:val="20"/>
          <w:color w:val="auto"/>
        </w:rPr>
      </w:pPr>
      <w:r>
        <w:rPr>
          <w:rFonts w:ascii="Arial" w:cs="Arial" w:eastAsia="Arial" w:hAnsi="Arial"/>
          <w:sz w:val="20"/>
          <w:szCs w:val="20"/>
          <w:color w:val="auto"/>
        </w:rPr>
        <w:t>waiver of any conditions or provisions of this Agreement in a given instance shall not be deemed a waiver of such conditions or provisions at any other time in the future.</w:t>
      </w:r>
    </w:p>
    <w:p>
      <w:pPr>
        <w:spacing w:after="0" w:line="141" w:lineRule="exact"/>
        <w:rPr>
          <w:sz w:val="20"/>
          <w:szCs w:val="20"/>
          <w:color w:val="auto"/>
        </w:rPr>
      </w:pPr>
    </w:p>
    <w:p>
      <w:pPr>
        <w:jc w:val="both"/>
        <w:ind w:left="200" w:right="199" w:hanging="2"/>
        <w:spacing w:after="0" w:line="269" w:lineRule="auto"/>
        <w:tabs>
          <w:tab w:leader="none" w:pos="814"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 xml:space="preserve">Choice of Law and Venue. </w:t>
      </w:r>
      <w:r>
        <w:rPr>
          <w:rFonts w:ascii="Arial" w:cs="Arial" w:eastAsia="Arial" w:hAnsi="Arial"/>
          <w:sz w:val="19"/>
          <w:szCs w:val="19"/>
          <w:color w:val="auto"/>
        </w:rPr>
        <w:t>The validity, interpretation, construction, and performance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governed by the laws of the State of Georgia (excluding any that mandate the use of another jurisdiction’s laws). Any action to enforce or for breach of this Agreement shall be brought exclusively in the state or federal courts of the County of Chatham, City of Savannah.</w:t>
      </w:r>
    </w:p>
    <w:p>
      <w:pPr>
        <w:spacing w:after="0" w:line="157" w:lineRule="exact"/>
        <w:rPr>
          <w:rFonts w:ascii="Arial" w:cs="Arial" w:eastAsia="Arial" w:hAnsi="Arial"/>
          <w:sz w:val="19"/>
          <w:szCs w:val="19"/>
          <w:color w:val="auto"/>
        </w:rPr>
      </w:pPr>
    </w:p>
    <w:p>
      <w:pPr>
        <w:jc w:val="both"/>
        <w:ind w:left="200" w:right="199" w:hanging="2"/>
        <w:spacing w:after="0" w:line="265" w:lineRule="auto"/>
        <w:tabs>
          <w:tab w:leader="none" w:pos="814"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 xml:space="preserve">Successors. </w:t>
      </w:r>
      <w:r>
        <w:rPr>
          <w:rFonts w:ascii="Arial" w:cs="Arial" w:eastAsia="Arial" w:hAnsi="Arial"/>
          <w:sz w:val="19"/>
          <w:szCs w:val="19"/>
          <w:color w:val="auto"/>
        </w:rPr>
        <w:t>This Agreement shall be binding upon, and shall inure to the benefit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and Executive’s estate, but the Executive may not assign or pledge this Agreement or any rights arising under it, except to the extent permitted under the terms of the benefit plans in which Executive participates. Without the Executive’s consent, the Company may assign this Agreement to any affiliate or to a successor to substantially all the business and assets of the Company.</w:t>
      </w:r>
    </w:p>
    <w:p>
      <w:pPr>
        <w:spacing w:after="0" w:line="160" w:lineRule="exact"/>
        <w:rPr>
          <w:rFonts w:ascii="Arial" w:cs="Arial" w:eastAsia="Arial" w:hAnsi="Arial"/>
          <w:sz w:val="19"/>
          <w:szCs w:val="19"/>
          <w:color w:val="auto"/>
        </w:rPr>
      </w:pPr>
    </w:p>
    <w:p>
      <w:pPr>
        <w:ind w:left="200" w:right="219" w:hanging="2"/>
        <w:spacing w:after="0" w:line="302" w:lineRule="auto"/>
        <w:tabs>
          <w:tab w:leader="none" w:pos="814"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 xml:space="preserve">Counterparts. </w:t>
      </w:r>
      <w:r>
        <w:rPr>
          <w:rFonts w:ascii="Arial" w:cs="Arial" w:eastAsia="Arial" w:hAnsi="Arial"/>
          <w:sz w:val="19"/>
          <w:szCs w:val="19"/>
          <w:color w:val="auto"/>
        </w:rPr>
        <w:t>This Agreement may be executed in one or more counterparts, each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deemed to be an original but all of which together shall constitute the same instrument.</w:t>
      </w:r>
    </w:p>
    <w:p>
      <w:pPr>
        <w:spacing w:after="0" w:line="114" w:lineRule="exact"/>
        <w:rPr>
          <w:rFonts w:ascii="Arial" w:cs="Arial" w:eastAsia="Arial" w:hAnsi="Arial"/>
          <w:sz w:val="19"/>
          <w:szCs w:val="19"/>
          <w:color w:val="auto"/>
        </w:rPr>
      </w:pPr>
    </w:p>
    <w:p>
      <w:pPr>
        <w:jc w:val="both"/>
        <w:ind w:left="200" w:right="199" w:hanging="2"/>
        <w:spacing w:after="0" w:line="255" w:lineRule="auto"/>
        <w:tabs>
          <w:tab w:leader="none" w:pos="814"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 xml:space="preserve">Entire Agreement. </w:t>
      </w:r>
      <w:r>
        <w:rPr>
          <w:rFonts w:ascii="Arial" w:cs="Arial" w:eastAsia="Arial" w:hAnsi="Arial"/>
          <w:sz w:val="19"/>
          <w:szCs w:val="19"/>
          <w:color w:val="auto"/>
        </w:rPr>
        <w:t>This Agreement and the Confidentiality Agreement between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the entire agreement between the parties and supersede any and all prior contracts, agreements, or understandings between the parties which may have been entered into by Company and the Executive relating to the subject matter hereof (including, without limitation, the Prior Severance Agreement), except for the Equity Agreements, which are to remain in full force and effect. This Agreement may not be amended or modified in any manner except by an instrument in writing signed by both the Company and the Executive.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w:t>
      </w:r>
    </w:p>
    <w:p>
      <w:pPr>
        <w:ind w:left="200"/>
        <w:spacing w:after="0"/>
        <w:rPr>
          <w:sz w:val="20"/>
          <w:szCs w:val="20"/>
          <w:color w:val="auto"/>
        </w:rPr>
      </w:pPr>
      <w:r>
        <w:rPr>
          <w:rFonts w:ascii="Arial" w:cs="Arial" w:eastAsia="Arial" w:hAnsi="Arial"/>
          <w:sz w:val="19"/>
          <w:szCs w:val="19"/>
          <w:color w:val="auto"/>
        </w:rPr>
        <w:t>cumulative, including the right of either party to seek equitable relief in addition to money damages.</w:t>
      </w:r>
    </w:p>
    <w:p>
      <w:pPr>
        <w:spacing w:after="0" w:line="207" w:lineRule="exact"/>
        <w:rPr>
          <w:sz w:val="20"/>
          <w:szCs w:val="20"/>
          <w:color w:val="auto"/>
        </w:rPr>
      </w:pPr>
    </w:p>
    <w:p>
      <w:pPr>
        <w:ind w:left="200" w:right="199" w:hanging="2"/>
        <w:spacing w:after="0" w:line="275" w:lineRule="auto"/>
        <w:tabs>
          <w:tab w:leader="none" w:pos="814" w:val="left"/>
        </w:tabs>
        <w:numPr>
          <w:ilvl w:val="0"/>
          <w:numId w:val="36"/>
        </w:numPr>
        <w:rPr>
          <w:rFonts w:ascii="Arial" w:cs="Arial" w:eastAsia="Arial" w:hAnsi="Arial"/>
          <w:sz w:val="20"/>
          <w:szCs w:val="20"/>
          <w:color w:val="auto"/>
        </w:rPr>
      </w:pPr>
      <w:r>
        <w:rPr>
          <w:rFonts w:ascii="Arial" w:cs="Arial" w:eastAsia="Arial" w:hAnsi="Arial"/>
          <w:sz w:val="20"/>
          <w:szCs w:val="20"/>
          <w:b w:val="1"/>
          <w:bCs w:val="1"/>
          <w:color w:val="auto"/>
        </w:rPr>
        <w:t xml:space="preserve">Employment At-Will Relationship. </w:t>
      </w:r>
      <w:r>
        <w:rPr>
          <w:rFonts w:ascii="Arial" w:cs="Arial" w:eastAsia="Arial" w:hAnsi="Arial"/>
          <w:sz w:val="20"/>
          <w:szCs w:val="20"/>
          <w:color w:val="auto"/>
        </w:rPr>
        <w:t>Executive and the Company agree that nothing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alters the at-will nature of Executive’s employment relationship with the Company.</w:t>
      </w:r>
    </w:p>
    <w:p>
      <w:pPr>
        <w:spacing w:after="0" w:line="150" w:lineRule="exact"/>
        <w:rPr>
          <w:rFonts w:ascii="Arial" w:cs="Arial" w:eastAsia="Arial" w:hAnsi="Arial"/>
          <w:sz w:val="20"/>
          <w:szCs w:val="20"/>
          <w:color w:val="auto"/>
        </w:rPr>
      </w:pPr>
    </w:p>
    <w:p>
      <w:pPr>
        <w:ind w:left="200" w:right="619" w:hanging="2"/>
        <w:spacing w:after="0" w:line="275" w:lineRule="auto"/>
        <w:tabs>
          <w:tab w:leader="none" w:pos="814"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Internal Revenue Code Section 409A. </w:t>
      </w:r>
      <w:r>
        <w:rPr>
          <w:rFonts w:ascii="Arial" w:cs="Arial" w:eastAsia="Arial" w:hAnsi="Arial"/>
          <w:sz w:val="18"/>
          <w:szCs w:val="18"/>
          <w:color w:val="auto"/>
        </w:rPr>
        <w:t>Notwithstanding anything in this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to the extent that any amount or benefit that would constitute non-exempt “deferred compensation” for purposes of Section 409A of the Internal Revenue Code (“</w:t>
      </w:r>
      <w:r>
        <w:rPr>
          <w:rFonts w:ascii="Arial" w:cs="Arial" w:eastAsia="Arial" w:hAnsi="Arial"/>
          <w:sz w:val="18"/>
          <w:szCs w:val="18"/>
          <w:u w:val="single" w:color="auto"/>
          <w:color w:val="auto"/>
        </w:rPr>
        <w:t>Section 409A</w:t>
      </w:r>
      <w:r>
        <w:rPr>
          <w:rFonts w:ascii="Arial" w:cs="Arial" w:eastAsia="Arial" w:hAnsi="Arial"/>
          <w:sz w:val="18"/>
          <w:szCs w:val="18"/>
          <w:color w:val="auto"/>
        </w:rPr>
        <w:t>”) would</w:t>
      </w:r>
    </w:p>
    <w:p>
      <w:pPr>
        <w:ind w:left="200" w:right="299"/>
        <w:spacing w:after="0" w:line="242" w:lineRule="auto"/>
        <w:rPr>
          <w:sz w:val="20"/>
          <w:szCs w:val="20"/>
          <w:color w:val="auto"/>
        </w:rPr>
      </w:pPr>
      <w:r>
        <w:rPr>
          <w:rFonts w:ascii="Arial" w:cs="Arial" w:eastAsia="Arial" w:hAnsi="Arial"/>
          <w:sz w:val="20"/>
          <w:szCs w:val="20"/>
          <w:color w:val="auto"/>
        </w:rPr>
        <w:t>otherwise be payable or distributable hereunder by reason of a Participant’s termination of employment, such amount or benefit will not be payable or distributable to the Participant by reason of such circumstance unless the circumstances giving rise to such termination of employment meet any description or definition of “separation from service” in Section 409A of the Code and applicable regulations (without giving effect to any elective provisions that may be available under such definition). For purposes of Section 409A, each installment payable under Section 1(a) and 1(b) of this Agreement shall be deemed to be a separate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423545</wp:posOffset>
            </wp:positionV>
            <wp:extent cx="558990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58990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387" w:right="1440" w:bottom="1440" w:gutter="0" w:footer="0" w:header="0"/>
        </w:sectPr>
      </w:pPr>
    </w:p>
    <w:bookmarkStart w:id="30" w:name="page31"/>
    <w:bookmarkEnd w:id="30"/>
    <w:p>
      <w:pPr>
        <w:ind w:left="820"/>
        <w:spacing w:after="0"/>
        <w:rPr>
          <w:sz w:val="20"/>
          <w:szCs w:val="20"/>
          <w:color w:val="auto"/>
        </w:rPr>
      </w:pPr>
      <w:r>
        <w:rPr>
          <w:rFonts w:ascii="Arial" w:cs="Arial" w:eastAsia="Arial" w:hAnsi="Arial"/>
          <w:sz w:val="18"/>
          <w:szCs w:val="18"/>
          <w:color w:val="auto"/>
        </w:rPr>
        <w:t>IN WITNESS WHEREOF, the parties hereto have set their hands as of the day and year set forth</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below.</w:t>
      </w:r>
    </w:p>
    <w:p>
      <w:pPr>
        <w:spacing w:after="0" w:line="199" w:lineRule="exact"/>
        <w:rPr>
          <w:sz w:val="20"/>
          <w:szCs w:val="20"/>
          <w:color w:val="auto"/>
        </w:rPr>
      </w:pPr>
    </w:p>
    <w:tbl>
      <w:tblPr>
        <w:tblLayout w:type="fixed"/>
        <w:tblInd w:w="3880" w:type="dxa"/>
        <w:tblCellMar>
          <w:top w:w="0" w:type="dxa"/>
          <w:left w:w="0" w:type="dxa"/>
          <w:bottom w:w="0" w:type="dxa"/>
          <w:right w:w="0" w:type="dxa"/>
        </w:tblCellMar>
      </w:tblPr>
      <w:tr>
        <w:trPr>
          <w:trHeight w:val="260"/>
        </w:trPr>
        <w:tc>
          <w:tcPr>
            <w:tcW w:w="3000" w:type="dxa"/>
            <w:vAlign w:val="bottom"/>
            <w:gridSpan w:val="3"/>
          </w:tcPr>
          <w:p>
            <w:pPr>
              <w:spacing w:after="0"/>
              <w:rPr>
                <w:sz w:val="20"/>
                <w:szCs w:val="20"/>
                <w:color w:val="auto"/>
              </w:rPr>
            </w:pPr>
            <w:r>
              <w:rPr>
                <w:rFonts w:ascii="Arial" w:cs="Arial" w:eastAsia="Arial" w:hAnsi="Arial"/>
                <w:sz w:val="20"/>
                <w:szCs w:val="20"/>
                <w:color w:val="auto"/>
              </w:rPr>
              <w:t>CITI TRENDS, INC.</w:t>
            </w:r>
          </w:p>
        </w:tc>
        <w:tc>
          <w:tcPr>
            <w:tcW w:w="1200" w:type="dxa"/>
            <w:vAlign w:val="bottom"/>
          </w:tcPr>
          <w:p>
            <w:pPr>
              <w:spacing w:after="0"/>
              <w:rPr>
                <w:sz w:val="22"/>
                <w:szCs w:val="22"/>
                <w:color w:val="auto"/>
              </w:rPr>
            </w:pPr>
          </w:p>
        </w:tc>
      </w:tr>
      <w:tr>
        <w:trPr>
          <w:trHeight w:val="643"/>
        </w:trPr>
        <w:tc>
          <w:tcPr>
            <w:tcW w:w="520" w:type="dxa"/>
            <w:vAlign w:val="bottom"/>
          </w:tcPr>
          <w:p>
            <w:pPr>
              <w:spacing w:after="0"/>
              <w:rPr>
                <w:sz w:val="20"/>
                <w:szCs w:val="20"/>
                <w:color w:val="auto"/>
              </w:rPr>
            </w:pPr>
            <w:r>
              <w:rPr>
                <w:rFonts w:ascii="Arial" w:cs="Arial" w:eastAsia="Arial" w:hAnsi="Arial"/>
                <w:sz w:val="20"/>
                <w:szCs w:val="20"/>
                <w:color w:val="auto"/>
              </w:rPr>
              <w:t>By:</w:t>
            </w:r>
          </w:p>
        </w:tc>
        <w:tc>
          <w:tcPr>
            <w:tcW w:w="100" w:type="dxa"/>
            <w:vAlign w:val="bottom"/>
          </w:tcPr>
          <w:p>
            <w:pPr>
              <w:spacing w:after="0"/>
              <w:rPr>
                <w:sz w:val="24"/>
                <w:szCs w:val="24"/>
                <w:color w:val="auto"/>
              </w:rPr>
            </w:pPr>
          </w:p>
        </w:tc>
        <w:tc>
          <w:tcPr>
            <w:tcW w:w="23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David N. Makuen</w:t>
            </w:r>
          </w:p>
        </w:tc>
        <w:tc>
          <w:tcPr>
            <w:tcW w:w="1200" w:type="dxa"/>
            <w:vAlign w:val="bottom"/>
          </w:tcPr>
          <w:p>
            <w:pPr>
              <w:ind w:left="60"/>
              <w:spacing w:after="0"/>
              <w:rPr>
                <w:sz w:val="20"/>
                <w:szCs w:val="20"/>
                <w:color w:val="auto"/>
              </w:rPr>
            </w:pPr>
            <w:r>
              <w:rPr>
                <w:rFonts w:ascii="Arial" w:cs="Arial" w:eastAsia="Arial" w:hAnsi="Arial"/>
                <w:sz w:val="20"/>
                <w:szCs w:val="20"/>
                <w:color w:val="auto"/>
                <w:w w:val="96"/>
              </w:rPr>
              <w:t>Name: David</w:t>
            </w:r>
          </w:p>
        </w:tc>
      </w:tr>
      <w:tr>
        <w:trPr>
          <w:trHeight w:val="227"/>
        </w:trPr>
        <w:tc>
          <w:tcPr>
            <w:tcW w:w="3000" w:type="dxa"/>
            <w:vAlign w:val="bottom"/>
            <w:gridSpan w:val="3"/>
          </w:tcPr>
          <w:p>
            <w:pPr>
              <w:spacing w:after="0" w:line="227" w:lineRule="exact"/>
              <w:rPr>
                <w:sz w:val="20"/>
                <w:szCs w:val="20"/>
                <w:color w:val="auto"/>
              </w:rPr>
            </w:pPr>
            <w:r>
              <w:rPr>
                <w:rFonts w:ascii="Arial" w:cs="Arial" w:eastAsia="Arial" w:hAnsi="Arial"/>
                <w:sz w:val="20"/>
                <w:szCs w:val="20"/>
                <w:color w:val="auto"/>
              </w:rPr>
              <w:t>N. Makuen</w:t>
            </w:r>
          </w:p>
        </w:tc>
        <w:tc>
          <w:tcPr>
            <w:tcW w:w="1200" w:type="dxa"/>
            <w:vAlign w:val="bottom"/>
          </w:tcPr>
          <w:p>
            <w:pPr>
              <w:spacing w:after="0"/>
              <w:rPr>
                <w:sz w:val="19"/>
                <w:szCs w:val="19"/>
                <w:color w:val="auto"/>
              </w:rPr>
            </w:pPr>
          </w:p>
        </w:tc>
      </w:tr>
      <w:tr>
        <w:trPr>
          <w:trHeight w:val="260"/>
        </w:trPr>
        <w:tc>
          <w:tcPr>
            <w:tcW w:w="520" w:type="dxa"/>
            <w:vAlign w:val="bottom"/>
          </w:tcPr>
          <w:p>
            <w:pPr>
              <w:spacing w:after="0"/>
              <w:rPr>
                <w:sz w:val="20"/>
                <w:szCs w:val="20"/>
                <w:color w:val="auto"/>
              </w:rPr>
            </w:pPr>
            <w:r>
              <w:rPr>
                <w:rFonts w:ascii="Arial" w:cs="Arial" w:eastAsia="Arial" w:hAnsi="Arial"/>
                <w:sz w:val="20"/>
                <w:szCs w:val="20"/>
                <w:color w:val="auto"/>
              </w:rPr>
              <w:t>Title:</w:t>
            </w:r>
          </w:p>
        </w:tc>
        <w:tc>
          <w:tcPr>
            <w:tcW w:w="2480" w:type="dxa"/>
            <w:vAlign w:val="bottom"/>
            <w:gridSpan w:val="2"/>
          </w:tcPr>
          <w:p>
            <w:pPr>
              <w:ind w:left="80"/>
              <w:spacing w:after="0"/>
              <w:rPr>
                <w:sz w:val="20"/>
                <w:szCs w:val="20"/>
                <w:color w:val="auto"/>
              </w:rPr>
            </w:pPr>
            <w:r>
              <w:rPr>
                <w:rFonts w:ascii="Arial" w:cs="Arial" w:eastAsia="Arial" w:hAnsi="Arial"/>
                <w:sz w:val="20"/>
                <w:szCs w:val="20"/>
                <w:color w:val="auto"/>
              </w:rPr>
              <w:t>Chief Executive Officer</w:t>
            </w:r>
          </w:p>
        </w:tc>
        <w:tc>
          <w:tcPr>
            <w:tcW w:w="1200" w:type="dxa"/>
            <w:vAlign w:val="bottom"/>
          </w:tcPr>
          <w:p>
            <w:pPr>
              <w:spacing w:after="0"/>
              <w:rPr>
                <w:sz w:val="22"/>
                <w:szCs w:val="22"/>
                <w:color w:val="auto"/>
              </w:rPr>
            </w:pPr>
          </w:p>
        </w:tc>
      </w:tr>
    </w:tbl>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Dated: 4/6/21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-10160</wp:posOffset>
            </wp:positionV>
            <wp:extent cx="19462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190" w:lineRule="exact"/>
        <w:rPr>
          <w:sz w:val="20"/>
          <w:szCs w:val="20"/>
          <w:color w:val="auto"/>
        </w:rPr>
      </w:pPr>
    </w:p>
    <w:p>
      <w:pPr>
        <w:ind w:left="3960"/>
        <w:spacing w:after="0"/>
        <w:rPr>
          <w:sz w:val="20"/>
          <w:szCs w:val="20"/>
          <w:color w:val="auto"/>
        </w:rPr>
      </w:pPr>
      <w:r>
        <w:rPr>
          <w:rFonts w:ascii="Arial" w:cs="Arial" w:eastAsia="Arial" w:hAnsi="Arial"/>
          <w:sz w:val="21"/>
          <w:szCs w:val="21"/>
          <w:color w:val="auto"/>
        </w:rPr>
        <w:t>/s/ Jessica Berkowitz</w:t>
      </w:r>
    </w:p>
    <w:p>
      <w:pPr>
        <w:spacing w:after="0" w:line="34"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Employee Name</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Dated: 4/6/21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443230</wp:posOffset>
            </wp:positionV>
            <wp:extent cx="5484495"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484495" cy="24130"/>
                    </a:xfrm>
                    <a:prstGeom prst="rect">
                      <a:avLst/>
                    </a:prstGeom>
                    <a:noFill/>
                  </pic:spPr>
                </pic:pic>
              </a:graphicData>
            </a:graphic>
          </wp:anchor>
        </w:drawing>
        <w:drawing>
          <wp:anchor simplePos="0" relativeHeight="251657728" behindDoc="1" locked="0" layoutInCell="0" allowOverlap="1">
            <wp:simplePos x="0" y="0"/>
            <wp:positionH relativeFrom="column">
              <wp:posOffset>2849880</wp:posOffset>
            </wp:positionH>
            <wp:positionV relativeFrom="paragraph">
              <wp:posOffset>-10160</wp:posOffset>
            </wp:positionV>
            <wp:extent cx="19462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732"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9"/>
          <w:szCs w:val="19"/>
          <w:b w:val="1"/>
          <w:bCs w:val="1"/>
          <w:color w:val="auto"/>
        </w:rPr>
        <w:t>Exhibit 10.4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PERFORMANCE-BASED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STOCK UNIT AWARD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Non-transferable Grant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(“Grantee”)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by Citi Trends, Inc. (the “Company”) of</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______</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units (the “Units”) representing the right to earn, on a one-for-one basis, shares of the Company’s common</w:t>
      </w:r>
    </w:p>
    <w:p>
      <w:pPr>
        <w:spacing w:after="0" w:line="42"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stock (“Shares”) , as provided herein, pursuant to and subject to the provisions of the Citi Trends 2012 Incentive Plan (the “Plan”), and to the terms and conditions set forth on the following page of this Agreement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target number of Shares subject to this award is _____ (the “Target Award”). Depending on the Company’s level of attainment of</w:t>
      </w:r>
    </w:p>
    <w:p>
      <w:pPr>
        <w:spacing w:after="0" w:line="38"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achievement Adjusted EBIT (as defined in Section 14 of the terms and conditions of this Agreement) for the fiscal year ended February 4, 2023 (“fiscal 2022”)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and subject to Grantee’s remaining in Continuous Service with the Company through such date, Grantee may earn and vest in between 0% and 200% of the Target Award, subject to the terms and conditions of this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Units, Grantee shall be deemed to have agreed to the terms and conditions of this Agreement and the Plan.</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Capitalized terms used herein and not otherwise defined shall have the meanings assigned to such terms in the Plan.</w:t>
      </w:r>
    </w:p>
    <w:p>
      <w:pPr>
        <w:spacing w:after="0" w:line="187" w:lineRule="exact"/>
        <w:rPr>
          <w:sz w:val="20"/>
          <w:szCs w:val="20"/>
          <w:color w:val="auto"/>
        </w:rPr>
      </w:pPr>
    </w:p>
    <w:p>
      <w:pPr>
        <w:jc w:val="center"/>
        <w:ind w:right="20"/>
        <w:spacing w:after="0" w:line="261" w:lineRule="auto"/>
        <w:rPr>
          <w:sz w:val="20"/>
          <w:szCs w:val="20"/>
          <w:color w:val="auto"/>
        </w:rPr>
      </w:pPr>
      <w:r>
        <w:rPr>
          <w:rFonts w:ascii="Arial" w:cs="Arial" w:eastAsia="Arial" w:hAnsi="Arial"/>
          <w:sz w:val="19"/>
          <w:szCs w:val="19"/>
          <w:color w:val="auto"/>
        </w:rPr>
        <w:t>IN WITNESS WHEREOF, the Company, acting by and through its duly authorized officers, has caused this Agreement to be duly executed.</w:t>
      </w:r>
    </w:p>
    <w:p>
      <w:pPr>
        <w:spacing w:after="0" w:line="172" w:lineRule="exact"/>
        <w:rPr>
          <w:sz w:val="20"/>
          <w:szCs w:val="20"/>
          <w:color w:val="auto"/>
        </w:rPr>
      </w:pPr>
    </w:p>
    <w:p>
      <w:pPr>
        <w:ind w:left="5080"/>
        <w:spacing w:after="0"/>
        <w:rPr>
          <w:sz w:val="20"/>
          <w:szCs w:val="20"/>
          <w:color w:val="auto"/>
        </w:rPr>
      </w:pPr>
      <w:r>
        <w:rPr>
          <w:rFonts w:ascii="Arial" w:cs="Arial" w:eastAsia="Arial" w:hAnsi="Arial"/>
          <w:sz w:val="19"/>
          <w:szCs w:val="19"/>
          <w:b w:val="1"/>
          <w:bCs w:val="1"/>
          <w:color w:val="auto"/>
        </w:rPr>
        <w:t xml:space="preserve">Grant Date of Award: </w:t>
      </w:r>
      <w:r>
        <w:rPr>
          <w:rFonts w:ascii="Arial" w:cs="Arial" w:eastAsia="Arial" w:hAnsi="Arial"/>
          <w:sz w:val="19"/>
          <w:szCs w:val="19"/>
          <w:b w:val="1"/>
          <w:bCs w:val="1"/>
          <w:u w:val="single" w:color="auto"/>
          <w:color w:val="auto"/>
        </w:rPr>
        <w:t>March 10, 2020</w:t>
      </w:r>
    </w:p>
    <w:p>
      <w:pPr>
        <w:spacing w:after="0" w:line="245" w:lineRule="exact"/>
        <w:rPr>
          <w:sz w:val="20"/>
          <w:szCs w:val="20"/>
          <w:color w:val="auto"/>
        </w:rPr>
      </w:pPr>
    </w:p>
    <w:p>
      <w:pPr>
        <w:ind w:left="5080"/>
        <w:spacing w:after="0"/>
        <w:rPr>
          <w:sz w:val="20"/>
          <w:szCs w:val="20"/>
          <w:color w:val="auto"/>
        </w:rPr>
      </w:pPr>
      <w:r>
        <w:rPr>
          <w:rFonts w:ascii="Arial" w:cs="Arial" w:eastAsia="Arial" w:hAnsi="Arial"/>
          <w:sz w:val="19"/>
          <w:szCs w:val="19"/>
          <w:color w:val="auto"/>
        </w:rPr>
        <w:t>CITI TRENDS, INC.</w:t>
      </w: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3411220</wp:posOffset>
            </wp:positionH>
            <wp:positionV relativeFrom="paragraph">
              <wp:posOffset>10160</wp:posOffset>
            </wp:positionV>
            <wp:extent cx="2425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9"/>
          <w:szCs w:val="19"/>
          <w:color w:val="auto"/>
        </w:rPr>
        <w:t>David Makuen,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474980</wp:posOffset>
            </wp:positionV>
            <wp:extent cx="649033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490335" cy="24130"/>
                    </a:xfrm>
                    <a:prstGeom prst="rect">
                      <a:avLst/>
                    </a:prstGeom>
                    <a:noFill/>
                  </pic:spPr>
                </pic:pic>
              </a:graphicData>
            </a:graphic>
          </wp:anchor>
        </w:drawing>
      </w:r>
    </w:p>
    <w:p>
      <w:pPr>
        <w:sectPr>
          <w:pgSz w:w="11900" w:h="16838" w:orient="portrait"/>
          <w:cols w:equalWidth="0" w:num="1">
            <w:col w:w="10220"/>
          </w:cols>
          <w:pgMar w:left="840" w:top="118" w:right="8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2"/>
        </w:trPr>
        <w:tc>
          <w:tcPr>
            <w:tcW w:w="2060" w:type="dxa"/>
            <w:vAlign w:val="bottom"/>
            <w:gridSpan w:val="14"/>
          </w:tcPr>
          <w:p>
            <w:pPr>
              <w:spacing w:after="0"/>
              <w:rPr>
                <w:sz w:val="20"/>
                <w:szCs w:val="20"/>
                <w:color w:val="auto"/>
              </w:rPr>
            </w:pPr>
            <w:r>
              <w:rPr>
                <w:rFonts w:ascii="Arial" w:cs="Arial" w:eastAsia="Arial" w:hAnsi="Arial"/>
                <w:sz w:val="15"/>
                <w:szCs w:val="15"/>
                <w:b w:val="1"/>
                <w:bCs w:val="1"/>
                <w:color w:val="auto"/>
              </w:rPr>
              <w:t>TERMS AND CONDITIONS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17"/>
          </w:tcPr>
          <w:p>
            <w:pPr>
              <w:ind w:left="60"/>
              <w:spacing w:after="0"/>
              <w:rPr>
                <w:sz w:val="20"/>
                <w:szCs w:val="20"/>
                <w:color w:val="auto"/>
              </w:rPr>
            </w:pPr>
            <w:r>
              <w:rPr>
                <w:rFonts w:ascii="Arial" w:cs="Arial" w:eastAsia="Arial" w:hAnsi="Arial"/>
                <w:sz w:val="15"/>
                <w:szCs w:val="15"/>
                <w:color w:val="auto"/>
                <w:w w:val="99"/>
              </w:rPr>
              <w:t>5. Dividend Rights.  Grantee shall accrue cash and</w:t>
            </w:r>
          </w:p>
        </w:tc>
        <w:tc>
          <w:tcPr>
            <w:tcW w:w="3380" w:type="dxa"/>
            <w:vAlign w:val="bottom"/>
            <w:gridSpan w:val="14"/>
          </w:tcPr>
          <w:p>
            <w:pPr>
              <w:ind w:left="80"/>
              <w:spacing w:after="0"/>
              <w:rPr>
                <w:sz w:val="20"/>
                <w:szCs w:val="20"/>
                <w:color w:val="auto"/>
              </w:rPr>
            </w:pPr>
            <w:r>
              <w:rPr>
                <w:rFonts w:ascii="Arial" w:cs="Arial" w:eastAsia="Arial" w:hAnsi="Arial"/>
                <w:sz w:val="15"/>
                <w:szCs w:val="15"/>
                <w:color w:val="auto"/>
                <w:w w:val="95"/>
              </w:rPr>
              <w:t>9. Amendment. The Committee may amend, modify</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5"/>
                <w:szCs w:val="15"/>
                <w:color w:val="auto"/>
              </w:rPr>
              <w:t>Certificate</w:t>
            </w:r>
          </w:p>
        </w:tc>
        <w:tc>
          <w:tcPr>
            <w:tcW w:w="1420" w:type="dxa"/>
            <w:vAlign w:val="bottom"/>
            <w:gridSpan w:val="4"/>
            <w:vMerge w:val="restart"/>
          </w:tcPr>
          <w:p>
            <w:pPr>
              <w:jc w:val="right"/>
              <w:spacing w:after="0"/>
              <w:rPr>
                <w:sz w:val="20"/>
                <w:szCs w:val="20"/>
                <w:color w:val="auto"/>
              </w:rPr>
            </w:pPr>
            <w:r>
              <w:rPr>
                <w:rFonts w:ascii="Arial" w:cs="Arial" w:eastAsia="Arial" w:hAnsi="Arial"/>
                <w:sz w:val="15"/>
                <w:szCs w:val="15"/>
                <w:color w:val="auto"/>
              </w:rPr>
              <w:t>without  approval  of</w:t>
            </w:r>
          </w:p>
        </w:tc>
        <w:tc>
          <w:tcPr>
            <w:tcW w:w="0" w:type="dxa"/>
            <w:vAlign w:val="bottom"/>
          </w:tcPr>
          <w:p>
            <w:pPr>
              <w:spacing w:after="0" w:line="20" w:lineRule="exact"/>
              <w:rPr>
                <w:sz w:val="1"/>
                <w:szCs w:val="1"/>
                <w:color w:val="auto"/>
              </w:rPr>
            </w:pPr>
          </w:p>
        </w:tc>
      </w:tr>
      <w:tr>
        <w:trPr>
          <w:trHeight w:val="176"/>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rPr>
              <w:t>1.  Grant of Units.  The Company hereby grants to</w:t>
            </w:r>
          </w:p>
        </w:tc>
        <w:tc>
          <w:tcPr>
            <w:tcW w:w="3440" w:type="dxa"/>
            <w:vAlign w:val="bottom"/>
            <w:gridSpan w:val="17"/>
          </w:tcPr>
          <w:p>
            <w:pPr>
              <w:ind w:left="60"/>
              <w:spacing w:after="0"/>
              <w:rPr>
                <w:sz w:val="20"/>
                <w:szCs w:val="20"/>
                <w:color w:val="auto"/>
              </w:rPr>
            </w:pPr>
            <w:r>
              <w:rPr>
                <w:rFonts w:ascii="Arial" w:cs="Arial" w:eastAsia="Arial" w:hAnsi="Arial"/>
                <w:sz w:val="15"/>
                <w:szCs w:val="15"/>
                <w:color w:val="auto"/>
                <w:w w:val="99"/>
              </w:rPr>
              <w:t>non-cash dividends, if any, paid with respect to the</w:t>
            </w:r>
          </w:p>
        </w:tc>
        <w:tc>
          <w:tcPr>
            <w:tcW w:w="400" w:type="dxa"/>
            <w:vAlign w:val="bottom"/>
          </w:tcPr>
          <w:p>
            <w:pPr>
              <w:ind w:left="80"/>
              <w:spacing w:after="0"/>
              <w:rPr>
                <w:sz w:val="20"/>
                <w:szCs w:val="20"/>
                <w:color w:val="auto"/>
              </w:rPr>
            </w:pPr>
            <w:r>
              <w:rPr>
                <w:rFonts w:ascii="Arial" w:cs="Arial" w:eastAsia="Arial" w:hAnsi="Arial"/>
                <w:sz w:val="15"/>
                <w:szCs w:val="15"/>
                <w:color w:val="auto"/>
              </w:rPr>
              <w:t>or</w:t>
            </w:r>
          </w:p>
        </w:tc>
        <w:tc>
          <w:tcPr>
            <w:tcW w:w="860" w:type="dxa"/>
            <w:vAlign w:val="bottom"/>
            <w:gridSpan w:val="7"/>
          </w:tcPr>
          <w:p>
            <w:pPr>
              <w:jc w:val="center"/>
              <w:ind w:right="60"/>
              <w:spacing w:after="0"/>
              <w:rPr>
                <w:sz w:val="20"/>
                <w:szCs w:val="20"/>
                <w:color w:val="auto"/>
              </w:rPr>
            </w:pPr>
            <w:r>
              <w:rPr>
                <w:rFonts w:ascii="Arial" w:cs="Arial" w:eastAsia="Arial" w:hAnsi="Arial"/>
                <w:sz w:val="15"/>
                <w:szCs w:val="15"/>
                <w:color w:val="auto"/>
                <w:w w:val="84"/>
              </w:rPr>
              <w:t>terminate  this</w:t>
            </w:r>
          </w:p>
        </w:tc>
        <w:tc>
          <w:tcPr>
            <w:tcW w:w="700" w:type="dxa"/>
            <w:vAlign w:val="bottom"/>
            <w:gridSpan w:val="2"/>
            <w:vMerge w:val="continue"/>
          </w:tcPr>
          <w:p>
            <w:pPr>
              <w:spacing w:after="0"/>
              <w:rPr>
                <w:sz w:val="15"/>
                <w:szCs w:val="15"/>
                <w:color w:val="auto"/>
              </w:rPr>
            </w:pPr>
          </w:p>
        </w:tc>
        <w:tc>
          <w:tcPr>
            <w:tcW w:w="14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3380" w:type="dxa"/>
            <w:vAlign w:val="bottom"/>
            <w:gridSpan w:val="23"/>
            <w:vMerge w:val="continue"/>
          </w:tcPr>
          <w:p>
            <w:pPr>
              <w:spacing w:after="0"/>
              <w:rPr>
                <w:sz w:val="7"/>
                <w:szCs w:val="7"/>
                <w:color w:val="auto"/>
              </w:rPr>
            </w:pPr>
          </w:p>
        </w:tc>
        <w:tc>
          <w:tcPr>
            <w:tcW w:w="3440" w:type="dxa"/>
            <w:vAlign w:val="bottom"/>
            <w:gridSpan w:val="17"/>
            <w:vMerge w:val="restart"/>
          </w:tcPr>
          <w:p>
            <w:pPr>
              <w:ind w:left="60"/>
              <w:spacing w:after="0"/>
              <w:rPr>
                <w:sz w:val="20"/>
                <w:szCs w:val="20"/>
                <w:color w:val="auto"/>
              </w:rPr>
            </w:pPr>
            <w:r>
              <w:rPr>
                <w:rFonts w:ascii="Arial" w:cs="Arial" w:eastAsia="Arial" w:hAnsi="Arial"/>
                <w:sz w:val="15"/>
                <w:szCs w:val="15"/>
                <w:color w:val="auto"/>
              </w:rPr>
              <w:t>Stock, but the payment of such dividends shall be</w:t>
            </w: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w w:val="95"/>
              </w:rPr>
              <w:t>Grantee; provided, however, that such amendment,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gridSpan w:val="17"/>
            <w:vMerge w:val="continue"/>
          </w:tcPr>
          <w:p>
            <w:pPr>
              <w:spacing w:after="0" w:line="20" w:lineRule="exact"/>
              <w:rPr>
                <w:sz w:val="1"/>
                <w:szCs w:val="1"/>
                <w:color w:val="auto"/>
              </w:rPr>
            </w:pPr>
          </w:p>
        </w:tc>
        <w:tc>
          <w:tcPr>
            <w:tcW w:w="3380" w:type="dxa"/>
            <w:vAlign w:val="bottom"/>
            <w:gridSpan w:val="1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w w:val="95"/>
              </w:rPr>
              <w:t>Grantee, subject to the restrictions and the terms and</w:t>
            </w:r>
          </w:p>
        </w:tc>
        <w:tc>
          <w:tcPr>
            <w:tcW w:w="3440" w:type="dxa"/>
            <w:vAlign w:val="bottom"/>
            <w:gridSpan w:val="17"/>
            <w:vMerge w:val="continue"/>
          </w:tcPr>
          <w:p>
            <w:pPr>
              <w:spacing w:after="0"/>
              <w:rPr>
                <w:sz w:val="6"/>
                <w:szCs w:val="6"/>
                <w:color w:val="auto"/>
              </w:rPr>
            </w:pPr>
          </w:p>
        </w:tc>
        <w:tc>
          <w:tcPr>
            <w:tcW w:w="3380" w:type="dxa"/>
            <w:vAlign w:val="bottom"/>
            <w:gridSpan w:val="1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380" w:type="dxa"/>
            <w:vAlign w:val="bottom"/>
            <w:gridSpan w:val="23"/>
            <w:vMerge w:val="continue"/>
          </w:tcPr>
          <w:p>
            <w:pPr>
              <w:spacing w:after="0"/>
              <w:rPr>
                <w:sz w:val="8"/>
                <w:szCs w:val="8"/>
                <w:color w:val="auto"/>
              </w:rPr>
            </w:pPr>
          </w:p>
        </w:tc>
        <w:tc>
          <w:tcPr>
            <w:tcW w:w="3440" w:type="dxa"/>
            <w:vAlign w:val="bottom"/>
            <w:gridSpan w:val="17"/>
            <w:vMerge w:val="restart"/>
          </w:tcPr>
          <w:p>
            <w:pPr>
              <w:ind w:left="60"/>
              <w:spacing w:after="0"/>
              <w:rPr>
                <w:sz w:val="20"/>
                <w:szCs w:val="20"/>
                <w:color w:val="auto"/>
              </w:rPr>
            </w:pPr>
            <w:r>
              <w:rPr>
                <w:rFonts w:ascii="Arial" w:cs="Arial" w:eastAsia="Arial" w:hAnsi="Arial"/>
                <w:sz w:val="15"/>
                <w:szCs w:val="15"/>
                <w:color w:val="auto"/>
                <w:w w:val="97"/>
              </w:rPr>
              <w:t>deferred and held (without interest) by the Company</w:t>
            </w: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rPr>
              <w:t>modification  or  termination  shall  not,  without</w:t>
            </w:r>
          </w:p>
        </w:tc>
        <w:tc>
          <w:tcPr>
            <w:tcW w:w="0" w:type="dxa"/>
            <w:vAlign w:val="bottom"/>
          </w:tcPr>
          <w:p>
            <w:pPr>
              <w:spacing w:after="0"/>
              <w:rPr>
                <w:sz w:val="1"/>
                <w:szCs w:val="1"/>
                <w:color w:val="auto"/>
              </w:rPr>
            </w:pPr>
          </w:p>
        </w:tc>
      </w:tr>
      <w:tr>
        <w:trPr>
          <w:trHeight w:val="77"/>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rPr>
              <w:t>conditions  set  forth  in  the  Plan  and  in  this</w:t>
            </w:r>
          </w:p>
        </w:tc>
        <w:tc>
          <w:tcPr>
            <w:tcW w:w="3440" w:type="dxa"/>
            <w:vAlign w:val="bottom"/>
            <w:gridSpan w:val="17"/>
            <w:vMerge w:val="continue"/>
          </w:tcPr>
          <w:p>
            <w:pPr>
              <w:spacing w:after="0"/>
              <w:rPr>
                <w:sz w:val="6"/>
                <w:szCs w:val="6"/>
                <w:color w:val="auto"/>
              </w:rPr>
            </w:pPr>
          </w:p>
        </w:tc>
        <w:tc>
          <w:tcPr>
            <w:tcW w:w="3380" w:type="dxa"/>
            <w:vAlign w:val="bottom"/>
            <w:gridSpan w:val="1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380" w:type="dxa"/>
            <w:vAlign w:val="bottom"/>
            <w:gridSpan w:val="23"/>
            <w:vMerge w:val="continue"/>
          </w:tcPr>
          <w:p>
            <w:pPr>
              <w:spacing w:after="0"/>
              <w:rPr>
                <w:sz w:val="12"/>
                <w:szCs w:val="12"/>
                <w:color w:val="auto"/>
              </w:rPr>
            </w:pPr>
          </w:p>
        </w:tc>
        <w:tc>
          <w:tcPr>
            <w:tcW w:w="3440" w:type="dxa"/>
            <w:vAlign w:val="bottom"/>
            <w:gridSpan w:val="17"/>
          </w:tcPr>
          <w:p>
            <w:pPr>
              <w:ind w:left="60"/>
              <w:spacing w:after="0" w:line="149" w:lineRule="exact"/>
              <w:rPr>
                <w:sz w:val="20"/>
                <w:szCs w:val="20"/>
                <w:color w:val="auto"/>
              </w:rPr>
            </w:pPr>
            <w:r>
              <w:rPr>
                <w:rFonts w:ascii="Arial" w:cs="Arial" w:eastAsia="Arial" w:hAnsi="Arial"/>
                <w:sz w:val="15"/>
                <w:szCs w:val="15"/>
                <w:color w:val="auto"/>
                <w:w w:val="98"/>
              </w:rPr>
              <w:t>for the account of Grantee until the expiration of the</w:t>
            </w:r>
          </w:p>
        </w:tc>
        <w:tc>
          <w:tcPr>
            <w:tcW w:w="3380" w:type="dxa"/>
            <w:vAlign w:val="bottom"/>
            <w:gridSpan w:val="14"/>
          </w:tcPr>
          <w:p>
            <w:pPr>
              <w:ind w:left="80"/>
              <w:spacing w:after="0" w:line="149" w:lineRule="exact"/>
              <w:rPr>
                <w:sz w:val="20"/>
                <w:szCs w:val="20"/>
                <w:color w:val="auto"/>
              </w:rPr>
            </w:pPr>
            <w:r>
              <w:rPr>
                <w:rFonts w:ascii="Arial" w:cs="Arial" w:eastAsia="Arial" w:hAnsi="Arial"/>
                <w:sz w:val="15"/>
                <w:szCs w:val="15"/>
                <w:color w:val="auto"/>
                <w:w w:val="98"/>
              </w:rPr>
              <w:t>Grantee’s consent, reduce or diminish the value of</w:t>
            </w:r>
          </w:p>
        </w:tc>
        <w:tc>
          <w:tcPr>
            <w:tcW w:w="0" w:type="dxa"/>
            <w:vAlign w:val="bottom"/>
          </w:tcPr>
          <w:p>
            <w:pPr>
              <w:spacing w:after="0"/>
              <w:rPr>
                <w:sz w:val="1"/>
                <w:szCs w:val="1"/>
                <w:color w:val="auto"/>
              </w:rPr>
            </w:pPr>
          </w:p>
        </w:tc>
      </w:tr>
      <w:tr>
        <w:trPr>
          <w:trHeight w:val="132"/>
        </w:trPr>
        <w:tc>
          <w:tcPr>
            <w:tcW w:w="3380" w:type="dxa"/>
            <w:vAlign w:val="bottom"/>
            <w:gridSpan w:val="23"/>
          </w:tcPr>
          <w:p>
            <w:pPr>
              <w:spacing w:after="0" w:line="133" w:lineRule="exact"/>
              <w:rPr>
                <w:sz w:val="20"/>
                <w:szCs w:val="20"/>
                <w:color w:val="auto"/>
              </w:rPr>
            </w:pPr>
            <w:r>
              <w:rPr>
                <w:rFonts w:ascii="Arial" w:cs="Arial" w:eastAsia="Arial" w:hAnsi="Arial"/>
                <w:sz w:val="15"/>
                <w:szCs w:val="15"/>
                <w:color w:val="auto"/>
                <w:w w:val="96"/>
              </w:rPr>
              <w:t>Agreement, the number of Units indicated on page 1</w:t>
            </w:r>
          </w:p>
        </w:tc>
        <w:tc>
          <w:tcPr>
            <w:tcW w:w="3020" w:type="dxa"/>
            <w:vAlign w:val="bottom"/>
            <w:gridSpan w:val="15"/>
            <w:vMerge w:val="restart"/>
          </w:tcPr>
          <w:p>
            <w:pPr>
              <w:ind w:left="60"/>
              <w:spacing w:after="0"/>
              <w:rPr>
                <w:sz w:val="20"/>
                <w:szCs w:val="20"/>
                <w:color w:val="auto"/>
              </w:rPr>
            </w:pPr>
            <w:r>
              <w:rPr>
                <w:rFonts w:ascii="Arial" w:cs="Arial" w:eastAsia="Arial" w:hAnsi="Arial"/>
                <w:sz w:val="15"/>
                <w:szCs w:val="15"/>
                <w:color w:val="auto"/>
                <w:w w:val="98"/>
              </w:rPr>
              <w:t>restrictions set forth in this award agreement.</w:t>
            </w:r>
          </w:p>
        </w:tc>
        <w:tc>
          <w:tcPr>
            <w:tcW w:w="420" w:type="dxa"/>
            <w:vAlign w:val="bottom"/>
            <w:gridSpan w:val="2"/>
            <w:vMerge w:val="restart"/>
          </w:tcPr>
          <w:p>
            <w:pPr>
              <w:jc w:val="right"/>
              <w:ind w:right="3"/>
              <w:spacing w:after="0"/>
              <w:rPr>
                <w:sz w:val="20"/>
                <w:szCs w:val="20"/>
                <w:color w:val="auto"/>
              </w:rPr>
            </w:pPr>
            <w:r>
              <w:rPr>
                <w:rFonts w:ascii="Arial" w:cs="Arial" w:eastAsia="Arial" w:hAnsi="Arial"/>
                <w:sz w:val="15"/>
                <w:szCs w:val="15"/>
                <w:color w:val="auto"/>
                <w:w w:val="93"/>
              </w:rPr>
              <w:t>Such</w:t>
            </w: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w w:val="97"/>
              </w:rPr>
              <w:t>this award determined as if it had been fully vested</w:t>
            </w:r>
          </w:p>
        </w:tc>
        <w:tc>
          <w:tcPr>
            <w:tcW w:w="0" w:type="dxa"/>
            <w:vAlign w:val="bottom"/>
          </w:tcPr>
          <w:p>
            <w:pPr>
              <w:spacing w:after="0"/>
              <w:rPr>
                <w:sz w:val="1"/>
                <w:szCs w:val="1"/>
                <w:color w:val="auto"/>
              </w:rPr>
            </w:pPr>
          </w:p>
        </w:tc>
      </w:tr>
      <w:tr>
        <w:trPr>
          <w:trHeight w:val="77"/>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w w:val="97"/>
              </w:rPr>
              <w:t>hereof which represent the right to receive shares of</w:t>
            </w:r>
          </w:p>
        </w:tc>
        <w:tc>
          <w:tcPr>
            <w:tcW w:w="3020" w:type="dxa"/>
            <w:vAlign w:val="bottom"/>
            <w:gridSpan w:val="15"/>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3380" w:type="dxa"/>
            <w:vAlign w:val="bottom"/>
            <w:gridSpan w:val="1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380" w:type="dxa"/>
            <w:vAlign w:val="bottom"/>
            <w:gridSpan w:val="23"/>
            <w:vMerge w:val="continue"/>
          </w:tcPr>
          <w:p>
            <w:pPr>
              <w:spacing w:after="0"/>
              <w:rPr>
                <w:sz w:val="8"/>
                <w:szCs w:val="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5"/>
                <w:szCs w:val="15"/>
                <w:color w:val="auto"/>
              </w:rPr>
              <w:t>dividends</w:t>
            </w:r>
          </w:p>
        </w:tc>
        <w:tc>
          <w:tcPr>
            <w:tcW w:w="360" w:type="dxa"/>
            <w:vAlign w:val="bottom"/>
            <w:gridSpan w:val="2"/>
            <w:vMerge w:val="restart"/>
          </w:tcPr>
          <w:p>
            <w:pPr>
              <w:ind w:left="40"/>
              <w:spacing w:after="0"/>
              <w:rPr>
                <w:sz w:val="20"/>
                <w:szCs w:val="20"/>
                <w:color w:val="auto"/>
              </w:rPr>
            </w:pPr>
            <w:r>
              <w:rPr>
                <w:rFonts w:ascii="Arial" w:cs="Arial" w:eastAsia="Arial" w:hAnsi="Arial"/>
                <w:sz w:val="15"/>
                <w:szCs w:val="15"/>
                <w:color w:val="auto"/>
                <w:w w:val="97"/>
              </w:rPr>
              <w:t>shall</w:t>
            </w:r>
          </w:p>
        </w:tc>
        <w:tc>
          <w:tcPr>
            <w:tcW w:w="780" w:type="dxa"/>
            <w:vAlign w:val="bottom"/>
            <w:gridSpan w:val="6"/>
            <w:vMerge w:val="restart"/>
          </w:tcPr>
          <w:p>
            <w:pPr>
              <w:ind w:left="80"/>
              <w:spacing w:after="0"/>
              <w:rPr>
                <w:sz w:val="20"/>
                <w:szCs w:val="20"/>
                <w:color w:val="auto"/>
              </w:rPr>
            </w:pPr>
            <w:r>
              <w:rPr>
                <w:rFonts w:ascii="Arial" w:cs="Arial" w:eastAsia="Arial" w:hAnsi="Arial"/>
                <w:sz w:val="15"/>
                <w:szCs w:val="15"/>
                <w:color w:val="auto"/>
                <w:w w:val="93"/>
              </w:rPr>
              <w:t>be  subject</w:t>
            </w:r>
          </w:p>
        </w:tc>
        <w:tc>
          <w:tcPr>
            <w:tcW w:w="300" w:type="dxa"/>
            <w:vAlign w:val="bottom"/>
            <w:gridSpan w:val="2"/>
            <w:vMerge w:val="restart"/>
          </w:tcPr>
          <w:p>
            <w:pPr>
              <w:jc w:val="center"/>
              <w:spacing w:after="0"/>
              <w:rPr>
                <w:sz w:val="20"/>
                <w:szCs w:val="20"/>
                <w:color w:val="auto"/>
              </w:rPr>
            </w:pPr>
            <w:r>
              <w:rPr>
                <w:rFonts w:ascii="Arial" w:cs="Arial" w:eastAsia="Arial" w:hAnsi="Arial"/>
                <w:sz w:val="15"/>
                <w:szCs w:val="15"/>
                <w:color w:val="auto"/>
                <w:w w:val="95"/>
              </w:rPr>
              <w:t>to</w:t>
            </w:r>
          </w:p>
        </w:tc>
        <w:tc>
          <w:tcPr>
            <w:tcW w:w="1260" w:type="dxa"/>
            <w:vAlign w:val="bottom"/>
            <w:gridSpan w:val="5"/>
            <w:vMerge w:val="restart"/>
          </w:tcPr>
          <w:p>
            <w:pPr>
              <w:jc w:val="right"/>
              <w:ind w:right="3"/>
              <w:spacing w:after="0"/>
              <w:rPr>
                <w:sz w:val="20"/>
                <w:szCs w:val="20"/>
                <w:color w:val="auto"/>
              </w:rPr>
            </w:pPr>
            <w:r>
              <w:rPr>
                <w:rFonts w:ascii="Arial" w:cs="Arial" w:eastAsia="Arial" w:hAnsi="Arial"/>
                <w:sz w:val="15"/>
                <w:szCs w:val="15"/>
                <w:color w:val="auto"/>
                <w:w w:val="95"/>
              </w:rPr>
              <w:t>the  same  vesting</w:t>
            </w: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w w:val="95"/>
              </w:rPr>
              <w:t>(i.e., as if all restrictions on the Units hereunder had</w:t>
            </w:r>
          </w:p>
        </w:tc>
        <w:tc>
          <w:tcPr>
            <w:tcW w:w="0" w:type="dxa"/>
            <w:vAlign w:val="bottom"/>
          </w:tcPr>
          <w:p>
            <w:pPr>
              <w:spacing w:after="0"/>
              <w:rPr>
                <w:sz w:val="1"/>
                <w:szCs w:val="1"/>
                <w:color w:val="auto"/>
              </w:rPr>
            </w:pPr>
          </w:p>
        </w:tc>
      </w:tr>
      <w:tr>
        <w:trPr>
          <w:trHeight w:val="77"/>
        </w:trPr>
        <w:tc>
          <w:tcPr>
            <w:tcW w:w="1480" w:type="dxa"/>
            <w:vAlign w:val="bottom"/>
            <w:gridSpan w:val="11"/>
            <w:vMerge w:val="restart"/>
          </w:tcPr>
          <w:p>
            <w:pPr>
              <w:spacing w:after="0"/>
              <w:rPr>
                <w:sz w:val="20"/>
                <w:szCs w:val="20"/>
                <w:color w:val="auto"/>
              </w:rPr>
            </w:pPr>
            <w:r>
              <w:rPr>
                <w:rFonts w:ascii="Arial" w:cs="Arial" w:eastAsia="Arial" w:hAnsi="Arial"/>
                <w:sz w:val="15"/>
                <w:szCs w:val="15"/>
                <w:color w:val="auto"/>
              </w:rPr>
              <w:t>the Company’s Stock.</w:t>
            </w: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780" w:type="dxa"/>
            <w:vAlign w:val="bottom"/>
            <w:gridSpan w:val="6"/>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1260" w:type="dxa"/>
            <w:vAlign w:val="bottom"/>
            <w:gridSpan w:val="5"/>
            <w:vMerge w:val="continue"/>
          </w:tcPr>
          <w:p>
            <w:pPr>
              <w:spacing w:after="0"/>
              <w:rPr>
                <w:sz w:val="6"/>
                <w:szCs w:val="6"/>
                <w:color w:val="auto"/>
              </w:rPr>
            </w:pPr>
          </w:p>
        </w:tc>
        <w:tc>
          <w:tcPr>
            <w:tcW w:w="3380" w:type="dxa"/>
            <w:vAlign w:val="bottom"/>
            <w:gridSpan w:val="1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480" w:type="dxa"/>
            <w:vAlign w:val="bottom"/>
            <w:gridSpan w:val="11"/>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gridSpan w:val="17"/>
            <w:vMerge w:val="restart"/>
          </w:tcPr>
          <w:p>
            <w:pPr>
              <w:ind w:left="60"/>
              <w:spacing w:after="0"/>
              <w:rPr>
                <w:sz w:val="20"/>
                <w:szCs w:val="20"/>
                <w:color w:val="auto"/>
              </w:rPr>
            </w:pPr>
            <w:r>
              <w:rPr>
                <w:rFonts w:ascii="Arial" w:cs="Arial" w:eastAsia="Arial" w:hAnsi="Arial"/>
                <w:sz w:val="15"/>
                <w:szCs w:val="15"/>
                <w:color w:val="auto"/>
              </w:rPr>
              <w:t>restrictions  as  the  Stock  to  which  they  relate.</w:t>
            </w: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rPr>
              <w:t>expired)  on  the  date  of  such  amendment  or</w:t>
            </w: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17"/>
            <w:vMerge w:val="continue"/>
          </w:tcPr>
          <w:p>
            <w:pPr>
              <w:spacing w:after="0"/>
              <w:rPr>
                <w:sz w:val="5"/>
                <w:szCs w:val="5"/>
                <w:color w:val="auto"/>
              </w:rPr>
            </w:pPr>
          </w:p>
        </w:tc>
        <w:tc>
          <w:tcPr>
            <w:tcW w:w="338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160" w:type="dxa"/>
            <w:vAlign w:val="bottom"/>
          </w:tcPr>
          <w:p>
            <w:pPr>
              <w:spacing w:after="0"/>
              <w:rPr>
                <w:sz w:val="20"/>
                <w:szCs w:val="20"/>
                <w:color w:val="auto"/>
              </w:rPr>
            </w:pPr>
            <w:r>
              <w:rPr>
                <w:rFonts w:ascii="Arial" w:cs="Arial" w:eastAsia="Arial" w:hAnsi="Arial"/>
                <w:sz w:val="15"/>
                <w:szCs w:val="15"/>
                <w:color w:val="auto"/>
              </w:rPr>
              <w:t>2.</w:t>
            </w:r>
          </w:p>
        </w:tc>
        <w:tc>
          <w:tcPr>
            <w:tcW w:w="40" w:type="dxa"/>
            <w:vAlign w:val="bottom"/>
          </w:tcPr>
          <w:p>
            <w:pPr>
              <w:spacing w:after="0"/>
              <w:rPr>
                <w:sz w:val="16"/>
                <w:szCs w:val="16"/>
                <w:color w:val="auto"/>
              </w:rPr>
            </w:pPr>
          </w:p>
        </w:tc>
        <w:tc>
          <w:tcPr>
            <w:tcW w:w="3180" w:type="dxa"/>
            <w:vAlign w:val="bottom"/>
            <w:gridSpan w:val="21"/>
          </w:tcPr>
          <w:p>
            <w:pPr>
              <w:jc w:val="right"/>
              <w:ind w:right="80"/>
              <w:spacing w:after="0"/>
              <w:rPr>
                <w:sz w:val="20"/>
                <w:szCs w:val="20"/>
                <w:color w:val="auto"/>
              </w:rPr>
            </w:pPr>
            <w:r>
              <w:rPr>
                <w:rFonts w:ascii="Arial" w:cs="Arial" w:eastAsia="Arial" w:hAnsi="Arial"/>
                <w:sz w:val="15"/>
                <w:szCs w:val="15"/>
                <w:color w:val="auto"/>
                <w:w w:val="94"/>
              </w:rPr>
              <w:t>Vesting of Units. The Units have been credited to</w:t>
            </w:r>
          </w:p>
        </w:tc>
        <w:tc>
          <w:tcPr>
            <w:tcW w:w="3440" w:type="dxa"/>
            <w:vAlign w:val="bottom"/>
            <w:gridSpan w:val="17"/>
          </w:tcPr>
          <w:p>
            <w:pPr>
              <w:ind w:left="100"/>
              <w:spacing w:after="0"/>
              <w:rPr>
                <w:sz w:val="20"/>
                <w:szCs w:val="20"/>
                <w:color w:val="auto"/>
              </w:rPr>
            </w:pPr>
            <w:r>
              <w:rPr>
                <w:rFonts w:ascii="Arial" w:cs="Arial" w:eastAsia="Arial" w:hAnsi="Arial"/>
                <w:sz w:val="15"/>
                <w:szCs w:val="15"/>
                <w:color w:val="auto"/>
                <w:w w:val="95"/>
              </w:rPr>
              <w:t>Accrued dividends deferred and held pursuant to the</w:t>
            </w:r>
          </w:p>
        </w:tc>
        <w:tc>
          <w:tcPr>
            <w:tcW w:w="1260" w:type="dxa"/>
            <w:vAlign w:val="bottom"/>
            <w:gridSpan w:val="8"/>
          </w:tcPr>
          <w:p>
            <w:pPr>
              <w:ind w:left="80"/>
              <w:spacing w:after="0"/>
              <w:rPr>
                <w:sz w:val="20"/>
                <w:szCs w:val="20"/>
                <w:color w:val="auto"/>
              </w:rPr>
            </w:pPr>
            <w:r>
              <w:rPr>
                <w:rFonts w:ascii="Arial" w:cs="Arial" w:eastAsia="Arial" w:hAnsi="Arial"/>
                <w:sz w:val="15"/>
                <w:szCs w:val="15"/>
                <w:color w:val="auto"/>
              </w:rPr>
              <w:t>termination.</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80" w:type="dxa"/>
            <w:vAlign w:val="bottom"/>
            <w:gridSpan w:val="6"/>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gridSpan w:val="2"/>
            <w:vMerge w:val="restart"/>
          </w:tcPr>
          <w:p>
            <w:pPr>
              <w:jc w:val="right"/>
              <w:ind w:right="100"/>
              <w:spacing w:after="0" w:line="171" w:lineRule="exact"/>
              <w:rPr>
                <w:sz w:val="20"/>
                <w:szCs w:val="20"/>
                <w:color w:val="auto"/>
              </w:rPr>
            </w:pPr>
            <w:r>
              <w:rPr>
                <w:rFonts w:ascii="Arial" w:cs="Arial" w:eastAsia="Arial" w:hAnsi="Arial"/>
                <w:sz w:val="15"/>
                <w:szCs w:val="15"/>
                <w:color w:val="auto"/>
                <w:w w:val="92"/>
              </w:rPr>
              <w:t>The</w:t>
            </w:r>
          </w:p>
        </w:tc>
        <w:tc>
          <w:tcPr>
            <w:tcW w:w="3440" w:type="dxa"/>
            <w:vAlign w:val="bottom"/>
            <w:gridSpan w:val="17"/>
            <w:vMerge w:val="restart"/>
          </w:tcPr>
          <w:p>
            <w:pPr>
              <w:ind w:left="60"/>
              <w:spacing w:after="0" w:line="171" w:lineRule="exact"/>
              <w:rPr>
                <w:sz w:val="20"/>
                <w:szCs w:val="20"/>
                <w:color w:val="auto"/>
              </w:rPr>
            </w:pPr>
            <w:r>
              <w:rPr>
                <w:rFonts w:ascii="Arial" w:cs="Arial" w:eastAsia="Arial" w:hAnsi="Arial"/>
                <w:sz w:val="15"/>
                <w:szCs w:val="15"/>
                <w:color w:val="auto"/>
                <w:w w:val="97"/>
              </w:rPr>
              <w:t>foregoing provision shall be paid by the Company to</w:t>
            </w: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20" w:type="dxa"/>
            <w:vAlign w:val="bottom"/>
            <w:gridSpan w:val="21"/>
          </w:tcPr>
          <w:p>
            <w:pPr>
              <w:spacing w:after="0" w:line="151" w:lineRule="exact"/>
              <w:rPr>
                <w:sz w:val="20"/>
                <w:szCs w:val="20"/>
                <w:color w:val="auto"/>
              </w:rPr>
            </w:pPr>
            <w:r>
              <w:rPr>
                <w:rFonts w:ascii="Arial" w:cs="Arial" w:eastAsia="Arial" w:hAnsi="Arial"/>
                <w:sz w:val="15"/>
                <w:szCs w:val="15"/>
                <w:color w:val="auto"/>
              </w:rPr>
              <w:t>a bookkeeping account on behalf of Grantee.</w:t>
            </w:r>
          </w:p>
        </w:tc>
        <w:tc>
          <w:tcPr>
            <w:tcW w:w="360" w:type="dxa"/>
            <w:vAlign w:val="bottom"/>
            <w:gridSpan w:val="2"/>
            <w:vMerge w:val="continue"/>
          </w:tcPr>
          <w:p>
            <w:pPr>
              <w:spacing w:after="0"/>
              <w:rPr>
                <w:sz w:val="13"/>
                <w:szCs w:val="13"/>
                <w:color w:val="auto"/>
              </w:rPr>
            </w:pPr>
          </w:p>
        </w:tc>
        <w:tc>
          <w:tcPr>
            <w:tcW w:w="3440" w:type="dxa"/>
            <w:vAlign w:val="bottom"/>
            <w:gridSpan w:val="17"/>
            <w:vMerge w:val="continue"/>
          </w:tcPr>
          <w:p>
            <w:pPr>
              <w:spacing w:after="0"/>
              <w:rPr>
                <w:sz w:val="13"/>
                <w:szCs w:val="13"/>
                <w:color w:val="auto"/>
              </w:rPr>
            </w:pP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w w:val="95"/>
              </w:rPr>
              <w:t>10.  Plan Controls.  The terms contained in the Plan</w:t>
            </w:r>
          </w:p>
        </w:tc>
        <w:tc>
          <w:tcPr>
            <w:tcW w:w="0" w:type="dxa"/>
            <w:vAlign w:val="bottom"/>
          </w:tcPr>
          <w:p>
            <w:pPr>
              <w:spacing w:after="0"/>
              <w:rPr>
                <w:sz w:val="1"/>
                <w:szCs w:val="1"/>
                <w:color w:val="auto"/>
              </w:rPr>
            </w:pPr>
          </w:p>
        </w:tc>
      </w:tr>
      <w:tr>
        <w:trPr>
          <w:trHeight w:val="85"/>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rPr>
              <w:t>Units will vest and become non-forfeitable on the</w:t>
            </w:r>
          </w:p>
        </w:tc>
        <w:tc>
          <w:tcPr>
            <w:tcW w:w="900" w:type="dxa"/>
            <w:vAlign w:val="bottom"/>
            <w:gridSpan w:val="3"/>
            <w:vMerge w:val="restart"/>
          </w:tcPr>
          <w:p>
            <w:pPr>
              <w:ind w:left="60"/>
              <w:spacing w:after="0"/>
              <w:rPr>
                <w:sz w:val="20"/>
                <w:szCs w:val="20"/>
                <w:color w:val="auto"/>
              </w:rPr>
            </w:pPr>
            <w:r>
              <w:rPr>
                <w:rFonts w:ascii="Arial" w:cs="Arial" w:eastAsia="Arial" w:hAnsi="Arial"/>
                <w:sz w:val="15"/>
                <w:szCs w:val="15"/>
                <w:color w:val="auto"/>
              </w:rPr>
              <w:t>the Grantee</w:t>
            </w:r>
          </w:p>
        </w:tc>
        <w:tc>
          <w:tcPr>
            <w:tcW w:w="640" w:type="dxa"/>
            <w:vAlign w:val="bottom"/>
            <w:gridSpan w:val="4"/>
            <w:vMerge w:val="restart"/>
          </w:tcPr>
          <w:p>
            <w:pPr>
              <w:ind w:left="20"/>
              <w:spacing w:after="0"/>
              <w:rPr>
                <w:sz w:val="20"/>
                <w:szCs w:val="20"/>
                <w:color w:val="auto"/>
              </w:rPr>
            </w:pPr>
            <w:r>
              <w:rPr>
                <w:rFonts w:ascii="Arial" w:cs="Arial" w:eastAsia="Arial" w:hAnsi="Arial"/>
                <w:sz w:val="15"/>
                <w:szCs w:val="15"/>
                <w:color w:val="auto"/>
              </w:rPr>
              <w:t>promptly</w:t>
            </w:r>
          </w:p>
        </w:tc>
        <w:tc>
          <w:tcPr>
            <w:tcW w:w="340" w:type="dxa"/>
            <w:vAlign w:val="bottom"/>
            <w:gridSpan w:val="3"/>
            <w:vMerge w:val="restart"/>
          </w:tcPr>
          <w:p>
            <w:pPr>
              <w:ind w:left="40"/>
              <w:spacing w:after="0"/>
              <w:rPr>
                <w:sz w:val="20"/>
                <w:szCs w:val="20"/>
                <w:color w:val="auto"/>
              </w:rPr>
            </w:pPr>
            <w:r>
              <w:rPr>
                <w:rFonts w:ascii="Arial" w:cs="Arial" w:eastAsia="Arial" w:hAnsi="Arial"/>
                <w:sz w:val="15"/>
                <w:szCs w:val="15"/>
                <w:color w:val="auto"/>
                <w:w w:val="83"/>
              </w:rPr>
              <w:t>upon</w:t>
            </w:r>
          </w:p>
        </w:tc>
        <w:tc>
          <w:tcPr>
            <w:tcW w:w="300" w:type="dxa"/>
            <w:vAlign w:val="bottom"/>
            <w:gridSpan w:val="2"/>
            <w:vMerge w:val="restart"/>
          </w:tcPr>
          <w:p>
            <w:pPr>
              <w:jc w:val="center"/>
              <w:spacing w:after="0"/>
              <w:rPr>
                <w:sz w:val="20"/>
                <w:szCs w:val="20"/>
                <w:color w:val="auto"/>
              </w:rPr>
            </w:pPr>
            <w:r>
              <w:rPr>
                <w:rFonts w:ascii="Arial" w:cs="Arial" w:eastAsia="Arial" w:hAnsi="Arial"/>
                <w:sz w:val="15"/>
                <w:szCs w:val="15"/>
                <w:color w:val="auto"/>
                <w:w w:val="95"/>
              </w:rPr>
              <w:t>the</w:t>
            </w:r>
          </w:p>
        </w:tc>
        <w:tc>
          <w:tcPr>
            <w:tcW w:w="960" w:type="dxa"/>
            <w:vAlign w:val="bottom"/>
            <w:gridSpan w:val="4"/>
            <w:vMerge w:val="restart"/>
          </w:tcPr>
          <w:p>
            <w:pPr>
              <w:jc w:val="right"/>
              <w:spacing w:after="0"/>
              <w:rPr>
                <w:sz w:val="20"/>
                <w:szCs w:val="20"/>
                <w:color w:val="auto"/>
              </w:rPr>
            </w:pPr>
            <w:r>
              <w:rPr>
                <w:rFonts w:ascii="Arial" w:cs="Arial" w:eastAsia="Arial" w:hAnsi="Arial"/>
                <w:sz w:val="15"/>
                <w:szCs w:val="15"/>
                <w:color w:val="auto"/>
              </w:rPr>
              <w:t>expiration of</w:t>
            </w:r>
          </w:p>
        </w:tc>
        <w:tc>
          <w:tcPr>
            <w:tcW w:w="30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the</w:t>
            </w:r>
          </w:p>
        </w:tc>
        <w:tc>
          <w:tcPr>
            <w:tcW w:w="3380" w:type="dxa"/>
            <w:vAlign w:val="bottom"/>
            <w:gridSpan w:val="1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3380" w:type="dxa"/>
            <w:vAlign w:val="bottom"/>
            <w:gridSpan w:val="23"/>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640" w:type="dxa"/>
            <w:vAlign w:val="bottom"/>
            <w:gridSpan w:val="4"/>
            <w:vMerge w:val="continue"/>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960" w:type="dxa"/>
            <w:vAlign w:val="bottom"/>
            <w:gridSpan w:val="4"/>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400" w:type="dxa"/>
            <w:vAlign w:val="bottom"/>
            <w:vMerge w:val="restart"/>
          </w:tcPr>
          <w:p>
            <w:pPr>
              <w:ind w:left="80"/>
              <w:spacing w:after="0"/>
              <w:rPr>
                <w:sz w:val="20"/>
                <w:szCs w:val="20"/>
                <w:color w:val="auto"/>
              </w:rPr>
            </w:pPr>
            <w:r>
              <w:rPr>
                <w:rFonts w:ascii="Arial" w:cs="Arial" w:eastAsia="Arial" w:hAnsi="Arial"/>
                <w:sz w:val="15"/>
                <w:szCs w:val="15"/>
                <w:color w:val="auto"/>
              </w:rPr>
              <w:t>are</w:t>
            </w:r>
          </w:p>
        </w:tc>
        <w:tc>
          <w:tcPr>
            <w:tcW w:w="840" w:type="dxa"/>
            <w:vAlign w:val="bottom"/>
            <w:tcBorders>
              <w:top w:val="single" w:sz="8" w:color="auto"/>
            </w:tcBorders>
            <w:gridSpan w:val="6"/>
            <w:vMerge w:val="restart"/>
          </w:tcPr>
          <w:p>
            <w:pPr>
              <w:jc w:val="center"/>
              <w:ind w:right="80"/>
              <w:spacing w:after="0"/>
              <w:rPr>
                <w:sz w:val="20"/>
                <w:szCs w:val="20"/>
                <w:color w:val="auto"/>
              </w:rPr>
            </w:pPr>
            <w:r>
              <w:rPr>
                <w:rFonts w:ascii="Arial" w:cs="Arial" w:eastAsia="Arial" w:hAnsi="Arial"/>
                <w:sz w:val="15"/>
                <w:szCs w:val="15"/>
                <w:color w:val="auto"/>
                <w:w w:val="91"/>
              </w:rPr>
              <w:t>incorporated</w:t>
            </w:r>
          </w:p>
        </w:tc>
        <w:tc>
          <w:tcPr>
            <w:tcW w:w="20" w:type="dxa"/>
            <w:vAlign w:val="bottom"/>
            <w:vMerge w:val="restart"/>
          </w:tcPr>
          <w:p>
            <w:pPr>
              <w:spacing w:after="0"/>
              <w:rPr>
                <w:sz w:val="6"/>
                <w:szCs w:val="6"/>
                <w:color w:val="auto"/>
              </w:rPr>
            </w:pPr>
          </w:p>
        </w:tc>
        <w:tc>
          <w:tcPr>
            <w:tcW w:w="340" w:type="dxa"/>
            <w:vAlign w:val="bottom"/>
            <w:vMerge w:val="restart"/>
          </w:tcPr>
          <w:p>
            <w:pPr>
              <w:spacing w:after="0"/>
              <w:rPr>
                <w:sz w:val="20"/>
                <w:szCs w:val="20"/>
                <w:color w:val="auto"/>
              </w:rPr>
            </w:pPr>
            <w:r>
              <w:rPr>
                <w:rFonts w:ascii="Arial" w:cs="Arial" w:eastAsia="Arial" w:hAnsi="Arial"/>
                <w:sz w:val="15"/>
                <w:szCs w:val="15"/>
                <w:color w:val="auto"/>
              </w:rPr>
              <w:t>into</w:t>
            </w:r>
          </w:p>
        </w:tc>
        <w:tc>
          <w:tcPr>
            <w:tcW w:w="720" w:type="dxa"/>
            <w:vAlign w:val="bottom"/>
            <w:gridSpan w:val="3"/>
            <w:vMerge w:val="restart"/>
          </w:tcPr>
          <w:p>
            <w:pPr>
              <w:ind w:left="20"/>
              <w:spacing w:after="0"/>
              <w:rPr>
                <w:sz w:val="20"/>
                <w:szCs w:val="20"/>
                <w:color w:val="auto"/>
              </w:rPr>
            </w:pPr>
            <w:r>
              <w:rPr>
                <w:rFonts w:ascii="Arial" w:cs="Arial" w:eastAsia="Arial" w:hAnsi="Arial"/>
                <w:sz w:val="15"/>
                <w:szCs w:val="15"/>
                <w:color w:val="auto"/>
                <w:w w:val="95"/>
              </w:rPr>
              <w:t>and  made</w:t>
            </w:r>
          </w:p>
        </w:tc>
        <w:tc>
          <w:tcPr>
            <w:tcW w:w="580" w:type="dxa"/>
            <w:vAlign w:val="bottom"/>
            <w:vMerge w:val="restart"/>
          </w:tcPr>
          <w:p>
            <w:pPr>
              <w:ind w:left="80"/>
              <w:spacing w:after="0"/>
              <w:rPr>
                <w:sz w:val="20"/>
                <w:szCs w:val="20"/>
                <w:color w:val="auto"/>
              </w:rPr>
            </w:pPr>
            <w:r>
              <w:rPr>
                <w:rFonts w:ascii="Arial" w:cs="Arial" w:eastAsia="Arial" w:hAnsi="Arial"/>
                <w:sz w:val="15"/>
                <w:szCs w:val="15"/>
                <w:color w:val="auto"/>
              </w:rPr>
              <w:t>a  part</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of  this</w:t>
            </w:r>
          </w:p>
        </w:tc>
        <w:tc>
          <w:tcPr>
            <w:tcW w:w="0" w:type="dxa"/>
            <w:vAlign w:val="bottom"/>
          </w:tcPr>
          <w:p>
            <w:pPr>
              <w:spacing w:after="0"/>
              <w:rPr>
                <w:sz w:val="1"/>
                <w:szCs w:val="1"/>
                <w:color w:val="auto"/>
              </w:rPr>
            </w:pPr>
          </w:p>
        </w:tc>
      </w:tr>
      <w:tr>
        <w:trPr>
          <w:trHeight w:val="102"/>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rPr>
              <w:t>earliest to occur of the following (each, a “Vesting</w:t>
            </w:r>
          </w:p>
        </w:tc>
        <w:tc>
          <w:tcPr>
            <w:tcW w:w="3440" w:type="dxa"/>
            <w:vAlign w:val="bottom"/>
            <w:gridSpan w:val="17"/>
            <w:vMerge w:val="restart"/>
          </w:tcPr>
          <w:p>
            <w:pPr>
              <w:ind w:left="60"/>
              <w:spacing w:after="0"/>
              <w:rPr>
                <w:sz w:val="20"/>
                <w:szCs w:val="20"/>
                <w:color w:val="auto"/>
              </w:rPr>
            </w:pPr>
            <w:r>
              <w:rPr>
                <w:rFonts w:ascii="Arial" w:cs="Arial" w:eastAsia="Arial" w:hAnsi="Arial"/>
                <w:sz w:val="15"/>
                <w:szCs w:val="15"/>
                <w:color w:val="auto"/>
                <w:w w:val="97"/>
              </w:rPr>
              <w:t>restrictions set forth in this award agreement (and in</w:t>
            </w:r>
          </w:p>
        </w:tc>
        <w:tc>
          <w:tcPr>
            <w:tcW w:w="400" w:type="dxa"/>
            <w:vAlign w:val="bottom"/>
            <w:vMerge w:val="continue"/>
          </w:tcPr>
          <w:p>
            <w:pPr>
              <w:spacing w:after="0"/>
              <w:rPr>
                <w:sz w:val="8"/>
                <w:szCs w:val="8"/>
                <w:color w:val="auto"/>
              </w:rPr>
            </w:pPr>
          </w:p>
        </w:tc>
        <w:tc>
          <w:tcPr>
            <w:tcW w:w="840" w:type="dxa"/>
            <w:vAlign w:val="bottom"/>
            <w:gridSpan w:val="6"/>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380" w:type="dxa"/>
            <w:vAlign w:val="bottom"/>
            <w:gridSpan w:val="23"/>
            <w:vMerge w:val="continue"/>
          </w:tcPr>
          <w:p>
            <w:pPr>
              <w:spacing w:after="0"/>
              <w:rPr>
                <w:sz w:val="6"/>
                <w:szCs w:val="6"/>
                <w:color w:val="auto"/>
              </w:rPr>
            </w:pPr>
          </w:p>
        </w:tc>
        <w:tc>
          <w:tcPr>
            <w:tcW w:w="3440" w:type="dxa"/>
            <w:vAlign w:val="bottom"/>
            <w:gridSpan w:val="17"/>
            <w:vMerge w:val="continue"/>
          </w:tcPr>
          <w:p>
            <w:pPr>
              <w:spacing w:after="0"/>
              <w:rPr>
                <w:sz w:val="6"/>
                <w:szCs w:val="6"/>
                <w:color w:val="auto"/>
              </w:rPr>
            </w:pP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w w:val="93"/>
              </w:rPr>
              <w:t>Agreement and this Agreement shall be governed by</w:t>
            </w:r>
          </w:p>
        </w:tc>
        <w:tc>
          <w:tcPr>
            <w:tcW w:w="0" w:type="dxa"/>
            <w:vAlign w:val="bottom"/>
          </w:tcPr>
          <w:p>
            <w:pPr>
              <w:spacing w:after="0"/>
              <w:rPr>
                <w:sz w:val="1"/>
                <w:szCs w:val="1"/>
                <w:color w:val="auto"/>
              </w:rPr>
            </w:pPr>
          </w:p>
        </w:tc>
      </w:tr>
      <w:tr>
        <w:trPr>
          <w:trHeight w:val="102"/>
        </w:trPr>
        <w:tc>
          <w:tcPr>
            <w:tcW w:w="540" w:type="dxa"/>
            <w:vAlign w:val="bottom"/>
            <w:gridSpan w:val="6"/>
            <w:vMerge w:val="restart"/>
          </w:tcPr>
          <w:p>
            <w:pPr>
              <w:spacing w:after="0"/>
              <w:rPr>
                <w:sz w:val="20"/>
                <w:szCs w:val="20"/>
                <w:color w:val="auto"/>
              </w:rPr>
            </w:pPr>
            <w:r>
              <w:rPr>
                <w:rFonts w:ascii="Arial" w:cs="Arial" w:eastAsia="Arial" w:hAnsi="Arial"/>
                <w:sz w:val="15"/>
                <w:szCs w:val="15"/>
                <w:color w:val="auto"/>
              </w:rPr>
              <w:t>Date”):</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5"/>
                <w:szCs w:val="15"/>
                <w:color w:val="auto"/>
                <w:w w:val="95"/>
              </w:rPr>
              <w:t>any  event</w:t>
            </w:r>
          </w:p>
        </w:tc>
        <w:tc>
          <w:tcPr>
            <w:tcW w:w="540" w:type="dxa"/>
            <w:vAlign w:val="bottom"/>
            <w:gridSpan w:val="3"/>
            <w:vMerge w:val="restart"/>
          </w:tcPr>
          <w:p>
            <w:pPr>
              <w:jc w:val="right"/>
              <w:spacing w:after="0"/>
              <w:rPr>
                <w:sz w:val="20"/>
                <w:szCs w:val="20"/>
                <w:color w:val="auto"/>
              </w:rPr>
            </w:pPr>
            <w:r>
              <w:rPr>
                <w:rFonts w:ascii="Arial" w:cs="Arial" w:eastAsia="Arial" w:hAnsi="Arial"/>
                <w:sz w:val="15"/>
                <w:szCs w:val="15"/>
                <w:color w:val="auto"/>
              </w:rPr>
              <w:t>within</w:t>
            </w:r>
          </w:p>
        </w:tc>
        <w:tc>
          <w:tcPr>
            <w:tcW w:w="260" w:type="dxa"/>
            <w:vAlign w:val="bottom"/>
            <w:gridSpan w:val="2"/>
            <w:vMerge w:val="restart"/>
          </w:tcPr>
          <w:p>
            <w:pPr>
              <w:ind w:left="40"/>
              <w:spacing w:after="0"/>
              <w:rPr>
                <w:sz w:val="20"/>
                <w:szCs w:val="20"/>
                <w:color w:val="auto"/>
              </w:rPr>
            </w:pPr>
            <w:r>
              <w:rPr>
                <w:rFonts w:ascii="Arial" w:cs="Arial" w:eastAsia="Arial" w:hAnsi="Arial"/>
                <w:sz w:val="15"/>
                <w:szCs w:val="15"/>
                <w:color w:val="auto"/>
              </w:rPr>
              <w:t>30</w:t>
            </w:r>
          </w:p>
        </w:tc>
        <w:tc>
          <w:tcPr>
            <w:tcW w:w="340" w:type="dxa"/>
            <w:vAlign w:val="bottom"/>
            <w:gridSpan w:val="3"/>
            <w:vMerge w:val="restart"/>
          </w:tcPr>
          <w:p>
            <w:pPr>
              <w:ind w:left="40"/>
              <w:spacing w:after="0"/>
              <w:rPr>
                <w:sz w:val="20"/>
                <w:szCs w:val="20"/>
                <w:color w:val="auto"/>
              </w:rPr>
            </w:pPr>
            <w:r>
              <w:rPr>
                <w:rFonts w:ascii="Arial" w:cs="Arial" w:eastAsia="Arial" w:hAnsi="Arial"/>
                <w:sz w:val="15"/>
                <w:szCs w:val="15"/>
                <w:color w:val="auto"/>
                <w:w w:val="88"/>
              </w:rPr>
              <w:t>days</w:t>
            </w:r>
          </w:p>
        </w:tc>
        <w:tc>
          <w:tcPr>
            <w:tcW w:w="300" w:type="dxa"/>
            <w:vAlign w:val="bottom"/>
            <w:gridSpan w:val="2"/>
            <w:vMerge w:val="restart"/>
          </w:tcPr>
          <w:p>
            <w:pPr>
              <w:jc w:val="center"/>
              <w:spacing w:after="0"/>
              <w:rPr>
                <w:sz w:val="20"/>
                <w:szCs w:val="20"/>
                <w:color w:val="auto"/>
              </w:rPr>
            </w:pPr>
            <w:r>
              <w:rPr>
                <w:rFonts w:ascii="Arial" w:cs="Arial" w:eastAsia="Arial" w:hAnsi="Arial"/>
                <w:sz w:val="15"/>
                <w:szCs w:val="15"/>
                <w:color w:val="auto"/>
              </w:rPr>
              <w:t>of</w:t>
            </w: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w w:val="92"/>
              </w:rPr>
              <w:t>the  date</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of</w:t>
            </w:r>
          </w:p>
        </w:tc>
        <w:tc>
          <w:tcPr>
            <w:tcW w:w="420" w:type="dxa"/>
            <w:vAlign w:val="bottom"/>
            <w:gridSpan w:val="2"/>
            <w:vMerge w:val="restart"/>
          </w:tcPr>
          <w:p>
            <w:pPr>
              <w:jc w:val="right"/>
              <w:ind w:right="3"/>
              <w:spacing w:after="0"/>
              <w:rPr>
                <w:sz w:val="20"/>
                <w:szCs w:val="20"/>
                <w:color w:val="auto"/>
              </w:rPr>
            </w:pPr>
            <w:r>
              <w:rPr>
                <w:rFonts w:ascii="Arial" w:cs="Arial" w:eastAsia="Arial" w:hAnsi="Arial"/>
                <w:sz w:val="15"/>
                <w:szCs w:val="15"/>
                <w:color w:val="auto"/>
              </w:rPr>
              <w:t>such</w:t>
            </w:r>
          </w:p>
        </w:tc>
        <w:tc>
          <w:tcPr>
            <w:tcW w:w="338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540" w:type="dxa"/>
            <w:vAlign w:val="bottom"/>
            <w:gridSpan w:val="6"/>
            <w:vMerge w:val="continue"/>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gridSpan w:val="3"/>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w w:val="98"/>
              </w:rPr>
              <w:t>and construed in accordance with the Plan.  In the</w:t>
            </w: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5"/>
                <w:szCs w:val="15"/>
                <w:color w:val="auto"/>
              </w:rPr>
              <w:t>expiration).</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38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0" w:type="dxa"/>
            <w:vAlign w:val="bottom"/>
            <w:gridSpan w:val="2"/>
          </w:tcPr>
          <w:p>
            <w:pPr>
              <w:spacing w:after="0"/>
              <w:rPr>
                <w:sz w:val="20"/>
                <w:szCs w:val="20"/>
                <w:color w:val="auto"/>
              </w:rPr>
            </w:pPr>
            <w:r>
              <w:rPr>
                <w:rFonts w:ascii="Arial" w:cs="Arial" w:eastAsia="Arial" w:hAnsi="Arial"/>
                <w:sz w:val="15"/>
                <w:szCs w:val="15"/>
                <w:color w:val="auto"/>
                <w:w w:val="97"/>
              </w:rPr>
              <w:t>(a)</w:t>
            </w:r>
          </w:p>
        </w:tc>
        <w:tc>
          <w:tcPr>
            <w:tcW w:w="20" w:type="dxa"/>
            <w:vAlign w:val="bottom"/>
          </w:tcPr>
          <w:p>
            <w:pPr>
              <w:spacing w:after="0"/>
              <w:rPr>
                <w:sz w:val="15"/>
                <w:szCs w:val="15"/>
                <w:color w:val="auto"/>
              </w:rPr>
            </w:pPr>
          </w:p>
        </w:tc>
        <w:tc>
          <w:tcPr>
            <w:tcW w:w="3160" w:type="dxa"/>
            <w:vAlign w:val="bottom"/>
            <w:gridSpan w:val="20"/>
          </w:tcPr>
          <w:p>
            <w:pPr>
              <w:jc w:val="right"/>
              <w:ind w:right="80"/>
              <w:spacing w:after="0"/>
              <w:rPr>
                <w:sz w:val="20"/>
                <w:szCs w:val="20"/>
                <w:color w:val="auto"/>
              </w:rPr>
            </w:pPr>
            <w:r>
              <w:rPr>
                <w:rFonts w:ascii="Arial" w:cs="Arial" w:eastAsia="Arial" w:hAnsi="Arial"/>
                <w:sz w:val="15"/>
                <w:szCs w:val="15"/>
                <w:color w:val="auto"/>
                <w:w w:val="98"/>
              </w:rPr>
              <w:t>as to the number of Units earned based on the</w:t>
            </w:r>
          </w:p>
        </w:tc>
        <w:tc>
          <w:tcPr>
            <w:tcW w:w="9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80" w:type="dxa"/>
            <w:vAlign w:val="bottom"/>
            <w:gridSpan w:val="14"/>
          </w:tcPr>
          <w:p>
            <w:pPr>
              <w:ind w:left="80"/>
              <w:spacing w:after="0"/>
              <w:rPr>
                <w:sz w:val="20"/>
                <w:szCs w:val="20"/>
                <w:color w:val="auto"/>
              </w:rPr>
            </w:pPr>
            <w:r>
              <w:rPr>
                <w:rFonts w:ascii="Arial" w:cs="Arial" w:eastAsia="Arial" w:hAnsi="Arial"/>
                <w:sz w:val="15"/>
                <w:szCs w:val="15"/>
                <w:color w:val="auto"/>
                <w:w w:val="98"/>
              </w:rPr>
              <w:t>event of any actual or alleged conflict between the</w:t>
            </w:r>
          </w:p>
        </w:tc>
        <w:tc>
          <w:tcPr>
            <w:tcW w:w="0" w:type="dxa"/>
            <w:vAlign w:val="bottom"/>
          </w:tcPr>
          <w:p>
            <w:pPr>
              <w:spacing w:after="0"/>
              <w:rPr>
                <w:sz w:val="1"/>
                <w:szCs w:val="1"/>
                <w:color w:val="auto"/>
              </w:rPr>
            </w:pPr>
          </w:p>
        </w:tc>
      </w:tr>
      <w:tr>
        <w:trPr>
          <w:trHeight w:val="161"/>
        </w:trPr>
        <w:tc>
          <w:tcPr>
            <w:tcW w:w="3380" w:type="dxa"/>
            <w:vAlign w:val="bottom"/>
            <w:gridSpan w:val="23"/>
          </w:tcPr>
          <w:p>
            <w:pPr>
              <w:spacing w:after="0" w:line="154" w:lineRule="exact"/>
              <w:rPr>
                <w:sz w:val="20"/>
                <w:szCs w:val="20"/>
                <w:color w:val="auto"/>
              </w:rPr>
            </w:pPr>
            <w:r>
              <w:rPr>
                <w:rFonts w:ascii="Arial" w:cs="Arial" w:eastAsia="Arial" w:hAnsi="Arial"/>
                <w:sz w:val="15"/>
                <w:szCs w:val="15"/>
                <w:color w:val="auto"/>
              </w:rPr>
              <w:t>Company’s  level  of  attainment  of  achievement</w:t>
            </w:r>
          </w:p>
        </w:tc>
        <w:tc>
          <w:tcPr>
            <w:tcW w:w="300" w:type="dxa"/>
            <w:vAlign w:val="bottom"/>
          </w:tcPr>
          <w:p>
            <w:pPr>
              <w:ind w:left="60"/>
              <w:spacing w:after="0" w:line="154" w:lineRule="exact"/>
              <w:rPr>
                <w:sz w:val="20"/>
                <w:szCs w:val="20"/>
                <w:color w:val="auto"/>
              </w:rPr>
            </w:pPr>
            <w:r>
              <w:rPr>
                <w:rFonts w:ascii="Arial" w:cs="Arial" w:eastAsia="Arial" w:hAnsi="Arial"/>
                <w:sz w:val="15"/>
                <w:szCs w:val="15"/>
                <w:color w:val="auto"/>
              </w:rPr>
              <w:t>6.</w:t>
            </w:r>
          </w:p>
        </w:tc>
        <w:tc>
          <w:tcPr>
            <w:tcW w:w="1480" w:type="dxa"/>
            <w:vAlign w:val="bottom"/>
            <w:tcBorders>
              <w:bottom w:val="single" w:sz="8" w:color="auto"/>
            </w:tcBorders>
            <w:gridSpan w:val="8"/>
          </w:tcPr>
          <w:p>
            <w:pPr>
              <w:spacing w:after="0" w:line="141" w:lineRule="exact"/>
              <w:rPr>
                <w:sz w:val="20"/>
                <w:szCs w:val="20"/>
                <w:color w:val="auto"/>
              </w:rPr>
            </w:pPr>
            <w:r>
              <w:rPr>
                <w:rFonts w:ascii="Arial" w:cs="Arial" w:eastAsia="Arial" w:hAnsi="Arial"/>
                <w:sz w:val="15"/>
                <w:szCs w:val="15"/>
                <w:color w:val="auto"/>
                <w:w w:val="91"/>
              </w:rPr>
              <w:t>Restrictions on Transfer</w:t>
            </w:r>
          </w:p>
        </w:tc>
        <w:tc>
          <w:tcPr>
            <w:tcW w:w="100" w:type="dxa"/>
            <w:vAlign w:val="bottom"/>
          </w:tcPr>
          <w:p>
            <w:pPr>
              <w:spacing w:after="0" w:line="154" w:lineRule="exact"/>
              <w:rPr>
                <w:sz w:val="20"/>
                <w:szCs w:val="20"/>
                <w:color w:val="auto"/>
              </w:rPr>
            </w:pPr>
            <w:r>
              <w:rPr>
                <w:rFonts w:ascii="Arial" w:cs="Arial" w:eastAsia="Arial" w:hAnsi="Arial"/>
                <w:sz w:val="15"/>
                <w:szCs w:val="15"/>
                <w:color w:val="auto"/>
              </w:rPr>
              <w:t>.</w:t>
            </w:r>
          </w:p>
        </w:tc>
        <w:tc>
          <w:tcPr>
            <w:tcW w:w="1560" w:type="dxa"/>
            <w:vAlign w:val="bottom"/>
            <w:gridSpan w:val="7"/>
          </w:tcPr>
          <w:p>
            <w:pPr>
              <w:jc w:val="right"/>
              <w:ind w:right="3"/>
              <w:spacing w:after="0" w:line="154" w:lineRule="exact"/>
              <w:rPr>
                <w:sz w:val="20"/>
                <w:szCs w:val="20"/>
                <w:color w:val="auto"/>
              </w:rPr>
            </w:pPr>
            <w:r>
              <w:rPr>
                <w:rFonts w:ascii="Arial" w:cs="Arial" w:eastAsia="Arial" w:hAnsi="Arial"/>
                <w:sz w:val="15"/>
                <w:szCs w:val="15"/>
                <w:color w:val="auto"/>
              </w:rPr>
              <w:t>No right or interest of</w:t>
            </w:r>
          </w:p>
        </w:tc>
        <w:tc>
          <w:tcPr>
            <w:tcW w:w="3380" w:type="dxa"/>
            <w:vAlign w:val="bottom"/>
            <w:gridSpan w:val="14"/>
          </w:tcPr>
          <w:p>
            <w:pPr>
              <w:ind w:left="80"/>
              <w:spacing w:after="0" w:line="154" w:lineRule="exact"/>
              <w:rPr>
                <w:sz w:val="20"/>
                <w:szCs w:val="20"/>
                <w:color w:val="auto"/>
              </w:rPr>
            </w:pPr>
            <w:r>
              <w:rPr>
                <w:rFonts w:ascii="Arial" w:cs="Arial" w:eastAsia="Arial" w:hAnsi="Arial"/>
                <w:sz w:val="15"/>
                <w:szCs w:val="15"/>
                <w:color w:val="auto"/>
              </w:rPr>
              <w:t>provisions of the Plan and the provisions of this</w:t>
            </w:r>
          </w:p>
        </w:tc>
        <w:tc>
          <w:tcPr>
            <w:tcW w:w="0" w:type="dxa"/>
            <w:vAlign w:val="bottom"/>
          </w:tcPr>
          <w:p>
            <w:pPr>
              <w:spacing w:after="0"/>
              <w:rPr>
                <w:sz w:val="1"/>
                <w:szCs w:val="1"/>
                <w:color w:val="auto"/>
              </w:rPr>
            </w:pPr>
          </w:p>
        </w:tc>
      </w:tr>
      <w:tr>
        <w:trPr>
          <w:trHeight w:val="184"/>
        </w:trPr>
        <w:tc>
          <w:tcPr>
            <w:tcW w:w="3380" w:type="dxa"/>
            <w:vAlign w:val="bottom"/>
            <w:gridSpan w:val="23"/>
          </w:tcPr>
          <w:p>
            <w:pPr>
              <w:spacing w:after="0"/>
              <w:rPr>
                <w:sz w:val="20"/>
                <w:szCs w:val="20"/>
                <w:color w:val="auto"/>
              </w:rPr>
            </w:pPr>
            <w:r>
              <w:rPr>
                <w:rFonts w:ascii="Arial" w:cs="Arial" w:eastAsia="Arial" w:hAnsi="Arial"/>
                <w:sz w:val="15"/>
                <w:szCs w:val="15"/>
                <w:color w:val="auto"/>
                <w:w w:val="99"/>
              </w:rPr>
              <w:t>Adjusted EBIT fiscal 2022 as set forth on Exhibit A,</w:t>
            </w:r>
          </w:p>
        </w:tc>
        <w:tc>
          <w:tcPr>
            <w:tcW w:w="3440" w:type="dxa"/>
            <w:vAlign w:val="bottom"/>
            <w:gridSpan w:val="17"/>
          </w:tcPr>
          <w:p>
            <w:pPr>
              <w:ind w:left="60"/>
              <w:spacing w:after="0"/>
              <w:rPr>
                <w:sz w:val="20"/>
                <w:szCs w:val="20"/>
                <w:color w:val="auto"/>
              </w:rPr>
            </w:pPr>
            <w:r>
              <w:rPr>
                <w:rFonts w:ascii="Arial" w:cs="Arial" w:eastAsia="Arial" w:hAnsi="Arial"/>
                <w:sz w:val="15"/>
                <w:szCs w:val="15"/>
                <w:color w:val="auto"/>
                <w:w w:val="98"/>
              </w:rPr>
              <w:t>Grantee in the Units may be pledged, hypothecated</w:t>
            </w:r>
          </w:p>
        </w:tc>
        <w:tc>
          <w:tcPr>
            <w:tcW w:w="3380" w:type="dxa"/>
            <w:vAlign w:val="bottom"/>
            <w:gridSpan w:val="14"/>
          </w:tcPr>
          <w:p>
            <w:pPr>
              <w:ind w:left="80"/>
              <w:spacing w:after="0"/>
              <w:rPr>
                <w:sz w:val="20"/>
                <w:szCs w:val="20"/>
                <w:color w:val="auto"/>
              </w:rPr>
            </w:pPr>
            <w:r>
              <w:rPr>
                <w:rFonts w:ascii="Arial" w:cs="Arial" w:eastAsia="Arial" w:hAnsi="Arial"/>
                <w:sz w:val="15"/>
                <w:szCs w:val="15"/>
                <w:color w:val="auto"/>
                <w:w w:val="97"/>
              </w:rPr>
              <w:t>Agreement,  the  provisions  of  the  Plan  shall  be</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gridSpan w:val="17"/>
            <w:vMerge w:val="restart"/>
          </w:tcPr>
          <w:p>
            <w:pPr>
              <w:ind w:left="60"/>
              <w:spacing w:after="0" w:line="171" w:lineRule="exact"/>
              <w:rPr>
                <w:sz w:val="20"/>
                <w:szCs w:val="20"/>
                <w:color w:val="auto"/>
              </w:rPr>
            </w:pPr>
            <w:r>
              <w:rPr>
                <w:rFonts w:ascii="Arial" w:cs="Arial" w:eastAsia="Arial" w:hAnsi="Arial"/>
                <w:sz w:val="15"/>
                <w:szCs w:val="15"/>
                <w:color w:val="auto"/>
                <w:w w:val="99"/>
              </w:rPr>
              <w:t>or otherwise encumbered to or in favor of any party</w:t>
            </w:r>
          </w:p>
        </w:tc>
        <w:tc>
          <w:tcPr>
            <w:tcW w:w="1960" w:type="dxa"/>
            <w:vAlign w:val="bottom"/>
            <w:gridSpan w:val="10"/>
            <w:vMerge w:val="restart"/>
          </w:tcPr>
          <w:p>
            <w:pPr>
              <w:ind w:left="80"/>
              <w:spacing w:after="0" w:line="171" w:lineRule="exact"/>
              <w:rPr>
                <w:sz w:val="20"/>
                <w:szCs w:val="20"/>
                <w:color w:val="auto"/>
              </w:rPr>
            </w:pPr>
            <w:r>
              <w:rPr>
                <w:rFonts w:ascii="Arial" w:cs="Arial" w:eastAsia="Arial" w:hAnsi="Arial"/>
                <w:sz w:val="15"/>
                <w:szCs w:val="15"/>
                <w:color w:val="auto"/>
                <w:w w:val="94"/>
              </w:rPr>
              <w:t>controlling and determinative.</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380" w:type="dxa"/>
            <w:vAlign w:val="bottom"/>
            <w:gridSpan w:val="23"/>
          </w:tcPr>
          <w:p>
            <w:pPr>
              <w:spacing w:after="0" w:line="151" w:lineRule="exact"/>
              <w:rPr>
                <w:sz w:val="20"/>
                <w:szCs w:val="20"/>
                <w:color w:val="auto"/>
              </w:rPr>
            </w:pPr>
            <w:r>
              <w:rPr>
                <w:rFonts w:ascii="Arial" w:cs="Arial" w:eastAsia="Arial" w:hAnsi="Arial"/>
                <w:sz w:val="15"/>
                <w:szCs w:val="15"/>
                <w:color w:val="auto"/>
              </w:rPr>
              <w:t>on the date of the Company’s earnings release for</w:t>
            </w:r>
          </w:p>
        </w:tc>
        <w:tc>
          <w:tcPr>
            <w:tcW w:w="3440" w:type="dxa"/>
            <w:vAlign w:val="bottom"/>
            <w:gridSpan w:val="17"/>
            <w:vMerge w:val="continue"/>
          </w:tcPr>
          <w:p>
            <w:pPr>
              <w:spacing w:after="0"/>
              <w:rPr>
                <w:sz w:val="13"/>
                <w:szCs w:val="13"/>
                <w:color w:val="auto"/>
              </w:rPr>
            </w:pPr>
          </w:p>
        </w:tc>
        <w:tc>
          <w:tcPr>
            <w:tcW w:w="1960" w:type="dxa"/>
            <w:vAlign w:val="bottom"/>
            <w:gridSpan w:val="10"/>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80" w:type="dxa"/>
            <w:vAlign w:val="bottom"/>
            <w:gridSpan w:val="23"/>
          </w:tcPr>
          <w:p>
            <w:pPr>
              <w:spacing w:after="0"/>
              <w:rPr>
                <w:sz w:val="20"/>
                <w:szCs w:val="20"/>
                <w:color w:val="auto"/>
              </w:rPr>
            </w:pPr>
            <w:r>
              <w:rPr>
                <w:rFonts w:ascii="Arial" w:cs="Arial" w:eastAsia="Arial" w:hAnsi="Arial"/>
                <w:sz w:val="15"/>
                <w:szCs w:val="15"/>
                <w:color w:val="auto"/>
                <w:w w:val="95"/>
              </w:rPr>
              <w:t>fiscal 2022, subject to either (i) Grantee’s Continuous</w:t>
            </w:r>
          </w:p>
        </w:tc>
        <w:tc>
          <w:tcPr>
            <w:tcW w:w="3440" w:type="dxa"/>
            <w:vAlign w:val="bottom"/>
            <w:gridSpan w:val="17"/>
          </w:tcPr>
          <w:p>
            <w:pPr>
              <w:ind w:left="60"/>
              <w:spacing w:after="0"/>
              <w:rPr>
                <w:sz w:val="20"/>
                <w:szCs w:val="20"/>
                <w:color w:val="auto"/>
              </w:rPr>
            </w:pPr>
            <w:r>
              <w:rPr>
                <w:rFonts w:ascii="Arial" w:cs="Arial" w:eastAsia="Arial" w:hAnsi="Arial"/>
                <w:sz w:val="15"/>
                <w:szCs w:val="15"/>
                <w:color w:val="auto"/>
              </w:rPr>
              <w:t>other  than  the  Company  or  an  Affiliate,  or  be</w:t>
            </w:r>
          </w:p>
        </w:tc>
        <w:tc>
          <w:tcPr>
            <w:tcW w:w="400" w:type="dxa"/>
            <w:vAlign w:val="bottom"/>
            <w:vMerge w:val="restart"/>
          </w:tcPr>
          <w:p>
            <w:pPr>
              <w:ind w:left="80"/>
              <w:spacing w:after="0"/>
              <w:rPr>
                <w:sz w:val="20"/>
                <w:szCs w:val="20"/>
                <w:color w:val="auto"/>
              </w:rPr>
            </w:pPr>
            <w:r>
              <w:rPr>
                <w:rFonts w:ascii="Arial" w:cs="Arial" w:eastAsia="Arial" w:hAnsi="Arial"/>
                <w:sz w:val="15"/>
                <w:szCs w:val="15"/>
                <w:color w:val="auto"/>
              </w:rPr>
              <w:t>11.</w:t>
            </w:r>
          </w:p>
        </w:tc>
        <w:tc>
          <w:tcPr>
            <w:tcW w:w="660" w:type="dxa"/>
            <w:vAlign w:val="bottom"/>
            <w:gridSpan w:val="4"/>
            <w:vMerge w:val="restart"/>
          </w:tcPr>
          <w:p>
            <w:pPr>
              <w:spacing w:after="0"/>
              <w:rPr>
                <w:sz w:val="20"/>
                <w:szCs w:val="20"/>
                <w:color w:val="auto"/>
              </w:rPr>
            </w:pPr>
            <w:r>
              <w:rPr>
                <w:rFonts w:ascii="Arial" w:cs="Arial" w:eastAsia="Arial" w:hAnsi="Arial"/>
                <w:sz w:val="15"/>
                <w:szCs w:val="15"/>
                <w:color w:val="auto"/>
                <w:w w:val="82"/>
              </w:rPr>
              <w:t>Successors</w:t>
            </w:r>
          </w:p>
        </w:tc>
        <w:tc>
          <w:tcPr>
            <w:tcW w:w="2320" w:type="dxa"/>
            <w:vAlign w:val="bottom"/>
            <w:gridSpan w:val="9"/>
            <w:vMerge w:val="restart"/>
          </w:tcPr>
          <w:p>
            <w:pPr>
              <w:jc w:val="right"/>
              <w:spacing w:after="0"/>
              <w:rPr>
                <w:sz w:val="20"/>
                <w:szCs w:val="20"/>
                <w:color w:val="auto"/>
              </w:rPr>
            </w:pPr>
            <w:r>
              <w:rPr>
                <w:rFonts w:ascii="Arial" w:cs="Arial" w:eastAsia="Arial" w:hAnsi="Arial"/>
                <w:sz w:val="15"/>
                <w:szCs w:val="15"/>
                <w:color w:val="auto"/>
              </w:rPr>
              <w:t>.  This Agreement shall be binding</w:t>
            </w:r>
          </w:p>
        </w:tc>
        <w:tc>
          <w:tcPr>
            <w:tcW w:w="0" w:type="dxa"/>
            <w:vAlign w:val="bottom"/>
          </w:tcPr>
          <w:p>
            <w:pPr>
              <w:spacing w:after="0"/>
              <w:rPr>
                <w:sz w:val="1"/>
                <w:szCs w:val="1"/>
                <w:color w:val="auto"/>
              </w:rPr>
            </w:pPr>
          </w:p>
        </w:tc>
      </w:tr>
      <w:tr>
        <w:trPr>
          <w:trHeight w:val="90"/>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w w:val="98"/>
              </w:rPr>
              <w:t>Service with the Company through such date, or (ii)</w:t>
            </w:r>
          </w:p>
        </w:tc>
        <w:tc>
          <w:tcPr>
            <w:tcW w:w="740" w:type="dxa"/>
            <w:vAlign w:val="bottom"/>
            <w:gridSpan w:val="2"/>
            <w:vMerge w:val="restart"/>
          </w:tcPr>
          <w:p>
            <w:pPr>
              <w:ind w:left="60"/>
              <w:spacing w:after="0"/>
              <w:rPr>
                <w:sz w:val="20"/>
                <w:szCs w:val="20"/>
                <w:color w:val="auto"/>
              </w:rPr>
            </w:pPr>
            <w:r>
              <w:rPr>
                <w:rFonts w:ascii="Arial" w:cs="Arial" w:eastAsia="Arial" w:hAnsi="Arial"/>
                <w:sz w:val="15"/>
                <w:szCs w:val="15"/>
                <w:color w:val="auto"/>
              </w:rPr>
              <w:t>subjected</w:t>
            </w:r>
          </w:p>
        </w:tc>
        <w:tc>
          <w:tcPr>
            <w:tcW w:w="160" w:type="dxa"/>
            <w:vAlign w:val="bottom"/>
            <w:vMerge w:val="restart"/>
          </w:tcPr>
          <w:p>
            <w:pPr>
              <w:jc w:val="center"/>
              <w:spacing w:after="0"/>
              <w:rPr>
                <w:sz w:val="20"/>
                <w:szCs w:val="20"/>
                <w:color w:val="auto"/>
              </w:rPr>
            </w:pPr>
            <w:r>
              <w:rPr>
                <w:rFonts w:ascii="Arial" w:cs="Arial" w:eastAsia="Arial" w:hAnsi="Arial"/>
                <w:sz w:val="15"/>
                <w:szCs w:val="15"/>
                <w:color w:val="auto"/>
                <w:w w:val="95"/>
              </w:rPr>
              <w:t>to</w:t>
            </w:r>
          </w:p>
        </w:tc>
        <w:tc>
          <w:tcPr>
            <w:tcW w:w="380" w:type="dxa"/>
            <w:vAlign w:val="bottom"/>
            <w:gridSpan w:val="2"/>
            <w:vMerge w:val="restart"/>
          </w:tcPr>
          <w:p>
            <w:pPr>
              <w:jc w:val="right"/>
              <w:ind w:right="3"/>
              <w:spacing w:after="0"/>
              <w:rPr>
                <w:sz w:val="20"/>
                <w:szCs w:val="20"/>
                <w:color w:val="auto"/>
              </w:rPr>
            </w:pPr>
            <w:r>
              <w:rPr>
                <w:rFonts w:ascii="Arial" w:cs="Arial" w:eastAsia="Arial" w:hAnsi="Arial"/>
                <w:sz w:val="15"/>
                <w:szCs w:val="15"/>
                <w:color w:val="auto"/>
              </w:rPr>
              <w:t>any</w:t>
            </w:r>
          </w:p>
        </w:tc>
        <w:tc>
          <w:tcPr>
            <w:tcW w:w="380" w:type="dxa"/>
            <w:vAlign w:val="bottom"/>
            <w:gridSpan w:val="3"/>
            <w:vMerge w:val="restart"/>
          </w:tcPr>
          <w:p>
            <w:pPr>
              <w:ind w:left="40"/>
              <w:spacing w:after="0"/>
              <w:rPr>
                <w:sz w:val="20"/>
                <w:szCs w:val="20"/>
                <w:color w:val="auto"/>
              </w:rPr>
            </w:pPr>
            <w:r>
              <w:rPr>
                <w:rFonts w:ascii="Arial" w:cs="Arial" w:eastAsia="Arial" w:hAnsi="Arial"/>
                <w:sz w:val="15"/>
                <w:szCs w:val="15"/>
                <w:color w:val="auto"/>
              </w:rPr>
              <w:t>lien,</w:t>
            </w:r>
          </w:p>
        </w:tc>
        <w:tc>
          <w:tcPr>
            <w:tcW w:w="920" w:type="dxa"/>
            <w:vAlign w:val="bottom"/>
            <w:gridSpan w:val="5"/>
            <w:vMerge w:val="restart"/>
          </w:tcPr>
          <w:p>
            <w:pPr>
              <w:ind w:left="20"/>
              <w:spacing w:after="0"/>
              <w:rPr>
                <w:sz w:val="20"/>
                <w:szCs w:val="20"/>
                <w:color w:val="auto"/>
              </w:rPr>
            </w:pPr>
            <w:r>
              <w:rPr>
                <w:rFonts w:ascii="Arial" w:cs="Arial" w:eastAsia="Arial" w:hAnsi="Arial"/>
                <w:sz w:val="15"/>
                <w:szCs w:val="15"/>
                <w:color w:val="auto"/>
              </w:rPr>
              <w:t>obligation  or</w:t>
            </w:r>
          </w:p>
        </w:tc>
        <w:tc>
          <w:tcPr>
            <w:tcW w:w="560" w:type="dxa"/>
            <w:vAlign w:val="bottom"/>
            <w:gridSpan w:val="3"/>
            <w:vMerge w:val="restart"/>
          </w:tcPr>
          <w:p>
            <w:pPr>
              <w:jc w:val="right"/>
              <w:spacing w:after="0"/>
              <w:rPr>
                <w:sz w:val="20"/>
                <w:szCs w:val="20"/>
                <w:color w:val="auto"/>
              </w:rPr>
            </w:pPr>
            <w:r>
              <w:rPr>
                <w:rFonts w:ascii="Arial" w:cs="Arial" w:eastAsia="Arial" w:hAnsi="Arial"/>
                <w:sz w:val="15"/>
                <w:szCs w:val="15"/>
                <w:color w:val="auto"/>
              </w:rPr>
              <w:t>liability</w:t>
            </w:r>
          </w:p>
        </w:tc>
        <w:tc>
          <w:tcPr>
            <w:tcW w:w="300" w:type="dxa"/>
            <w:vAlign w:val="bottom"/>
            <w:vMerge w:val="restart"/>
          </w:tcPr>
          <w:p>
            <w:pPr>
              <w:jc w:val="right"/>
              <w:ind w:right="3"/>
              <w:spacing w:after="0"/>
              <w:rPr>
                <w:sz w:val="20"/>
                <w:szCs w:val="20"/>
                <w:color w:val="auto"/>
              </w:rPr>
            </w:pPr>
            <w:r>
              <w:rPr>
                <w:rFonts w:ascii="Arial" w:cs="Arial" w:eastAsia="Arial" w:hAnsi="Arial"/>
                <w:sz w:val="15"/>
                <w:szCs w:val="15"/>
                <w:color w:val="auto"/>
              </w:rPr>
              <w:t>of</w:t>
            </w:r>
          </w:p>
        </w:tc>
        <w:tc>
          <w:tcPr>
            <w:tcW w:w="400" w:type="dxa"/>
            <w:vAlign w:val="bottom"/>
            <w:vMerge w:val="continue"/>
          </w:tcPr>
          <w:p>
            <w:pPr>
              <w:spacing w:after="0"/>
              <w:rPr>
                <w:sz w:val="7"/>
                <w:szCs w:val="7"/>
                <w:color w:val="auto"/>
              </w:rPr>
            </w:pPr>
          </w:p>
        </w:tc>
        <w:tc>
          <w:tcPr>
            <w:tcW w:w="660" w:type="dxa"/>
            <w:vAlign w:val="bottom"/>
            <w:tcBorders>
              <w:bottom w:val="single" w:sz="8" w:color="auto"/>
            </w:tcBorders>
            <w:gridSpan w:val="4"/>
            <w:vMerge w:val="continue"/>
          </w:tcPr>
          <w:p>
            <w:pPr>
              <w:spacing w:after="0"/>
              <w:rPr>
                <w:sz w:val="7"/>
                <w:szCs w:val="7"/>
                <w:color w:val="auto"/>
              </w:rPr>
            </w:pPr>
          </w:p>
        </w:tc>
        <w:tc>
          <w:tcPr>
            <w:tcW w:w="23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3380" w:type="dxa"/>
            <w:vAlign w:val="bottom"/>
            <w:gridSpan w:val="23"/>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380" w:type="dxa"/>
            <w:vAlign w:val="bottom"/>
            <w:gridSpan w:val="3"/>
            <w:vMerge w:val="continue"/>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23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w w:val="97"/>
              </w:rPr>
              <w:t>termination of Grantee’s Continuous Service prior to</w:t>
            </w:r>
          </w:p>
        </w:tc>
        <w:tc>
          <w:tcPr>
            <w:tcW w:w="3440" w:type="dxa"/>
            <w:vAlign w:val="bottom"/>
            <w:gridSpan w:val="17"/>
            <w:vMerge w:val="restart"/>
          </w:tcPr>
          <w:p>
            <w:pPr>
              <w:ind w:left="60"/>
              <w:spacing w:after="0"/>
              <w:rPr>
                <w:sz w:val="20"/>
                <w:szCs w:val="20"/>
                <w:color w:val="auto"/>
              </w:rPr>
            </w:pPr>
            <w:r>
              <w:rPr>
                <w:rFonts w:ascii="Arial" w:cs="Arial" w:eastAsia="Arial" w:hAnsi="Arial"/>
                <w:sz w:val="15"/>
                <w:szCs w:val="15"/>
                <w:color w:val="auto"/>
                <w:w w:val="93"/>
              </w:rPr>
              <w:t>Grantee to any other party other than the Company or</w:t>
            </w:r>
          </w:p>
        </w:tc>
        <w:tc>
          <w:tcPr>
            <w:tcW w:w="3380" w:type="dxa"/>
            <w:vAlign w:val="bottom"/>
            <w:gridSpan w:val="14"/>
          </w:tcPr>
          <w:p>
            <w:pPr>
              <w:ind w:left="80"/>
              <w:spacing w:after="0" w:line="107" w:lineRule="exact"/>
              <w:rPr>
                <w:sz w:val="20"/>
                <w:szCs w:val="20"/>
                <w:color w:val="auto"/>
              </w:rPr>
            </w:pPr>
            <w:r>
              <w:rPr>
                <w:rFonts w:ascii="Arial" w:cs="Arial" w:eastAsia="Arial" w:hAnsi="Arial"/>
                <w:sz w:val="12"/>
                <w:szCs w:val="12"/>
                <w:color w:val="auto"/>
              </w:rPr>
              <w:t>upon any successor of the Company, in accordance</w:t>
            </w:r>
          </w:p>
        </w:tc>
        <w:tc>
          <w:tcPr>
            <w:tcW w:w="0" w:type="dxa"/>
            <w:vAlign w:val="bottom"/>
          </w:tcPr>
          <w:p>
            <w:pPr>
              <w:spacing w:after="0"/>
              <w:rPr>
                <w:sz w:val="1"/>
                <w:szCs w:val="1"/>
                <w:color w:val="auto"/>
              </w:rPr>
            </w:pPr>
          </w:p>
        </w:tc>
      </w:tr>
      <w:tr>
        <w:trPr>
          <w:trHeight w:val="77"/>
        </w:trPr>
        <w:tc>
          <w:tcPr>
            <w:tcW w:w="3380" w:type="dxa"/>
            <w:vAlign w:val="bottom"/>
            <w:gridSpan w:val="23"/>
            <w:vMerge w:val="continue"/>
          </w:tcPr>
          <w:p>
            <w:pPr>
              <w:spacing w:after="0"/>
              <w:rPr>
                <w:sz w:val="6"/>
                <w:szCs w:val="6"/>
                <w:color w:val="auto"/>
              </w:rPr>
            </w:pPr>
          </w:p>
        </w:tc>
        <w:tc>
          <w:tcPr>
            <w:tcW w:w="3440" w:type="dxa"/>
            <w:vAlign w:val="bottom"/>
            <w:gridSpan w:val="17"/>
            <w:vMerge w:val="continue"/>
          </w:tcPr>
          <w:p>
            <w:pPr>
              <w:spacing w:after="0"/>
              <w:rPr>
                <w:sz w:val="6"/>
                <w:szCs w:val="6"/>
                <w:color w:val="auto"/>
              </w:rPr>
            </w:pP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rPr>
              <w:t>with the terms of this Agreement and the Plan.</w:t>
            </w:r>
          </w:p>
        </w:tc>
        <w:tc>
          <w:tcPr>
            <w:tcW w:w="0" w:type="dxa"/>
            <w:vAlign w:val="bottom"/>
          </w:tcPr>
          <w:p>
            <w:pPr>
              <w:spacing w:after="0"/>
              <w:rPr>
                <w:sz w:val="1"/>
                <w:szCs w:val="1"/>
                <w:color w:val="auto"/>
              </w:rPr>
            </w:pPr>
          </w:p>
        </w:tc>
      </w:tr>
      <w:tr>
        <w:trPr>
          <w:trHeight w:val="118"/>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w w:val="96"/>
              </w:rPr>
              <w:t>such date by reason of Grantee’s death or Disability;</w:t>
            </w:r>
          </w:p>
        </w:tc>
        <w:tc>
          <w:tcPr>
            <w:tcW w:w="900" w:type="dxa"/>
            <w:vAlign w:val="bottom"/>
            <w:gridSpan w:val="3"/>
            <w:vMerge w:val="restart"/>
          </w:tcPr>
          <w:p>
            <w:pPr>
              <w:ind w:left="60"/>
              <w:spacing w:after="0"/>
              <w:rPr>
                <w:sz w:val="20"/>
                <w:szCs w:val="20"/>
                <w:color w:val="auto"/>
              </w:rPr>
            </w:pPr>
            <w:r>
              <w:rPr>
                <w:rFonts w:ascii="Arial" w:cs="Arial" w:eastAsia="Arial" w:hAnsi="Arial"/>
                <w:sz w:val="15"/>
                <w:szCs w:val="15"/>
                <w:color w:val="auto"/>
              </w:rPr>
              <w:t>an Affiliate.</w:t>
            </w:r>
          </w:p>
        </w:tc>
        <w:tc>
          <w:tcPr>
            <w:tcW w:w="2540" w:type="dxa"/>
            <w:vAlign w:val="bottom"/>
            <w:gridSpan w:val="14"/>
            <w:vMerge w:val="restart"/>
          </w:tcPr>
          <w:p>
            <w:pPr>
              <w:ind w:left="20"/>
              <w:spacing w:after="0"/>
              <w:rPr>
                <w:sz w:val="20"/>
                <w:szCs w:val="20"/>
                <w:color w:val="auto"/>
              </w:rPr>
            </w:pPr>
            <w:r>
              <w:rPr>
                <w:rFonts w:ascii="Arial" w:cs="Arial" w:eastAsia="Arial" w:hAnsi="Arial"/>
                <w:sz w:val="15"/>
                <w:szCs w:val="15"/>
                <w:color w:val="auto"/>
                <w:w w:val="95"/>
              </w:rPr>
              <w:t>Units are not assignable or transferable</w:t>
            </w:r>
          </w:p>
        </w:tc>
        <w:tc>
          <w:tcPr>
            <w:tcW w:w="3380" w:type="dxa"/>
            <w:vAlign w:val="bottom"/>
            <w:gridSpan w:val="1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3380" w:type="dxa"/>
            <w:vAlign w:val="bottom"/>
            <w:gridSpan w:val="23"/>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2540" w:type="dxa"/>
            <w:vAlign w:val="bottom"/>
            <w:gridSpan w:val="14"/>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rPr>
              <w:t>(b)  as to the number of Units equal to the Target</w:t>
            </w:r>
          </w:p>
        </w:tc>
        <w:tc>
          <w:tcPr>
            <w:tcW w:w="3440" w:type="dxa"/>
            <w:vAlign w:val="bottom"/>
            <w:gridSpan w:val="17"/>
          </w:tcPr>
          <w:p>
            <w:pPr>
              <w:ind w:left="60"/>
              <w:spacing w:after="0"/>
              <w:rPr>
                <w:sz w:val="20"/>
                <w:szCs w:val="20"/>
                <w:color w:val="auto"/>
              </w:rPr>
            </w:pPr>
            <w:r>
              <w:rPr>
                <w:rFonts w:ascii="Arial" w:cs="Arial" w:eastAsia="Arial" w:hAnsi="Arial"/>
                <w:sz w:val="15"/>
                <w:szCs w:val="15"/>
                <w:color w:val="auto"/>
                <w:w w:val="98"/>
              </w:rPr>
              <w:t>by Grantee other than by will or the laws of descent</w:t>
            </w:r>
          </w:p>
        </w:tc>
        <w:tc>
          <w:tcPr>
            <w:tcW w:w="400" w:type="dxa"/>
            <w:vAlign w:val="bottom"/>
          </w:tcPr>
          <w:p>
            <w:pPr>
              <w:ind w:left="80"/>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6"/>
                <w:szCs w:val="16"/>
                <w:color w:val="auto"/>
              </w:rPr>
            </w:pPr>
          </w:p>
        </w:tc>
        <w:tc>
          <w:tcPr>
            <w:tcW w:w="780" w:type="dxa"/>
            <w:vAlign w:val="bottom"/>
            <w:gridSpan w:val="6"/>
          </w:tcPr>
          <w:p>
            <w:pPr>
              <w:spacing w:after="0"/>
              <w:rPr>
                <w:sz w:val="20"/>
                <w:szCs w:val="20"/>
                <w:color w:val="auto"/>
              </w:rPr>
            </w:pPr>
            <w:r>
              <w:rPr>
                <w:rFonts w:ascii="Arial" w:cs="Arial" w:eastAsia="Arial" w:hAnsi="Arial"/>
                <w:sz w:val="15"/>
                <w:szCs w:val="15"/>
                <w:color w:val="auto"/>
                <w:w w:val="92"/>
              </w:rPr>
              <w:t>Severability.</w:t>
            </w:r>
          </w:p>
        </w:tc>
        <w:tc>
          <w:tcPr>
            <w:tcW w:w="340" w:type="dxa"/>
            <w:vAlign w:val="bottom"/>
          </w:tcPr>
          <w:p>
            <w:pPr>
              <w:ind w:left="200"/>
              <w:spacing w:after="0"/>
              <w:rPr>
                <w:sz w:val="20"/>
                <w:szCs w:val="20"/>
                <w:color w:val="auto"/>
              </w:rPr>
            </w:pPr>
            <w:r>
              <w:rPr>
                <w:rFonts w:ascii="Arial" w:cs="Arial" w:eastAsia="Arial" w:hAnsi="Arial"/>
                <w:sz w:val="15"/>
                <w:szCs w:val="15"/>
                <w:color w:val="auto"/>
              </w:rPr>
              <w:t>If</w:t>
            </w:r>
          </w:p>
        </w:tc>
        <w:tc>
          <w:tcPr>
            <w:tcW w:w="360" w:type="dxa"/>
            <w:vAlign w:val="bottom"/>
          </w:tcPr>
          <w:p>
            <w:pPr>
              <w:jc w:val="right"/>
              <w:ind w:right="3"/>
              <w:spacing w:after="0"/>
              <w:rPr>
                <w:sz w:val="20"/>
                <w:szCs w:val="20"/>
                <w:color w:val="auto"/>
              </w:rPr>
            </w:pPr>
            <w:r>
              <w:rPr>
                <w:rFonts w:ascii="Arial" w:cs="Arial" w:eastAsia="Arial" w:hAnsi="Arial"/>
                <w:sz w:val="15"/>
                <w:szCs w:val="15"/>
                <w:color w:val="auto"/>
              </w:rPr>
              <w:t>any</w:t>
            </w:r>
          </w:p>
        </w:tc>
        <w:tc>
          <w:tcPr>
            <w:tcW w:w="360" w:type="dxa"/>
            <w:vAlign w:val="bottom"/>
            <w:gridSpan w:val="2"/>
          </w:tcPr>
          <w:p>
            <w:pPr>
              <w:ind w:left="40"/>
              <w:spacing w:after="0"/>
              <w:rPr>
                <w:sz w:val="20"/>
                <w:szCs w:val="20"/>
                <w:color w:val="auto"/>
              </w:rPr>
            </w:pPr>
            <w:r>
              <w:rPr>
                <w:rFonts w:ascii="Arial" w:cs="Arial" w:eastAsia="Arial" w:hAnsi="Arial"/>
                <w:sz w:val="15"/>
                <w:szCs w:val="15"/>
                <w:color w:val="auto"/>
              </w:rPr>
              <w:t>one</w:t>
            </w:r>
          </w:p>
        </w:tc>
        <w:tc>
          <w:tcPr>
            <w:tcW w:w="580" w:type="dxa"/>
            <w:vAlign w:val="bottom"/>
          </w:tcPr>
          <w:p>
            <w:pPr>
              <w:spacing w:after="0"/>
              <w:rPr>
                <w:sz w:val="20"/>
                <w:szCs w:val="20"/>
                <w:color w:val="auto"/>
              </w:rPr>
            </w:pPr>
            <w:r>
              <w:rPr>
                <w:rFonts w:ascii="Arial" w:cs="Arial" w:eastAsia="Arial" w:hAnsi="Arial"/>
                <w:sz w:val="15"/>
                <w:szCs w:val="15"/>
                <w:color w:val="auto"/>
              </w:rPr>
              <w:t>or  more</w:t>
            </w:r>
          </w:p>
        </w:tc>
        <w:tc>
          <w:tcPr>
            <w:tcW w:w="480" w:type="dxa"/>
            <w:vAlign w:val="bottom"/>
          </w:tcPr>
          <w:p>
            <w:pPr>
              <w:jc w:val="right"/>
              <w:spacing w:after="0"/>
              <w:rPr>
                <w:sz w:val="20"/>
                <w:szCs w:val="20"/>
                <w:color w:val="auto"/>
              </w:rPr>
            </w:pPr>
            <w:r>
              <w:rPr>
                <w:rFonts w:ascii="Arial" w:cs="Arial" w:eastAsia="Arial" w:hAnsi="Arial"/>
                <w:sz w:val="15"/>
                <w:szCs w:val="15"/>
                <w:color w:val="auto"/>
              </w:rPr>
              <w:t>of  the</w:t>
            </w:r>
          </w:p>
        </w:tc>
        <w:tc>
          <w:tcPr>
            <w:tcW w:w="0" w:type="dxa"/>
            <w:vAlign w:val="bottom"/>
          </w:tcPr>
          <w:p>
            <w:pPr>
              <w:spacing w:after="0"/>
              <w:rPr>
                <w:sz w:val="1"/>
                <w:szCs w:val="1"/>
                <w:color w:val="auto"/>
              </w:rPr>
            </w:pPr>
          </w:p>
        </w:tc>
      </w:tr>
      <w:tr>
        <w:trPr>
          <w:trHeight w:val="20"/>
        </w:trPr>
        <w:tc>
          <w:tcPr>
            <w:tcW w:w="3380" w:type="dxa"/>
            <w:vAlign w:val="bottom"/>
            <w:gridSpan w:val="23"/>
            <w:vMerge w:val="continue"/>
          </w:tcPr>
          <w:p>
            <w:pPr>
              <w:spacing w:after="0" w:line="20" w:lineRule="exact"/>
              <w:rPr>
                <w:sz w:val="1"/>
                <w:szCs w:val="1"/>
                <w:color w:val="auto"/>
              </w:rPr>
            </w:pPr>
          </w:p>
        </w:tc>
        <w:tc>
          <w:tcPr>
            <w:tcW w:w="1100" w:type="dxa"/>
            <w:vAlign w:val="bottom"/>
            <w:gridSpan w:val="4"/>
            <w:vMerge w:val="restart"/>
          </w:tcPr>
          <w:p>
            <w:pPr>
              <w:ind w:left="60"/>
              <w:spacing w:after="0" w:line="167" w:lineRule="exact"/>
              <w:rPr>
                <w:sz w:val="20"/>
                <w:szCs w:val="20"/>
                <w:color w:val="auto"/>
              </w:rPr>
            </w:pPr>
            <w:r>
              <w:rPr>
                <w:rFonts w:ascii="Arial" w:cs="Arial" w:eastAsia="Arial" w:hAnsi="Arial"/>
                <w:sz w:val="15"/>
                <w:szCs w:val="15"/>
                <w:color w:val="auto"/>
                <w:w w:val="96"/>
              </w:rPr>
              <w:t>and distribution.</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vMerge w:val="restart"/>
          </w:tcPr>
          <w:p>
            <w:pPr>
              <w:jc w:val="right"/>
              <w:spacing w:after="0" w:line="167" w:lineRule="exact"/>
              <w:rPr>
                <w:sz w:val="20"/>
                <w:szCs w:val="20"/>
                <w:color w:val="auto"/>
              </w:rPr>
            </w:pPr>
            <w:r>
              <w:rPr>
                <w:rFonts w:ascii="Arial" w:cs="Arial" w:eastAsia="Arial" w:hAnsi="Arial"/>
                <w:sz w:val="15"/>
                <w:szCs w:val="15"/>
                <w:color w:val="auto"/>
              </w:rPr>
              <w:t>this</w:t>
            </w:r>
          </w:p>
        </w:tc>
        <w:tc>
          <w:tcPr>
            <w:tcW w:w="940" w:type="dxa"/>
            <w:vAlign w:val="bottom"/>
            <w:gridSpan w:val="3"/>
            <w:vMerge w:val="restart"/>
          </w:tcPr>
          <w:p>
            <w:pPr>
              <w:ind w:left="20"/>
              <w:spacing w:after="0" w:line="167" w:lineRule="exact"/>
              <w:rPr>
                <w:sz w:val="20"/>
                <w:szCs w:val="20"/>
                <w:color w:val="auto"/>
              </w:rPr>
            </w:pPr>
            <w:r>
              <w:rPr>
                <w:rFonts w:ascii="Arial" w:cs="Arial" w:eastAsia="Arial" w:hAnsi="Arial"/>
                <w:sz w:val="15"/>
                <w:szCs w:val="15"/>
                <w:color w:val="auto"/>
              </w:rPr>
              <w:t>Agreement is</w:t>
            </w:r>
          </w:p>
        </w:tc>
        <w:tc>
          <w:tcPr>
            <w:tcW w:w="480" w:type="dxa"/>
            <w:vAlign w:val="bottom"/>
            <w:vMerge w:val="restart"/>
          </w:tcPr>
          <w:p>
            <w:pPr>
              <w:jc w:val="right"/>
              <w:spacing w:after="0" w:line="167" w:lineRule="exact"/>
              <w:rPr>
                <w:sz w:val="20"/>
                <w:szCs w:val="20"/>
                <w:color w:val="auto"/>
              </w:rPr>
            </w:pPr>
            <w:r>
              <w:rPr>
                <w:rFonts w:ascii="Arial" w:cs="Arial" w:eastAsia="Arial" w:hAnsi="Arial"/>
                <w:sz w:val="15"/>
                <w:szCs w:val="15"/>
                <w:color w:val="auto"/>
                <w:w w:val="98"/>
              </w:rPr>
              <w:t>invalid,</w:t>
            </w:r>
          </w:p>
        </w:tc>
        <w:tc>
          <w:tcPr>
            <w:tcW w:w="0" w:type="dxa"/>
            <w:vAlign w:val="bottom"/>
          </w:tcPr>
          <w:p>
            <w:pPr>
              <w:spacing w:after="0" w:line="20" w:lineRule="exact"/>
              <w:rPr>
                <w:sz w:val="1"/>
                <w:szCs w:val="1"/>
                <w:color w:val="auto"/>
              </w:rPr>
            </w:pPr>
          </w:p>
        </w:tc>
      </w:tr>
      <w:tr>
        <w:trPr>
          <w:trHeight w:val="146"/>
        </w:trPr>
        <w:tc>
          <w:tcPr>
            <w:tcW w:w="3380" w:type="dxa"/>
            <w:vAlign w:val="bottom"/>
            <w:gridSpan w:val="23"/>
            <w:vMerge w:val="continue"/>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9"/>
          </w:tcPr>
          <w:p>
            <w:pPr>
              <w:ind w:left="80"/>
              <w:spacing w:after="0" w:line="146" w:lineRule="exact"/>
              <w:rPr>
                <w:sz w:val="20"/>
                <w:szCs w:val="20"/>
                <w:color w:val="auto"/>
              </w:rPr>
            </w:pPr>
            <w:r>
              <w:rPr>
                <w:rFonts w:ascii="Arial" w:cs="Arial" w:eastAsia="Arial" w:hAnsi="Arial"/>
                <w:sz w:val="15"/>
                <w:szCs w:val="15"/>
                <w:color w:val="auto"/>
                <w:w w:val="98"/>
              </w:rPr>
              <w:t>provisions contained in</w:t>
            </w:r>
          </w:p>
        </w:tc>
        <w:tc>
          <w:tcPr>
            <w:tcW w:w="360" w:type="dxa"/>
            <w:vAlign w:val="bottom"/>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380" w:type="dxa"/>
            <w:vAlign w:val="bottom"/>
            <w:gridSpan w:val="23"/>
          </w:tcPr>
          <w:p>
            <w:pPr>
              <w:spacing w:after="0" w:line="133" w:lineRule="exact"/>
              <w:rPr>
                <w:sz w:val="20"/>
                <w:szCs w:val="20"/>
                <w:color w:val="auto"/>
              </w:rPr>
            </w:pPr>
            <w:r>
              <w:rPr>
                <w:rFonts w:ascii="Arial" w:cs="Arial" w:eastAsia="Arial" w:hAnsi="Arial"/>
                <w:sz w:val="15"/>
                <w:szCs w:val="15"/>
                <w:color w:val="auto"/>
              </w:rPr>
              <w:t>Award, on the occurrence of a Change in Control,</w:t>
            </w:r>
          </w:p>
        </w:tc>
        <w:tc>
          <w:tcPr>
            <w:tcW w:w="300" w:type="dxa"/>
            <w:vAlign w:val="bottom"/>
            <w:vMerge w:val="restart"/>
          </w:tcPr>
          <w:p>
            <w:pPr>
              <w:ind w:left="60"/>
              <w:spacing w:after="0"/>
              <w:rPr>
                <w:sz w:val="20"/>
                <w:szCs w:val="20"/>
                <w:color w:val="auto"/>
              </w:rPr>
            </w:pPr>
            <w:r>
              <w:rPr>
                <w:rFonts w:ascii="Arial" w:cs="Arial" w:eastAsia="Arial" w:hAnsi="Arial"/>
                <w:sz w:val="15"/>
                <w:szCs w:val="15"/>
                <w:color w:val="auto"/>
              </w:rPr>
              <w:t>7.</w:t>
            </w:r>
          </w:p>
        </w:tc>
        <w:tc>
          <w:tcPr>
            <w:tcW w:w="1240" w:type="dxa"/>
            <w:vAlign w:val="bottom"/>
            <w:gridSpan w:val="6"/>
            <w:vMerge w:val="restart"/>
          </w:tcPr>
          <w:p>
            <w:pPr>
              <w:spacing w:after="0"/>
              <w:rPr>
                <w:sz w:val="20"/>
                <w:szCs w:val="20"/>
                <w:color w:val="auto"/>
              </w:rPr>
            </w:pPr>
            <w:r>
              <w:rPr>
                <w:rFonts w:ascii="Arial" w:cs="Arial" w:eastAsia="Arial" w:hAnsi="Arial"/>
                <w:sz w:val="15"/>
                <w:szCs w:val="15"/>
                <w:color w:val="auto"/>
                <w:w w:val="95"/>
              </w:rPr>
              <w:t>Limitation of Rights</w:t>
            </w:r>
          </w:p>
        </w:tc>
        <w:tc>
          <w:tcPr>
            <w:tcW w:w="120" w:type="dxa"/>
            <w:vAlign w:val="bottom"/>
            <w:vMerge w:val="restart"/>
          </w:tcPr>
          <w:p>
            <w:pPr>
              <w:jc w:val="right"/>
              <w:ind w:right="7"/>
              <w:spacing w:after="0"/>
              <w:rPr>
                <w:sz w:val="20"/>
                <w:szCs w:val="20"/>
                <w:color w:val="auto"/>
              </w:rPr>
            </w:pPr>
            <w:r>
              <w:rPr>
                <w:rFonts w:ascii="Arial" w:cs="Arial" w:eastAsia="Arial" w:hAnsi="Arial"/>
                <w:sz w:val="10"/>
                <w:szCs w:val="10"/>
                <w:color w:val="auto"/>
                <w:w w:val="70"/>
              </w:rPr>
              <w:t>.</w:t>
            </w:r>
          </w:p>
        </w:tc>
        <w:tc>
          <w:tcPr>
            <w:tcW w:w="1780" w:type="dxa"/>
            <w:vAlign w:val="bottom"/>
            <w:gridSpan w:val="9"/>
            <w:vMerge w:val="restart"/>
          </w:tcPr>
          <w:p>
            <w:pPr>
              <w:jc w:val="right"/>
              <w:ind w:right="3"/>
              <w:spacing w:after="0"/>
              <w:rPr>
                <w:sz w:val="20"/>
                <w:szCs w:val="20"/>
                <w:color w:val="auto"/>
              </w:rPr>
            </w:pPr>
            <w:r>
              <w:rPr>
                <w:rFonts w:ascii="Arial" w:cs="Arial" w:eastAsia="Arial" w:hAnsi="Arial"/>
                <w:sz w:val="15"/>
                <w:szCs w:val="15"/>
                <w:color w:val="auto"/>
                <w:w w:val="97"/>
              </w:rPr>
              <w:t>The Units do not confer to</w:t>
            </w: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w w:val="96"/>
              </w:rPr>
              <w:t>illegal or unenforceable, the other provisions of this</w:t>
            </w:r>
          </w:p>
        </w:tc>
        <w:tc>
          <w:tcPr>
            <w:tcW w:w="0" w:type="dxa"/>
            <w:vAlign w:val="bottom"/>
          </w:tcPr>
          <w:p>
            <w:pPr>
              <w:spacing w:after="0"/>
              <w:rPr>
                <w:sz w:val="1"/>
                <w:szCs w:val="1"/>
                <w:color w:val="auto"/>
              </w:rPr>
            </w:pPr>
          </w:p>
        </w:tc>
      </w:tr>
      <w:tr>
        <w:trPr>
          <w:trHeight w:val="77"/>
        </w:trPr>
        <w:tc>
          <w:tcPr>
            <w:tcW w:w="3380" w:type="dxa"/>
            <w:vAlign w:val="bottom"/>
            <w:gridSpan w:val="23"/>
            <w:vMerge w:val="restart"/>
          </w:tcPr>
          <w:p>
            <w:pPr>
              <w:spacing w:after="0" w:line="129" w:lineRule="exact"/>
              <w:rPr>
                <w:sz w:val="20"/>
                <w:szCs w:val="20"/>
                <w:color w:val="auto"/>
              </w:rPr>
            </w:pPr>
            <w:r>
              <w:rPr>
                <w:rFonts w:ascii="Arial" w:cs="Arial" w:eastAsia="Arial" w:hAnsi="Arial"/>
                <w:sz w:val="14"/>
                <w:szCs w:val="14"/>
                <w:color w:val="auto"/>
              </w:rPr>
              <w:t>unless the Units are assumed by the surviving entity</w:t>
            </w:r>
          </w:p>
        </w:tc>
        <w:tc>
          <w:tcPr>
            <w:tcW w:w="300" w:type="dxa"/>
            <w:vAlign w:val="bottom"/>
            <w:vMerge w:val="continue"/>
          </w:tcPr>
          <w:p>
            <w:pPr>
              <w:spacing w:after="0"/>
              <w:rPr>
                <w:sz w:val="6"/>
                <w:szCs w:val="6"/>
                <w:color w:val="auto"/>
              </w:rPr>
            </w:pPr>
          </w:p>
        </w:tc>
        <w:tc>
          <w:tcPr>
            <w:tcW w:w="1240" w:type="dxa"/>
            <w:vAlign w:val="bottom"/>
            <w:gridSpan w:val="6"/>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780" w:type="dxa"/>
            <w:vAlign w:val="bottom"/>
            <w:gridSpan w:val="9"/>
            <w:vMerge w:val="continue"/>
          </w:tcPr>
          <w:p>
            <w:pPr>
              <w:spacing w:after="0"/>
              <w:rPr>
                <w:sz w:val="6"/>
                <w:szCs w:val="6"/>
                <w:color w:val="auto"/>
              </w:rPr>
            </w:pPr>
          </w:p>
        </w:tc>
        <w:tc>
          <w:tcPr>
            <w:tcW w:w="3380" w:type="dxa"/>
            <w:vAlign w:val="bottom"/>
            <w:gridSpan w:val="1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3380" w:type="dxa"/>
            <w:vAlign w:val="bottom"/>
            <w:gridSpan w:val="23"/>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tcBorders>
              <w:bottom w:val="single" w:sz="8" w:color="auto"/>
            </w:tcBorders>
            <w:gridSpan w:val="6"/>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780" w:type="dxa"/>
            <w:vAlign w:val="bottom"/>
            <w:gridSpan w:val="9"/>
            <w:vMerge w:val="continue"/>
          </w:tcPr>
          <w:p>
            <w:pPr>
              <w:spacing w:after="0"/>
              <w:rPr>
                <w:sz w:val="5"/>
                <w:szCs w:val="5"/>
                <w:color w:val="auto"/>
              </w:rPr>
            </w:pP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w w:val="97"/>
              </w:rPr>
              <w:t>Agreement will be construed and enforced as if the</w:t>
            </w:r>
          </w:p>
        </w:tc>
        <w:tc>
          <w:tcPr>
            <w:tcW w:w="0" w:type="dxa"/>
            <w:vAlign w:val="bottom"/>
          </w:tcPr>
          <w:p>
            <w:pPr>
              <w:spacing w:after="0"/>
              <w:rPr>
                <w:sz w:val="1"/>
                <w:szCs w:val="1"/>
                <w:color w:val="auto"/>
              </w:rPr>
            </w:pPr>
          </w:p>
        </w:tc>
      </w:tr>
      <w:tr>
        <w:trPr>
          <w:trHeight w:val="172"/>
        </w:trPr>
        <w:tc>
          <w:tcPr>
            <w:tcW w:w="200" w:type="dxa"/>
            <w:vAlign w:val="bottom"/>
            <w:gridSpan w:val="2"/>
          </w:tcPr>
          <w:p>
            <w:pPr>
              <w:spacing w:after="0"/>
              <w:rPr>
                <w:sz w:val="20"/>
                <w:szCs w:val="20"/>
                <w:color w:val="auto"/>
              </w:rPr>
            </w:pPr>
            <w:r>
              <w:rPr>
                <w:rFonts w:ascii="Arial" w:cs="Arial" w:eastAsia="Arial" w:hAnsi="Arial"/>
                <w:sz w:val="15"/>
                <w:szCs w:val="15"/>
                <w:color w:val="auto"/>
              </w:rPr>
              <w:t>or</w:t>
            </w:r>
          </w:p>
        </w:tc>
        <w:tc>
          <w:tcPr>
            <w:tcW w:w="680" w:type="dxa"/>
            <w:vAlign w:val="bottom"/>
            <w:gridSpan w:val="5"/>
          </w:tcPr>
          <w:p>
            <w:pPr>
              <w:spacing w:after="0"/>
              <w:rPr>
                <w:sz w:val="20"/>
                <w:szCs w:val="20"/>
                <w:color w:val="auto"/>
              </w:rPr>
            </w:pPr>
            <w:r>
              <w:rPr>
                <w:rFonts w:ascii="Arial" w:cs="Arial" w:eastAsia="Arial" w:hAnsi="Arial"/>
                <w:sz w:val="15"/>
                <w:szCs w:val="15"/>
                <w:color w:val="auto"/>
              </w:rPr>
              <w:t>otherwise</w:t>
            </w:r>
          </w:p>
        </w:tc>
        <w:tc>
          <w:tcPr>
            <w:tcW w:w="600" w:type="dxa"/>
            <w:vAlign w:val="bottom"/>
            <w:gridSpan w:val="4"/>
          </w:tcPr>
          <w:p>
            <w:pPr>
              <w:jc w:val="right"/>
              <w:ind w:right="20"/>
              <w:spacing w:after="0"/>
              <w:rPr>
                <w:sz w:val="20"/>
                <w:szCs w:val="20"/>
                <w:color w:val="auto"/>
              </w:rPr>
            </w:pPr>
            <w:r>
              <w:rPr>
                <w:rFonts w:ascii="Arial" w:cs="Arial" w:eastAsia="Arial" w:hAnsi="Arial"/>
                <w:sz w:val="15"/>
                <w:szCs w:val="15"/>
                <w:color w:val="auto"/>
                <w:w w:val="93"/>
              </w:rPr>
              <w:t>equitably</w:t>
            </w:r>
          </w:p>
        </w:tc>
        <w:tc>
          <w:tcPr>
            <w:tcW w:w="720" w:type="dxa"/>
            <w:vAlign w:val="bottom"/>
            <w:gridSpan w:val="4"/>
          </w:tcPr>
          <w:p>
            <w:pPr>
              <w:jc w:val="right"/>
              <w:spacing w:after="0"/>
              <w:rPr>
                <w:sz w:val="20"/>
                <w:szCs w:val="20"/>
                <w:color w:val="auto"/>
              </w:rPr>
            </w:pPr>
            <w:r>
              <w:rPr>
                <w:rFonts w:ascii="Arial" w:cs="Arial" w:eastAsia="Arial" w:hAnsi="Arial"/>
                <w:sz w:val="15"/>
                <w:szCs w:val="15"/>
                <w:color w:val="auto"/>
                <w:w w:val="97"/>
              </w:rPr>
              <w:t>converted</w:t>
            </w:r>
          </w:p>
        </w:tc>
        <w:tc>
          <w:tcPr>
            <w:tcW w:w="220" w:type="dxa"/>
            <w:vAlign w:val="bottom"/>
            <w:gridSpan w:val="2"/>
          </w:tcPr>
          <w:p>
            <w:pPr>
              <w:ind w:left="20"/>
              <w:spacing w:after="0"/>
              <w:rPr>
                <w:sz w:val="20"/>
                <w:szCs w:val="20"/>
                <w:color w:val="auto"/>
              </w:rPr>
            </w:pPr>
            <w:r>
              <w:rPr>
                <w:rFonts w:ascii="Arial" w:cs="Arial" w:eastAsia="Arial" w:hAnsi="Arial"/>
                <w:sz w:val="15"/>
                <w:szCs w:val="15"/>
                <w:color w:val="auto"/>
              </w:rPr>
              <w:t>or</w:t>
            </w:r>
          </w:p>
        </w:tc>
        <w:tc>
          <w:tcPr>
            <w:tcW w:w="960" w:type="dxa"/>
            <w:vAlign w:val="bottom"/>
            <w:gridSpan w:val="6"/>
          </w:tcPr>
          <w:p>
            <w:pPr>
              <w:jc w:val="right"/>
              <w:ind w:right="80"/>
              <w:spacing w:after="0"/>
              <w:rPr>
                <w:sz w:val="20"/>
                <w:szCs w:val="20"/>
                <w:color w:val="auto"/>
              </w:rPr>
            </w:pPr>
            <w:r>
              <w:rPr>
                <w:rFonts w:ascii="Arial" w:cs="Arial" w:eastAsia="Arial" w:hAnsi="Arial"/>
                <w:sz w:val="15"/>
                <w:szCs w:val="15"/>
                <w:color w:val="auto"/>
                <w:w w:val="97"/>
              </w:rPr>
              <w:t>substituted in</w:t>
            </w:r>
          </w:p>
        </w:tc>
        <w:tc>
          <w:tcPr>
            <w:tcW w:w="1540" w:type="dxa"/>
            <w:vAlign w:val="bottom"/>
            <w:gridSpan w:val="7"/>
          </w:tcPr>
          <w:p>
            <w:pPr>
              <w:ind w:left="60"/>
              <w:spacing w:after="0"/>
              <w:rPr>
                <w:sz w:val="20"/>
                <w:szCs w:val="20"/>
                <w:color w:val="auto"/>
              </w:rPr>
            </w:pPr>
            <w:r>
              <w:rPr>
                <w:rFonts w:ascii="Arial" w:cs="Arial" w:eastAsia="Arial" w:hAnsi="Arial"/>
                <w:sz w:val="15"/>
                <w:szCs w:val="15"/>
                <w:color w:val="auto"/>
              </w:rPr>
              <w:t>Grantee or Grantee’s</w:t>
            </w:r>
          </w:p>
        </w:tc>
        <w:tc>
          <w:tcPr>
            <w:tcW w:w="1040" w:type="dxa"/>
            <w:vAlign w:val="bottom"/>
            <w:gridSpan w:val="6"/>
          </w:tcPr>
          <w:p>
            <w:pPr>
              <w:jc w:val="center"/>
              <w:spacing w:after="0"/>
              <w:rPr>
                <w:sz w:val="20"/>
                <w:szCs w:val="20"/>
                <w:color w:val="auto"/>
              </w:rPr>
            </w:pPr>
            <w:r>
              <w:rPr>
                <w:rFonts w:ascii="Arial" w:cs="Arial" w:eastAsia="Arial" w:hAnsi="Arial"/>
                <w:sz w:val="15"/>
                <w:szCs w:val="15"/>
                <w:color w:val="auto"/>
                <w:w w:val="99"/>
              </w:rPr>
              <w:t>beneficiary any</w:t>
            </w: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rights</w:t>
            </w:r>
          </w:p>
        </w:tc>
        <w:tc>
          <w:tcPr>
            <w:tcW w:w="420" w:type="dxa"/>
            <w:vAlign w:val="bottom"/>
            <w:gridSpan w:val="2"/>
          </w:tcPr>
          <w:p>
            <w:pPr>
              <w:jc w:val="right"/>
              <w:ind w:right="3"/>
              <w:spacing w:after="0"/>
              <w:rPr>
                <w:sz w:val="20"/>
                <w:szCs w:val="20"/>
                <w:color w:val="auto"/>
              </w:rPr>
            </w:pPr>
            <w:r>
              <w:rPr>
                <w:rFonts w:ascii="Arial" w:cs="Arial" w:eastAsia="Arial" w:hAnsi="Arial"/>
                <w:sz w:val="15"/>
                <w:szCs w:val="15"/>
                <w:color w:val="auto"/>
              </w:rPr>
              <w:t>of a</w:t>
            </w:r>
          </w:p>
        </w:tc>
        <w:tc>
          <w:tcPr>
            <w:tcW w:w="338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w w:val="99"/>
              </w:rPr>
              <w:t>connection with the Change in Control, and subject</w:t>
            </w:r>
          </w:p>
        </w:tc>
        <w:tc>
          <w:tcPr>
            <w:tcW w:w="3440" w:type="dxa"/>
            <w:vAlign w:val="bottom"/>
            <w:gridSpan w:val="17"/>
            <w:vMerge w:val="restart"/>
          </w:tcPr>
          <w:p>
            <w:pPr>
              <w:ind w:left="60"/>
              <w:spacing w:after="0"/>
              <w:rPr>
                <w:sz w:val="20"/>
                <w:szCs w:val="20"/>
                <w:color w:val="auto"/>
              </w:rPr>
            </w:pPr>
            <w:r>
              <w:rPr>
                <w:rFonts w:ascii="Arial" w:cs="Arial" w:eastAsia="Arial" w:hAnsi="Arial"/>
                <w:sz w:val="15"/>
                <w:szCs w:val="15"/>
                <w:color w:val="auto"/>
                <w:w w:val="97"/>
              </w:rPr>
              <w:t>stockholder of the Company unless and until shares</w:t>
            </w:r>
          </w:p>
        </w:tc>
        <w:tc>
          <w:tcPr>
            <w:tcW w:w="3380" w:type="dxa"/>
            <w:vAlign w:val="bottom"/>
            <w:gridSpan w:val="14"/>
          </w:tcPr>
          <w:p>
            <w:pPr>
              <w:ind w:left="80"/>
              <w:spacing w:after="0" w:line="107" w:lineRule="exact"/>
              <w:rPr>
                <w:sz w:val="20"/>
                <w:szCs w:val="20"/>
                <w:color w:val="auto"/>
              </w:rPr>
            </w:pPr>
            <w:r>
              <w:rPr>
                <w:rFonts w:ascii="Arial" w:cs="Arial" w:eastAsia="Arial" w:hAnsi="Arial"/>
                <w:sz w:val="12"/>
                <w:szCs w:val="12"/>
                <w:color w:val="auto"/>
              </w:rPr>
              <w:t>invalid, illegal or unenforceable provision had never</w:t>
            </w:r>
          </w:p>
        </w:tc>
        <w:tc>
          <w:tcPr>
            <w:tcW w:w="0" w:type="dxa"/>
            <w:vAlign w:val="bottom"/>
          </w:tcPr>
          <w:p>
            <w:pPr>
              <w:spacing w:after="0"/>
              <w:rPr>
                <w:sz w:val="1"/>
                <w:szCs w:val="1"/>
                <w:color w:val="auto"/>
              </w:rPr>
            </w:pPr>
          </w:p>
        </w:tc>
      </w:tr>
      <w:tr>
        <w:trPr>
          <w:trHeight w:val="77"/>
        </w:trPr>
        <w:tc>
          <w:tcPr>
            <w:tcW w:w="3380" w:type="dxa"/>
            <w:vAlign w:val="bottom"/>
            <w:gridSpan w:val="23"/>
            <w:vMerge w:val="continue"/>
          </w:tcPr>
          <w:p>
            <w:pPr>
              <w:spacing w:after="0"/>
              <w:rPr>
                <w:sz w:val="6"/>
                <w:szCs w:val="6"/>
                <w:color w:val="auto"/>
              </w:rPr>
            </w:pPr>
          </w:p>
        </w:tc>
        <w:tc>
          <w:tcPr>
            <w:tcW w:w="3440" w:type="dxa"/>
            <w:vAlign w:val="bottom"/>
            <w:gridSpan w:val="17"/>
            <w:vMerge w:val="continue"/>
          </w:tcPr>
          <w:p>
            <w:pPr>
              <w:spacing w:after="0"/>
              <w:rPr>
                <w:sz w:val="6"/>
                <w:szCs w:val="6"/>
                <w:color w:val="auto"/>
              </w:rPr>
            </w:pPr>
          </w:p>
        </w:tc>
        <w:tc>
          <w:tcPr>
            <w:tcW w:w="1260" w:type="dxa"/>
            <w:vAlign w:val="bottom"/>
            <w:gridSpan w:val="8"/>
            <w:vMerge w:val="restart"/>
          </w:tcPr>
          <w:p>
            <w:pPr>
              <w:ind w:left="80"/>
              <w:spacing w:after="0"/>
              <w:rPr>
                <w:sz w:val="20"/>
                <w:szCs w:val="20"/>
                <w:color w:val="auto"/>
              </w:rPr>
            </w:pPr>
            <w:r>
              <w:rPr>
                <w:rFonts w:ascii="Arial" w:cs="Arial" w:eastAsia="Arial" w:hAnsi="Arial"/>
                <w:sz w:val="15"/>
                <w:szCs w:val="15"/>
                <w:color w:val="auto"/>
              </w:rPr>
              <w:t>been included.</w:t>
            </w: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3380" w:type="dxa"/>
            <w:vAlign w:val="bottom"/>
            <w:gridSpan w:val="23"/>
          </w:tcPr>
          <w:p>
            <w:pPr>
              <w:spacing w:after="0"/>
              <w:rPr>
                <w:sz w:val="20"/>
                <w:szCs w:val="20"/>
                <w:color w:val="auto"/>
              </w:rPr>
            </w:pPr>
            <w:r>
              <w:rPr>
                <w:rFonts w:ascii="Arial" w:cs="Arial" w:eastAsia="Arial" w:hAnsi="Arial"/>
                <w:sz w:val="15"/>
                <w:szCs w:val="15"/>
                <w:color w:val="auto"/>
                <w:w w:val="99"/>
              </w:rPr>
              <w:t>to Grantee’s Continuous Service on the date of the</w:t>
            </w:r>
          </w:p>
        </w:tc>
        <w:tc>
          <w:tcPr>
            <w:tcW w:w="3440" w:type="dxa"/>
            <w:vAlign w:val="bottom"/>
            <w:gridSpan w:val="17"/>
          </w:tcPr>
          <w:p>
            <w:pPr>
              <w:ind w:left="60"/>
              <w:spacing w:after="0"/>
              <w:rPr>
                <w:sz w:val="20"/>
                <w:szCs w:val="20"/>
                <w:color w:val="auto"/>
              </w:rPr>
            </w:pPr>
            <w:r>
              <w:rPr>
                <w:rFonts w:ascii="Arial" w:cs="Arial" w:eastAsia="Arial" w:hAnsi="Arial"/>
                <w:sz w:val="15"/>
                <w:szCs w:val="15"/>
                <w:color w:val="auto"/>
              </w:rPr>
              <w:t>of  Stock  are  in  fact  issued  to  such  person  in</w:t>
            </w:r>
          </w:p>
        </w:tc>
        <w:tc>
          <w:tcPr>
            <w:tcW w:w="1260" w:type="dxa"/>
            <w:vAlign w:val="bottom"/>
            <w:gridSpan w:val="8"/>
            <w:vMerge w:val="continue"/>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80" w:type="dxa"/>
            <w:vAlign w:val="bottom"/>
            <w:gridSpan w:val="11"/>
          </w:tcPr>
          <w:p>
            <w:pPr>
              <w:spacing w:after="0"/>
              <w:rPr>
                <w:sz w:val="20"/>
                <w:szCs w:val="20"/>
                <w:color w:val="auto"/>
              </w:rPr>
            </w:pPr>
            <w:r>
              <w:rPr>
                <w:rFonts w:ascii="Arial" w:cs="Arial" w:eastAsia="Arial" w:hAnsi="Arial"/>
                <w:sz w:val="15"/>
                <w:szCs w:val="15"/>
                <w:color w:val="auto"/>
              </w:rPr>
              <w:t>Change in Control; or</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5"/>
                <w:szCs w:val="15"/>
                <w:color w:val="auto"/>
                <w:w w:val="90"/>
              </w:rPr>
              <w:t>connection</w:t>
            </w:r>
          </w:p>
        </w:tc>
        <w:tc>
          <w:tcPr>
            <w:tcW w:w="540" w:type="dxa"/>
            <w:vAlign w:val="bottom"/>
            <w:gridSpan w:val="3"/>
          </w:tcPr>
          <w:p>
            <w:pPr>
              <w:jc w:val="right"/>
              <w:ind w:right="63"/>
              <w:spacing w:after="0"/>
              <w:rPr>
                <w:sz w:val="20"/>
                <w:szCs w:val="20"/>
                <w:color w:val="auto"/>
              </w:rPr>
            </w:pPr>
            <w:r>
              <w:rPr>
                <w:rFonts w:ascii="Arial" w:cs="Arial" w:eastAsia="Arial" w:hAnsi="Arial"/>
                <w:sz w:val="15"/>
                <w:szCs w:val="15"/>
                <w:color w:val="auto"/>
              </w:rPr>
              <w:t>with</w:t>
            </w:r>
          </w:p>
        </w:tc>
        <w:tc>
          <w:tcPr>
            <w:tcW w:w="260" w:type="dxa"/>
            <w:vAlign w:val="bottom"/>
            <w:gridSpan w:val="2"/>
          </w:tcPr>
          <w:p>
            <w:pPr>
              <w:spacing w:after="0"/>
              <w:rPr>
                <w:sz w:val="20"/>
                <w:szCs w:val="20"/>
                <w:color w:val="auto"/>
              </w:rPr>
            </w:pPr>
            <w:r>
              <w:rPr>
                <w:rFonts w:ascii="Arial" w:cs="Arial" w:eastAsia="Arial" w:hAnsi="Arial"/>
                <w:sz w:val="15"/>
                <w:szCs w:val="15"/>
                <w:color w:val="auto"/>
              </w:rPr>
              <w:t>the</w:t>
            </w:r>
          </w:p>
        </w:tc>
        <w:tc>
          <w:tcPr>
            <w:tcW w:w="500" w:type="dxa"/>
            <w:vAlign w:val="bottom"/>
            <w:gridSpan w:val="4"/>
          </w:tcPr>
          <w:p>
            <w:pPr>
              <w:ind w:left="60"/>
              <w:spacing w:after="0"/>
              <w:rPr>
                <w:sz w:val="20"/>
                <w:szCs w:val="20"/>
                <w:color w:val="auto"/>
              </w:rPr>
            </w:pPr>
            <w:r>
              <w:rPr>
                <w:rFonts w:ascii="Arial" w:cs="Arial" w:eastAsia="Arial" w:hAnsi="Arial"/>
                <w:sz w:val="15"/>
                <w:szCs w:val="15"/>
                <w:color w:val="auto"/>
              </w:rPr>
              <w:t>Units.</w:t>
            </w:r>
          </w:p>
        </w:tc>
        <w:tc>
          <w:tcPr>
            <w:tcW w:w="14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Nothing</w:t>
            </w:r>
          </w:p>
        </w:tc>
        <w:tc>
          <w:tcPr>
            <w:tcW w:w="260" w:type="dxa"/>
            <w:vAlign w:val="bottom"/>
          </w:tcPr>
          <w:p>
            <w:pPr>
              <w:jc w:val="right"/>
              <w:spacing w:after="0"/>
              <w:rPr>
                <w:sz w:val="20"/>
                <w:szCs w:val="20"/>
                <w:color w:val="auto"/>
              </w:rPr>
            </w:pPr>
            <w:r>
              <w:rPr>
                <w:rFonts w:ascii="Arial" w:cs="Arial" w:eastAsia="Arial" w:hAnsi="Arial"/>
                <w:sz w:val="15"/>
                <w:szCs w:val="15"/>
                <w:color w:val="auto"/>
              </w:rPr>
              <w:t>in</w:t>
            </w:r>
          </w:p>
        </w:tc>
        <w:tc>
          <w:tcPr>
            <w:tcW w:w="120" w:type="dxa"/>
            <w:vAlign w:val="bottom"/>
          </w:tcPr>
          <w:p>
            <w:pPr>
              <w:spacing w:after="0"/>
              <w:rPr>
                <w:sz w:val="16"/>
                <w:szCs w:val="16"/>
                <w:color w:val="auto"/>
              </w:rPr>
            </w:pPr>
          </w:p>
        </w:tc>
        <w:tc>
          <w:tcPr>
            <w:tcW w:w="300" w:type="dxa"/>
            <w:vAlign w:val="bottom"/>
          </w:tcPr>
          <w:p>
            <w:pPr>
              <w:jc w:val="right"/>
              <w:ind w:right="3"/>
              <w:spacing w:after="0"/>
              <w:rPr>
                <w:sz w:val="20"/>
                <w:szCs w:val="20"/>
                <w:color w:val="auto"/>
              </w:rPr>
            </w:pPr>
            <w:r>
              <w:rPr>
                <w:rFonts w:ascii="Arial" w:cs="Arial" w:eastAsia="Arial" w:hAnsi="Arial"/>
                <w:sz w:val="15"/>
                <w:szCs w:val="15"/>
                <w:color w:val="auto"/>
                <w:w w:val="85"/>
              </w:rPr>
              <w:t>this</w:t>
            </w:r>
          </w:p>
        </w:tc>
        <w:tc>
          <w:tcPr>
            <w:tcW w:w="3380" w:type="dxa"/>
            <w:vAlign w:val="bottom"/>
            <w:gridSpan w:val="14"/>
          </w:tcPr>
          <w:p>
            <w:pPr>
              <w:ind w:left="80"/>
              <w:spacing w:after="0"/>
              <w:rPr>
                <w:sz w:val="20"/>
                <w:szCs w:val="20"/>
                <w:color w:val="auto"/>
              </w:rPr>
            </w:pPr>
            <w:r>
              <w:rPr>
                <w:rFonts w:ascii="Arial" w:cs="Arial" w:eastAsia="Arial" w:hAnsi="Arial"/>
                <w:sz w:val="15"/>
                <w:szCs w:val="15"/>
                <w:color w:val="auto"/>
                <w:w w:val="97"/>
              </w:rPr>
              <w:t>13. Notice. Notices and communications under this</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gridSpan w:val="17"/>
            <w:vMerge w:val="restart"/>
          </w:tcPr>
          <w:p>
            <w:pPr>
              <w:ind w:left="60"/>
              <w:spacing w:after="0" w:line="171" w:lineRule="exact"/>
              <w:rPr>
                <w:sz w:val="20"/>
                <w:szCs w:val="20"/>
                <w:color w:val="auto"/>
              </w:rPr>
            </w:pPr>
            <w:r>
              <w:rPr>
                <w:rFonts w:ascii="Arial" w:cs="Arial" w:eastAsia="Arial" w:hAnsi="Arial"/>
                <w:sz w:val="15"/>
                <w:szCs w:val="15"/>
                <w:color w:val="auto"/>
              </w:rPr>
              <w:t>Agreement shall interfere with or limit in any way</w:t>
            </w:r>
          </w:p>
        </w:tc>
        <w:tc>
          <w:tcPr>
            <w:tcW w:w="40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0" w:type="dxa"/>
            <w:vAlign w:val="bottom"/>
            <w:gridSpan w:val="2"/>
            <w:vMerge w:val="restart"/>
          </w:tcPr>
          <w:p>
            <w:pPr>
              <w:spacing w:after="0"/>
              <w:rPr>
                <w:sz w:val="20"/>
                <w:szCs w:val="20"/>
                <w:color w:val="auto"/>
              </w:rPr>
            </w:pPr>
            <w:r>
              <w:rPr>
                <w:rFonts w:ascii="Arial" w:cs="Arial" w:eastAsia="Arial" w:hAnsi="Arial"/>
                <w:sz w:val="15"/>
                <w:szCs w:val="15"/>
                <w:color w:val="auto"/>
              </w:rPr>
              <w:t>(c)</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19"/>
            <w:vMerge w:val="restart"/>
          </w:tcPr>
          <w:p>
            <w:pPr>
              <w:jc w:val="right"/>
              <w:ind w:right="100"/>
              <w:spacing w:after="0"/>
              <w:rPr>
                <w:sz w:val="20"/>
                <w:szCs w:val="20"/>
                <w:color w:val="auto"/>
              </w:rPr>
            </w:pPr>
            <w:r>
              <w:rPr>
                <w:rFonts w:ascii="Arial" w:cs="Arial" w:eastAsia="Arial" w:hAnsi="Arial"/>
                <w:sz w:val="15"/>
                <w:szCs w:val="15"/>
                <w:color w:val="auto"/>
                <w:w w:val="99"/>
              </w:rPr>
              <w:t>as to the number of Units equal to the Target</w:t>
            </w:r>
          </w:p>
        </w:tc>
        <w:tc>
          <w:tcPr>
            <w:tcW w:w="3440" w:type="dxa"/>
            <w:vAlign w:val="bottom"/>
            <w:gridSpan w:val="17"/>
            <w:vMerge w:val="continue"/>
          </w:tcPr>
          <w:p>
            <w:pPr>
              <w:spacing w:after="0"/>
              <w:rPr>
                <w:sz w:val="13"/>
                <w:szCs w:val="13"/>
                <w:color w:val="auto"/>
              </w:rPr>
            </w:pPr>
          </w:p>
        </w:tc>
        <w:tc>
          <w:tcPr>
            <w:tcW w:w="3380" w:type="dxa"/>
            <w:vAlign w:val="bottom"/>
            <w:gridSpan w:val="14"/>
          </w:tcPr>
          <w:p>
            <w:pPr>
              <w:ind w:left="80"/>
              <w:spacing w:after="0" w:line="151" w:lineRule="exact"/>
              <w:rPr>
                <w:sz w:val="20"/>
                <w:szCs w:val="20"/>
                <w:color w:val="auto"/>
              </w:rPr>
            </w:pPr>
            <w:r>
              <w:rPr>
                <w:rFonts w:ascii="Arial" w:cs="Arial" w:eastAsia="Arial" w:hAnsi="Arial"/>
                <w:sz w:val="15"/>
                <w:szCs w:val="15"/>
                <w:color w:val="auto"/>
                <w:w w:val="97"/>
              </w:rPr>
              <w:t>Agreement must be in writing and either personally</w:t>
            </w:r>
          </w:p>
        </w:tc>
        <w:tc>
          <w:tcPr>
            <w:tcW w:w="0" w:type="dxa"/>
            <w:vAlign w:val="bottom"/>
          </w:tcPr>
          <w:p>
            <w:pPr>
              <w:spacing w:after="0"/>
              <w:rPr>
                <w:sz w:val="1"/>
                <w:szCs w:val="1"/>
                <w:color w:val="auto"/>
              </w:rPr>
            </w:pPr>
          </w:p>
        </w:tc>
      </w:tr>
      <w:tr>
        <w:trPr>
          <w:trHeight w:val="128"/>
        </w:trPr>
        <w:tc>
          <w:tcPr>
            <w:tcW w:w="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80" w:type="dxa"/>
            <w:vAlign w:val="bottom"/>
            <w:gridSpan w:val="19"/>
            <w:vMerge w:val="continue"/>
          </w:tcPr>
          <w:p>
            <w:pPr>
              <w:spacing w:after="0"/>
              <w:rPr>
                <w:sz w:val="11"/>
                <w:szCs w:val="11"/>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5"/>
                <w:szCs w:val="15"/>
                <w:color w:val="auto"/>
              </w:rPr>
              <w:t>the right of</w:t>
            </w:r>
          </w:p>
        </w:tc>
        <w:tc>
          <w:tcPr>
            <w:tcW w:w="980" w:type="dxa"/>
            <w:vAlign w:val="bottom"/>
            <w:gridSpan w:val="7"/>
            <w:vMerge w:val="restart"/>
          </w:tcPr>
          <w:p>
            <w:pPr>
              <w:ind w:left="40"/>
              <w:spacing w:after="0"/>
              <w:rPr>
                <w:sz w:val="20"/>
                <w:szCs w:val="20"/>
                <w:color w:val="auto"/>
              </w:rPr>
            </w:pPr>
            <w:r>
              <w:rPr>
                <w:rFonts w:ascii="Arial" w:cs="Arial" w:eastAsia="Arial" w:hAnsi="Arial"/>
                <w:sz w:val="15"/>
                <w:szCs w:val="15"/>
                <w:color w:val="auto"/>
              </w:rPr>
              <w:t>the Company</w:t>
            </w:r>
          </w:p>
        </w:tc>
        <w:tc>
          <w:tcPr>
            <w:tcW w:w="160" w:type="dxa"/>
            <w:vAlign w:val="bottom"/>
            <w:vMerge w:val="restart"/>
          </w:tcPr>
          <w:p>
            <w:pPr>
              <w:ind w:left="20"/>
              <w:spacing w:after="0"/>
              <w:rPr>
                <w:sz w:val="20"/>
                <w:szCs w:val="20"/>
                <w:color w:val="auto"/>
              </w:rPr>
            </w:pPr>
            <w:r>
              <w:rPr>
                <w:rFonts w:ascii="Arial" w:cs="Arial" w:eastAsia="Arial" w:hAnsi="Arial"/>
                <w:sz w:val="15"/>
                <w:szCs w:val="15"/>
                <w:color w:val="auto"/>
                <w:w w:val="95"/>
              </w:rPr>
              <w:t>to</w:t>
            </w:r>
          </w:p>
        </w:tc>
        <w:tc>
          <w:tcPr>
            <w:tcW w:w="720" w:type="dxa"/>
            <w:vAlign w:val="bottom"/>
            <w:gridSpan w:val="3"/>
            <w:vMerge w:val="restart"/>
          </w:tcPr>
          <w:p>
            <w:pPr>
              <w:jc w:val="center"/>
              <w:spacing w:after="0"/>
              <w:rPr>
                <w:sz w:val="20"/>
                <w:szCs w:val="20"/>
                <w:color w:val="auto"/>
              </w:rPr>
            </w:pPr>
            <w:r>
              <w:rPr>
                <w:rFonts w:ascii="Arial" w:cs="Arial" w:eastAsia="Arial" w:hAnsi="Arial"/>
                <w:sz w:val="15"/>
                <w:szCs w:val="15"/>
                <w:color w:val="auto"/>
                <w:w w:val="92"/>
              </w:rPr>
              <w:t>terminate</w:t>
            </w:r>
          </w:p>
        </w:tc>
        <w:tc>
          <w:tcPr>
            <w:tcW w:w="680" w:type="dxa"/>
            <w:vAlign w:val="bottom"/>
            <w:gridSpan w:val="3"/>
            <w:vMerge w:val="restart"/>
          </w:tcPr>
          <w:p>
            <w:pPr>
              <w:jc w:val="right"/>
              <w:ind w:right="3"/>
              <w:spacing w:after="0"/>
              <w:rPr>
                <w:sz w:val="20"/>
                <w:szCs w:val="20"/>
                <w:color w:val="auto"/>
              </w:rPr>
            </w:pPr>
            <w:r>
              <w:rPr>
                <w:rFonts w:ascii="Arial" w:cs="Arial" w:eastAsia="Arial" w:hAnsi="Arial"/>
                <w:sz w:val="15"/>
                <w:szCs w:val="15"/>
                <w:color w:val="auto"/>
                <w:w w:val="89"/>
              </w:rPr>
              <w:t>Grantee’s</w:t>
            </w:r>
          </w:p>
        </w:tc>
        <w:tc>
          <w:tcPr>
            <w:tcW w:w="1260" w:type="dxa"/>
            <w:vAlign w:val="bottom"/>
            <w:gridSpan w:val="8"/>
            <w:vMerge w:val="restart"/>
          </w:tcPr>
          <w:p>
            <w:pPr>
              <w:ind w:left="80"/>
              <w:spacing w:after="0"/>
              <w:rPr>
                <w:sz w:val="20"/>
                <w:szCs w:val="20"/>
                <w:color w:val="auto"/>
              </w:rPr>
            </w:pPr>
            <w:r>
              <w:rPr>
                <w:rFonts w:ascii="Arial" w:cs="Arial" w:eastAsia="Arial" w:hAnsi="Arial"/>
                <w:sz w:val="15"/>
                <w:szCs w:val="15"/>
                <w:color w:val="auto"/>
              </w:rPr>
              <w:t>delivered or sent</w:t>
            </w:r>
          </w:p>
        </w:tc>
        <w:tc>
          <w:tcPr>
            <w:tcW w:w="1060" w:type="dxa"/>
            <w:vAlign w:val="bottom"/>
            <w:gridSpan w:val="4"/>
            <w:vMerge w:val="restart"/>
          </w:tcPr>
          <w:p>
            <w:pPr>
              <w:spacing w:after="0"/>
              <w:rPr>
                <w:sz w:val="20"/>
                <w:szCs w:val="20"/>
                <w:color w:val="auto"/>
              </w:rPr>
            </w:pPr>
            <w:r>
              <w:rPr>
                <w:rFonts w:ascii="Arial" w:cs="Arial" w:eastAsia="Arial" w:hAnsi="Arial"/>
                <w:sz w:val="15"/>
                <w:szCs w:val="15"/>
                <w:color w:val="auto"/>
                <w:w w:val="99"/>
              </w:rPr>
              <w:t>by registered or</w:t>
            </w:r>
          </w:p>
        </w:tc>
        <w:tc>
          <w:tcPr>
            <w:tcW w:w="580" w:type="dxa"/>
            <w:vAlign w:val="bottom"/>
            <w:vMerge w:val="restart"/>
          </w:tcPr>
          <w:p>
            <w:pPr>
              <w:ind w:left="60"/>
              <w:spacing w:after="0"/>
              <w:rPr>
                <w:sz w:val="20"/>
                <w:szCs w:val="20"/>
                <w:color w:val="auto"/>
              </w:rPr>
            </w:pPr>
            <w:r>
              <w:rPr>
                <w:rFonts w:ascii="Arial" w:cs="Arial" w:eastAsia="Arial" w:hAnsi="Arial"/>
                <w:sz w:val="15"/>
                <w:szCs w:val="15"/>
                <w:color w:val="auto"/>
                <w:w w:val="95"/>
              </w:rPr>
              <w:t>certified</w:t>
            </w: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United</w:t>
            </w:r>
          </w:p>
        </w:tc>
        <w:tc>
          <w:tcPr>
            <w:tcW w:w="0" w:type="dxa"/>
            <w:vAlign w:val="bottom"/>
          </w:tcPr>
          <w:p>
            <w:pPr>
              <w:spacing w:after="0"/>
              <w:rPr>
                <w:sz w:val="1"/>
                <w:szCs w:val="1"/>
                <w:color w:val="auto"/>
              </w:rPr>
            </w:pPr>
          </w:p>
        </w:tc>
      </w:tr>
      <w:tr>
        <w:trPr>
          <w:trHeight w:val="51"/>
        </w:trPr>
        <w:tc>
          <w:tcPr>
            <w:tcW w:w="880" w:type="dxa"/>
            <w:vAlign w:val="bottom"/>
            <w:gridSpan w:val="7"/>
            <w:vMerge w:val="restart"/>
          </w:tcPr>
          <w:p>
            <w:pPr>
              <w:spacing w:after="0"/>
              <w:rPr>
                <w:sz w:val="20"/>
                <w:szCs w:val="20"/>
                <w:color w:val="auto"/>
              </w:rPr>
            </w:pPr>
            <w:r>
              <w:rPr>
                <w:rFonts w:ascii="Arial" w:cs="Arial" w:eastAsia="Arial" w:hAnsi="Arial"/>
                <w:sz w:val="15"/>
                <w:szCs w:val="15"/>
                <w:color w:val="auto"/>
              </w:rPr>
              <w:t>Award, if the</w:t>
            </w:r>
          </w:p>
        </w:tc>
        <w:tc>
          <w:tcPr>
            <w:tcW w:w="1320" w:type="dxa"/>
            <w:vAlign w:val="bottom"/>
            <w:gridSpan w:val="8"/>
            <w:vMerge w:val="restart"/>
          </w:tcPr>
          <w:p>
            <w:pPr>
              <w:jc w:val="right"/>
              <w:spacing w:after="0"/>
              <w:rPr>
                <w:sz w:val="20"/>
                <w:szCs w:val="20"/>
                <w:color w:val="auto"/>
              </w:rPr>
            </w:pPr>
            <w:r>
              <w:rPr>
                <w:rFonts w:ascii="Arial" w:cs="Arial" w:eastAsia="Arial" w:hAnsi="Arial"/>
                <w:sz w:val="15"/>
                <w:szCs w:val="15"/>
                <w:color w:val="auto"/>
                <w:w w:val="99"/>
              </w:rPr>
              <w:t>Units are assumed</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by</w:t>
            </w:r>
          </w:p>
        </w:tc>
        <w:tc>
          <w:tcPr>
            <w:tcW w:w="960" w:type="dxa"/>
            <w:vAlign w:val="bottom"/>
            <w:gridSpan w:val="6"/>
            <w:vMerge w:val="restart"/>
          </w:tcPr>
          <w:p>
            <w:pPr>
              <w:jc w:val="right"/>
              <w:ind w:right="80"/>
              <w:spacing w:after="0"/>
              <w:rPr>
                <w:sz w:val="20"/>
                <w:szCs w:val="20"/>
                <w:color w:val="auto"/>
              </w:rPr>
            </w:pPr>
            <w:r>
              <w:rPr>
                <w:rFonts w:ascii="Arial" w:cs="Arial" w:eastAsia="Arial" w:hAnsi="Arial"/>
                <w:sz w:val="15"/>
                <w:szCs w:val="15"/>
                <w:color w:val="auto"/>
              </w:rPr>
              <w:t>the surviving</w:t>
            </w:r>
          </w:p>
        </w:tc>
        <w:tc>
          <w:tcPr>
            <w:tcW w:w="900" w:type="dxa"/>
            <w:vAlign w:val="bottom"/>
            <w:gridSpan w:val="3"/>
            <w:vMerge w:val="continue"/>
          </w:tcPr>
          <w:p>
            <w:pPr>
              <w:spacing w:after="0"/>
              <w:rPr>
                <w:sz w:val="4"/>
                <w:szCs w:val="4"/>
                <w:color w:val="auto"/>
              </w:rPr>
            </w:pPr>
          </w:p>
        </w:tc>
        <w:tc>
          <w:tcPr>
            <w:tcW w:w="980" w:type="dxa"/>
            <w:vAlign w:val="bottom"/>
            <w:gridSpan w:val="7"/>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1260" w:type="dxa"/>
            <w:vAlign w:val="bottom"/>
            <w:gridSpan w:val="8"/>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880" w:type="dxa"/>
            <w:vAlign w:val="bottom"/>
            <w:gridSpan w:val="7"/>
            <w:vMerge w:val="continue"/>
          </w:tcPr>
          <w:p>
            <w:pPr>
              <w:spacing w:after="0"/>
              <w:rPr>
                <w:sz w:val="11"/>
                <w:szCs w:val="11"/>
                <w:color w:val="auto"/>
              </w:rPr>
            </w:pPr>
          </w:p>
        </w:tc>
        <w:tc>
          <w:tcPr>
            <w:tcW w:w="1320" w:type="dxa"/>
            <w:vAlign w:val="bottom"/>
            <w:gridSpan w:val="8"/>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960" w:type="dxa"/>
            <w:vAlign w:val="bottom"/>
            <w:gridSpan w:val="6"/>
            <w:vMerge w:val="continue"/>
          </w:tcPr>
          <w:p>
            <w:pPr>
              <w:spacing w:after="0"/>
              <w:rPr>
                <w:sz w:val="11"/>
                <w:szCs w:val="11"/>
                <w:color w:val="auto"/>
              </w:rPr>
            </w:pPr>
          </w:p>
        </w:tc>
        <w:tc>
          <w:tcPr>
            <w:tcW w:w="3440" w:type="dxa"/>
            <w:vAlign w:val="bottom"/>
            <w:gridSpan w:val="17"/>
            <w:vMerge w:val="restart"/>
          </w:tcPr>
          <w:p>
            <w:pPr>
              <w:ind w:left="60"/>
              <w:spacing w:after="0"/>
              <w:rPr>
                <w:sz w:val="20"/>
                <w:szCs w:val="20"/>
                <w:color w:val="auto"/>
              </w:rPr>
            </w:pPr>
            <w:r>
              <w:rPr>
                <w:rFonts w:ascii="Arial" w:cs="Arial" w:eastAsia="Arial" w:hAnsi="Arial"/>
                <w:sz w:val="15"/>
                <w:szCs w:val="15"/>
                <w:color w:val="auto"/>
              </w:rPr>
              <w:t>employment at any time, nor confer upon Grantee</w:t>
            </w: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w w:val="90"/>
              </w:rPr>
              <w:t>States mail, return receipt requested, postage prepaid.</w:t>
            </w:r>
          </w:p>
        </w:tc>
        <w:tc>
          <w:tcPr>
            <w:tcW w:w="0" w:type="dxa"/>
            <w:vAlign w:val="bottom"/>
          </w:tcPr>
          <w:p>
            <w:pPr>
              <w:spacing w:after="0"/>
              <w:rPr>
                <w:sz w:val="1"/>
                <w:szCs w:val="1"/>
                <w:color w:val="auto"/>
              </w:rPr>
            </w:pPr>
          </w:p>
        </w:tc>
      </w:tr>
      <w:tr>
        <w:trPr>
          <w:trHeight w:val="51"/>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w w:val="95"/>
              </w:rPr>
              <w:t>entity or otherwise equitably converted or substituted</w:t>
            </w:r>
          </w:p>
        </w:tc>
        <w:tc>
          <w:tcPr>
            <w:tcW w:w="3440" w:type="dxa"/>
            <w:vAlign w:val="bottom"/>
            <w:gridSpan w:val="17"/>
            <w:vMerge w:val="continue"/>
          </w:tcPr>
          <w:p>
            <w:pPr>
              <w:spacing w:after="0"/>
              <w:rPr>
                <w:sz w:val="4"/>
                <w:szCs w:val="4"/>
                <w:color w:val="auto"/>
              </w:rPr>
            </w:pPr>
          </w:p>
        </w:tc>
        <w:tc>
          <w:tcPr>
            <w:tcW w:w="3380" w:type="dxa"/>
            <w:vAlign w:val="bottom"/>
            <w:gridSpan w:val="1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380" w:type="dxa"/>
            <w:vAlign w:val="bottom"/>
            <w:gridSpan w:val="23"/>
            <w:vMerge w:val="continue"/>
          </w:tcPr>
          <w:p>
            <w:pPr>
              <w:spacing w:after="0"/>
              <w:rPr>
                <w:sz w:val="15"/>
                <w:szCs w:val="15"/>
                <w:color w:val="auto"/>
              </w:rPr>
            </w:pPr>
          </w:p>
        </w:tc>
        <w:tc>
          <w:tcPr>
            <w:tcW w:w="3440" w:type="dxa"/>
            <w:vAlign w:val="bottom"/>
            <w:gridSpan w:val="17"/>
          </w:tcPr>
          <w:p>
            <w:pPr>
              <w:ind w:left="60"/>
              <w:spacing w:after="0"/>
              <w:rPr>
                <w:sz w:val="20"/>
                <w:szCs w:val="20"/>
                <w:color w:val="auto"/>
              </w:rPr>
            </w:pPr>
            <w:r>
              <w:rPr>
                <w:rFonts w:ascii="Arial" w:cs="Arial" w:eastAsia="Arial" w:hAnsi="Arial"/>
                <w:sz w:val="15"/>
                <w:szCs w:val="15"/>
                <w:color w:val="auto"/>
                <w:w w:val="98"/>
              </w:rPr>
              <w:t>any right to continue in the employ of the Company.</w:t>
            </w:r>
          </w:p>
        </w:tc>
        <w:tc>
          <w:tcPr>
            <w:tcW w:w="3380" w:type="dxa"/>
            <w:vAlign w:val="bottom"/>
            <w:gridSpan w:val="14"/>
          </w:tcPr>
          <w:p>
            <w:pPr>
              <w:ind w:left="80"/>
              <w:spacing w:after="0"/>
              <w:rPr>
                <w:sz w:val="20"/>
                <w:szCs w:val="20"/>
                <w:color w:val="auto"/>
              </w:rPr>
            </w:pPr>
            <w:r>
              <w:rPr>
                <w:rFonts w:ascii="Arial" w:cs="Arial" w:eastAsia="Arial" w:hAnsi="Arial"/>
                <w:sz w:val="15"/>
                <w:szCs w:val="15"/>
                <w:color w:val="auto"/>
                <w:w w:val="98"/>
              </w:rPr>
              <w:t>Notices to the Company must be addressed to Citi</w:t>
            </w:r>
          </w:p>
        </w:tc>
        <w:tc>
          <w:tcPr>
            <w:tcW w:w="0" w:type="dxa"/>
            <w:vAlign w:val="bottom"/>
          </w:tcPr>
          <w:p>
            <w:pPr>
              <w:spacing w:after="0"/>
              <w:rPr>
                <w:sz w:val="1"/>
                <w:szCs w:val="1"/>
                <w:color w:val="auto"/>
              </w:rPr>
            </w:pPr>
          </w:p>
        </w:tc>
      </w:tr>
      <w:tr>
        <w:trPr>
          <w:trHeight w:val="132"/>
        </w:trPr>
        <w:tc>
          <w:tcPr>
            <w:tcW w:w="200" w:type="dxa"/>
            <w:vAlign w:val="bottom"/>
            <w:gridSpan w:val="2"/>
          </w:tcPr>
          <w:p>
            <w:pPr>
              <w:spacing w:after="0" w:line="133" w:lineRule="exact"/>
              <w:rPr>
                <w:sz w:val="20"/>
                <w:szCs w:val="20"/>
                <w:color w:val="auto"/>
              </w:rPr>
            </w:pPr>
            <w:r>
              <w:rPr>
                <w:rFonts w:ascii="Arial" w:cs="Arial" w:eastAsia="Arial" w:hAnsi="Arial"/>
                <w:sz w:val="15"/>
                <w:szCs w:val="15"/>
                <w:color w:val="auto"/>
              </w:rPr>
              <w:t>in</w:t>
            </w:r>
          </w:p>
        </w:tc>
        <w:tc>
          <w:tcPr>
            <w:tcW w:w="680" w:type="dxa"/>
            <w:vAlign w:val="bottom"/>
            <w:gridSpan w:val="5"/>
          </w:tcPr>
          <w:p>
            <w:pPr>
              <w:ind w:left="20"/>
              <w:spacing w:after="0" w:line="133" w:lineRule="exact"/>
              <w:rPr>
                <w:sz w:val="20"/>
                <w:szCs w:val="20"/>
                <w:color w:val="auto"/>
              </w:rPr>
            </w:pPr>
            <w:r>
              <w:rPr>
                <w:rFonts w:ascii="Arial" w:cs="Arial" w:eastAsia="Arial" w:hAnsi="Arial"/>
                <w:sz w:val="15"/>
                <w:szCs w:val="15"/>
                <w:color w:val="auto"/>
                <w:w w:val="88"/>
              </w:rPr>
              <w:t>connection</w:t>
            </w:r>
          </w:p>
        </w:tc>
        <w:tc>
          <w:tcPr>
            <w:tcW w:w="600" w:type="dxa"/>
            <w:vAlign w:val="bottom"/>
            <w:gridSpan w:val="4"/>
          </w:tcPr>
          <w:p>
            <w:pPr>
              <w:jc w:val="right"/>
              <w:ind w:right="80"/>
              <w:spacing w:after="0" w:line="133" w:lineRule="exact"/>
              <w:rPr>
                <w:sz w:val="20"/>
                <w:szCs w:val="20"/>
                <w:color w:val="auto"/>
              </w:rPr>
            </w:pPr>
            <w:r>
              <w:rPr>
                <w:rFonts w:ascii="Arial" w:cs="Arial" w:eastAsia="Arial" w:hAnsi="Arial"/>
                <w:sz w:val="15"/>
                <w:szCs w:val="15"/>
                <w:color w:val="auto"/>
              </w:rPr>
              <w:t>with a</w:t>
            </w:r>
          </w:p>
        </w:tc>
        <w:tc>
          <w:tcPr>
            <w:tcW w:w="580" w:type="dxa"/>
            <w:vAlign w:val="bottom"/>
            <w:gridSpan w:val="3"/>
          </w:tcPr>
          <w:p>
            <w:pPr>
              <w:ind w:left="20"/>
              <w:spacing w:after="0" w:line="133" w:lineRule="exact"/>
              <w:rPr>
                <w:sz w:val="20"/>
                <w:szCs w:val="20"/>
                <w:color w:val="auto"/>
              </w:rPr>
            </w:pPr>
            <w:r>
              <w:rPr>
                <w:rFonts w:ascii="Arial" w:cs="Arial" w:eastAsia="Arial" w:hAnsi="Arial"/>
                <w:sz w:val="15"/>
                <w:szCs w:val="15"/>
                <w:color w:val="auto"/>
              </w:rPr>
              <w:t>Change</w:t>
            </w:r>
          </w:p>
        </w:tc>
        <w:tc>
          <w:tcPr>
            <w:tcW w:w="140" w:type="dxa"/>
            <w:vAlign w:val="bottom"/>
          </w:tcPr>
          <w:p>
            <w:pPr>
              <w:spacing w:after="0" w:line="133" w:lineRule="exact"/>
              <w:rPr>
                <w:sz w:val="20"/>
                <w:szCs w:val="20"/>
                <w:color w:val="auto"/>
              </w:rPr>
            </w:pPr>
            <w:r>
              <w:rPr>
                <w:rFonts w:ascii="Arial" w:cs="Arial" w:eastAsia="Arial" w:hAnsi="Arial"/>
                <w:sz w:val="15"/>
                <w:szCs w:val="15"/>
                <w:color w:val="auto"/>
              </w:rPr>
              <w:t>in</w:t>
            </w:r>
          </w:p>
        </w:tc>
        <w:tc>
          <w:tcPr>
            <w:tcW w:w="640" w:type="dxa"/>
            <w:vAlign w:val="bottom"/>
            <w:gridSpan w:val="5"/>
          </w:tcPr>
          <w:p>
            <w:pPr>
              <w:ind w:left="60"/>
              <w:spacing w:after="0" w:line="133" w:lineRule="exact"/>
              <w:rPr>
                <w:sz w:val="20"/>
                <w:szCs w:val="20"/>
                <w:color w:val="auto"/>
              </w:rPr>
            </w:pPr>
            <w:r>
              <w:rPr>
                <w:rFonts w:ascii="Arial" w:cs="Arial" w:eastAsia="Arial" w:hAnsi="Arial"/>
                <w:sz w:val="15"/>
                <w:szCs w:val="15"/>
                <w:color w:val="auto"/>
              </w:rPr>
              <w:t>Control,</w:t>
            </w:r>
          </w:p>
        </w:tc>
        <w:tc>
          <w:tcPr>
            <w:tcW w:w="180" w:type="dxa"/>
            <w:vAlign w:val="bottom"/>
          </w:tcPr>
          <w:p>
            <w:pPr>
              <w:jc w:val="right"/>
              <w:spacing w:after="0" w:line="133" w:lineRule="exact"/>
              <w:rPr>
                <w:sz w:val="20"/>
                <w:szCs w:val="20"/>
                <w:color w:val="auto"/>
              </w:rPr>
            </w:pPr>
            <w:r>
              <w:rPr>
                <w:rFonts w:ascii="Arial" w:cs="Arial" w:eastAsia="Arial" w:hAnsi="Arial"/>
                <w:sz w:val="15"/>
                <w:szCs w:val="15"/>
                <w:color w:val="auto"/>
                <w:w w:val="95"/>
              </w:rPr>
              <w:t>on</w:t>
            </w:r>
          </w:p>
        </w:tc>
        <w:tc>
          <w:tcPr>
            <w:tcW w:w="360" w:type="dxa"/>
            <w:vAlign w:val="bottom"/>
            <w:gridSpan w:val="2"/>
          </w:tcPr>
          <w:p>
            <w:pPr>
              <w:jc w:val="right"/>
              <w:ind w:right="80"/>
              <w:spacing w:after="0" w:line="133" w:lineRule="exact"/>
              <w:rPr>
                <w:sz w:val="20"/>
                <w:szCs w:val="20"/>
                <w:color w:val="auto"/>
              </w:rPr>
            </w:pPr>
            <w:r>
              <w:rPr>
                <w:rFonts w:ascii="Arial" w:cs="Arial" w:eastAsia="Arial" w:hAnsi="Arial"/>
                <w:sz w:val="15"/>
                <w:szCs w:val="15"/>
                <w:color w:val="auto"/>
              </w:rPr>
              <w:t>the</w:t>
            </w:r>
          </w:p>
        </w:tc>
        <w:tc>
          <w:tcPr>
            <w:tcW w:w="300" w:type="dxa"/>
            <w:vAlign w:val="bottom"/>
            <w:vMerge w:val="restart"/>
          </w:tcPr>
          <w:p>
            <w:pPr>
              <w:ind w:left="60"/>
              <w:spacing w:after="0"/>
              <w:rPr>
                <w:sz w:val="20"/>
                <w:szCs w:val="20"/>
                <w:color w:val="auto"/>
              </w:rPr>
            </w:pPr>
            <w:r>
              <w:rPr>
                <w:rFonts w:ascii="Arial" w:cs="Arial" w:eastAsia="Arial" w:hAnsi="Arial"/>
                <w:sz w:val="15"/>
                <w:szCs w:val="15"/>
                <w:color w:val="auto"/>
              </w:rPr>
              <w:t>8.</w:t>
            </w:r>
          </w:p>
        </w:tc>
        <w:tc>
          <w:tcPr>
            <w:tcW w:w="1080" w:type="dxa"/>
            <w:vAlign w:val="bottom"/>
            <w:gridSpan w:val="5"/>
            <w:vMerge w:val="restart"/>
          </w:tcPr>
          <w:p>
            <w:pPr>
              <w:jc w:val="center"/>
              <w:spacing w:after="0"/>
              <w:rPr>
                <w:sz w:val="20"/>
                <w:szCs w:val="20"/>
                <w:color w:val="auto"/>
              </w:rPr>
            </w:pPr>
            <w:r>
              <w:rPr>
                <w:rFonts w:ascii="Arial" w:cs="Arial" w:eastAsia="Arial" w:hAnsi="Arial"/>
                <w:sz w:val="15"/>
                <w:szCs w:val="15"/>
                <w:color w:val="auto"/>
                <w:w w:val="89"/>
              </w:rPr>
              <w:t>Payment of Taxes</w:t>
            </w:r>
          </w:p>
        </w:tc>
        <w:tc>
          <w:tcPr>
            <w:tcW w:w="2060" w:type="dxa"/>
            <w:vAlign w:val="bottom"/>
            <w:gridSpan w:val="11"/>
            <w:vMerge w:val="restart"/>
          </w:tcPr>
          <w:p>
            <w:pPr>
              <w:jc w:val="right"/>
              <w:ind w:right="3"/>
              <w:spacing w:after="0"/>
              <w:rPr>
                <w:sz w:val="20"/>
                <w:szCs w:val="20"/>
                <w:color w:val="auto"/>
              </w:rPr>
            </w:pPr>
            <w:r>
              <w:rPr>
                <w:rFonts w:ascii="Arial" w:cs="Arial" w:eastAsia="Arial" w:hAnsi="Arial"/>
                <w:sz w:val="15"/>
                <w:szCs w:val="15"/>
                <w:color w:val="auto"/>
                <w:w w:val="95"/>
              </w:rPr>
              <w:t>. Grantee will, no later than the</w:t>
            </w:r>
          </w:p>
        </w:tc>
        <w:tc>
          <w:tcPr>
            <w:tcW w:w="1260" w:type="dxa"/>
            <w:vAlign w:val="bottom"/>
            <w:gridSpan w:val="8"/>
            <w:vMerge w:val="restart"/>
          </w:tcPr>
          <w:p>
            <w:pPr>
              <w:ind w:left="80"/>
              <w:spacing w:after="0"/>
              <w:rPr>
                <w:sz w:val="20"/>
                <w:szCs w:val="20"/>
                <w:color w:val="auto"/>
              </w:rPr>
            </w:pPr>
            <w:r>
              <w:rPr>
                <w:rFonts w:ascii="Arial" w:cs="Arial" w:eastAsia="Arial" w:hAnsi="Arial"/>
                <w:sz w:val="15"/>
                <w:szCs w:val="15"/>
                <w:color w:val="auto"/>
                <w:w w:val="95"/>
              </w:rPr>
              <w:t>Trends,  Inc.,  104</w:t>
            </w:r>
          </w:p>
        </w:tc>
        <w:tc>
          <w:tcPr>
            <w:tcW w:w="700" w:type="dxa"/>
            <w:vAlign w:val="bottom"/>
            <w:gridSpan w:val="2"/>
            <w:vMerge w:val="restart"/>
          </w:tcPr>
          <w:p>
            <w:pPr>
              <w:jc w:val="right"/>
              <w:spacing w:after="0"/>
              <w:rPr>
                <w:sz w:val="20"/>
                <w:szCs w:val="20"/>
                <w:color w:val="auto"/>
              </w:rPr>
            </w:pPr>
            <w:r>
              <w:rPr>
                <w:rFonts w:ascii="Arial" w:cs="Arial" w:eastAsia="Arial" w:hAnsi="Arial"/>
                <w:sz w:val="15"/>
                <w:szCs w:val="15"/>
                <w:color w:val="auto"/>
              </w:rPr>
              <w:t>Coleman</w:t>
            </w:r>
          </w:p>
        </w:tc>
        <w:tc>
          <w:tcPr>
            <w:tcW w:w="1420" w:type="dxa"/>
            <w:vAlign w:val="bottom"/>
            <w:gridSpan w:val="4"/>
            <w:vMerge w:val="restart"/>
          </w:tcPr>
          <w:p>
            <w:pPr>
              <w:jc w:val="right"/>
              <w:spacing w:after="0"/>
              <w:rPr>
                <w:sz w:val="20"/>
                <w:szCs w:val="20"/>
                <w:color w:val="auto"/>
              </w:rPr>
            </w:pPr>
            <w:r>
              <w:rPr>
                <w:rFonts w:ascii="Arial" w:cs="Arial" w:eastAsia="Arial" w:hAnsi="Arial"/>
                <w:sz w:val="15"/>
                <w:szCs w:val="15"/>
                <w:color w:val="auto"/>
                <w:w w:val="97"/>
              </w:rPr>
              <w:t>Blvd.  Savannah,  GA</w:t>
            </w:r>
          </w:p>
        </w:tc>
        <w:tc>
          <w:tcPr>
            <w:tcW w:w="0" w:type="dxa"/>
            <w:vAlign w:val="bottom"/>
          </w:tcPr>
          <w:p>
            <w:pPr>
              <w:spacing w:after="0"/>
              <w:rPr>
                <w:sz w:val="1"/>
                <w:szCs w:val="1"/>
                <w:color w:val="auto"/>
              </w:rPr>
            </w:pPr>
          </w:p>
        </w:tc>
      </w:tr>
      <w:tr>
        <w:trPr>
          <w:trHeight w:val="77"/>
        </w:trPr>
        <w:tc>
          <w:tcPr>
            <w:tcW w:w="3380" w:type="dxa"/>
            <w:vAlign w:val="bottom"/>
            <w:gridSpan w:val="23"/>
            <w:vMerge w:val="restart"/>
          </w:tcPr>
          <w:p>
            <w:pPr>
              <w:spacing w:after="0" w:line="129" w:lineRule="exact"/>
              <w:rPr>
                <w:sz w:val="20"/>
                <w:szCs w:val="20"/>
                <w:color w:val="auto"/>
              </w:rPr>
            </w:pPr>
            <w:r>
              <w:rPr>
                <w:rFonts w:ascii="Arial" w:cs="Arial" w:eastAsia="Arial" w:hAnsi="Arial"/>
                <w:sz w:val="14"/>
                <w:szCs w:val="14"/>
                <w:color w:val="auto"/>
              </w:rPr>
              <w:t>termination  of  Grantee’s  employment  by  the</w:t>
            </w:r>
          </w:p>
        </w:tc>
        <w:tc>
          <w:tcPr>
            <w:tcW w:w="300" w:type="dxa"/>
            <w:vAlign w:val="bottom"/>
            <w:vMerge w:val="continue"/>
          </w:tcPr>
          <w:p>
            <w:pPr>
              <w:spacing w:after="0"/>
              <w:rPr>
                <w:sz w:val="6"/>
                <w:szCs w:val="6"/>
                <w:color w:val="auto"/>
              </w:rPr>
            </w:pPr>
          </w:p>
        </w:tc>
        <w:tc>
          <w:tcPr>
            <w:tcW w:w="1080" w:type="dxa"/>
            <w:vAlign w:val="bottom"/>
            <w:gridSpan w:val="5"/>
            <w:vMerge w:val="continue"/>
          </w:tcPr>
          <w:p>
            <w:pPr>
              <w:spacing w:after="0"/>
              <w:rPr>
                <w:sz w:val="6"/>
                <w:szCs w:val="6"/>
                <w:color w:val="auto"/>
              </w:rPr>
            </w:pPr>
          </w:p>
        </w:tc>
        <w:tc>
          <w:tcPr>
            <w:tcW w:w="2060" w:type="dxa"/>
            <w:vAlign w:val="bottom"/>
            <w:gridSpan w:val="11"/>
            <w:vMerge w:val="continue"/>
          </w:tcPr>
          <w:p>
            <w:pPr>
              <w:spacing w:after="0"/>
              <w:rPr>
                <w:sz w:val="6"/>
                <w:szCs w:val="6"/>
                <w:color w:val="auto"/>
              </w:rPr>
            </w:pPr>
          </w:p>
        </w:tc>
        <w:tc>
          <w:tcPr>
            <w:tcW w:w="1260" w:type="dxa"/>
            <w:vAlign w:val="bottom"/>
            <w:gridSpan w:val="8"/>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3380" w:type="dxa"/>
            <w:vAlign w:val="bottom"/>
            <w:gridSpan w:val="23"/>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080" w:type="dxa"/>
            <w:vAlign w:val="bottom"/>
            <w:tcBorders>
              <w:bottom w:val="single" w:sz="8" w:color="auto"/>
            </w:tcBorders>
            <w:gridSpan w:val="5"/>
            <w:vMerge w:val="continue"/>
          </w:tcPr>
          <w:p>
            <w:pPr>
              <w:spacing w:after="0"/>
              <w:rPr>
                <w:sz w:val="5"/>
                <w:szCs w:val="5"/>
                <w:color w:val="auto"/>
              </w:rPr>
            </w:pPr>
          </w:p>
        </w:tc>
        <w:tc>
          <w:tcPr>
            <w:tcW w:w="2060" w:type="dxa"/>
            <w:vAlign w:val="bottom"/>
            <w:gridSpan w:val="11"/>
            <w:vMerge w:val="continue"/>
          </w:tcPr>
          <w:p>
            <w:pPr>
              <w:spacing w:after="0"/>
              <w:rPr>
                <w:sz w:val="5"/>
                <w:szCs w:val="5"/>
                <w:color w:val="auto"/>
              </w:rPr>
            </w:pP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rPr>
              <w:t>31408,  Attn:  Secretary,  or  any  other  address</w:t>
            </w:r>
          </w:p>
        </w:tc>
        <w:tc>
          <w:tcPr>
            <w:tcW w:w="0" w:type="dxa"/>
            <w:vAlign w:val="bottom"/>
          </w:tcPr>
          <w:p>
            <w:pPr>
              <w:spacing w:after="0"/>
              <w:rPr>
                <w:sz w:val="1"/>
                <w:szCs w:val="1"/>
                <w:color w:val="auto"/>
              </w:rPr>
            </w:pPr>
          </w:p>
        </w:tc>
      </w:tr>
      <w:tr>
        <w:trPr>
          <w:trHeight w:val="172"/>
        </w:trPr>
        <w:tc>
          <w:tcPr>
            <w:tcW w:w="3380" w:type="dxa"/>
            <w:vAlign w:val="bottom"/>
            <w:gridSpan w:val="23"/>
          </w:tcPr>
          <w:p>
            <w:pPr>
              <w:spacing w:after="0"/>
              <w:rPr>
                <w:sz w:val="20"/>
                <w:szCs w:val="20"/>
                <w:color w:val="auto"/>
              </w:rPr>
            </w:pPr>
            <w:r>
              <w:rPr>
                <w:rFonts w:ascii="Arial" w:cs="Arial" w:eastAsia="Arial" w:hAnsi="Arial"/>
                <w:sz w:val="15"/>
                <w:szCs w:val="15"/>
                <w:color w:val="auto"/>
                <w:w w:val="94"/>
              </w:rPr>
              <w:t>Company without Cause (or Grantee’s resignation for</w:t>
            </w:r>
          </w:p>
        </w:tc>
        <w:tc>
          <w:tcPr>
            <w:tcW w:w="3440" w:type="dxa"/>
            <w:vAlign w:val="bottom"/>
            <w:gridSpan w:val="17"/>
          </w:tcPr>
          <w:p>
            <w:pPr>
              <w:ind w:left="60"/>
              <w:spacing w:after="0"/>
              <w:rPr>
                <w:sz w:val="20"/>
                <w:szCs w:val="20"/>
                <w:color w:val="auto"/>
              </w:rPr>
            </w:pPr>
            <w:r>
              <w:rPr>
                <w:rFonts w:ascii="Arial" w:cs="Arial" w:eastAsia="Arial" w:hAnsi="Arial"/>
                <w:sz w:val="15"/>
                <w:szCs w:val="15"/>
                <w:color w:val="auto"/>
                <w:w w:val="97"/>
              </w:rPr>
              <w:t>date as of which the Units first become includable in</w:t>
            </w:r>
          </w:p>
        </w:tc>
        <w:tc>
          <w:tcPr>
            <w:tcW w:w="338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80" w:type="dxa"/>
            <w:vAlign w:val="bottom"/>
            <w:gridSpan w:val="5"/>
          </w:tcPr>
          <w:p>
            <w:pPr>
              <w:spacing w:after="0"/>
              <w:rPr>
                <w:sz w:val="20"/>
                <w:szCs w:val="20"/>
                <w:color w:val="auto"/>
              </w:rPr>
            </w:pPr>
            <w:r>
              <w:rPr>
                <w:rFonts w:ascii="Arial" w:cs="Arial" w:eastAsia="Arial" w:hAnsi="Arial"/>
                <w:sz w:val="15"/>
                <w:szCs w:val="15"/>
                <w:color w:val="auto"/>
                <w:w w:val="97"/>
              </w:rPr>
              <w:t>Good</w:t>
            </w:r>
          </w:p>
        </w:tc>
        <w:tc>
          <w:tcPr>
            <w:tcW w:w="1460" w:type="dxa"/>
            <w:vAlign w:val="bottom"/>
            <w:gridSpan w:val="8"/>
          </w:tcPr>
          <w:p>
            <w:pPr>
              <w:jc w:val="right"/>
              <w:spacing w:after="0"/>
              <w:rPr>
                <w:sz w:val="20"/>
                <w:szCs w:val="20"/>
                <w:color w:val="auto"/>
              </w:rPr>
            </w:pPr>
            <w:r>
              <w:rPr>
                <w:rFonts w:ascii="Arial" w:cs="Arial" w:eastAsia="Arial" w:hAnsi="Arial"/>
                <w:sz w:val="15"/>
                <w:szCs w:val="15"/>
                <w:color w:val="auto"/>
                <w:w w:val="98"/>
              </w:rPr>
              <w:t>Reason  as  provided</w:t>
            </w:r>
          </w:p>
        </w:tc>
        <w:tc>
          <w:tcPr>
            <w:tcW w:w="220" w:type="dxa"/>
            <w:vAlign w:val="bottom"/>
          </w:tcPr>
          <w:p>
            <w:pPr>
              <w:ind w:left="80"/>
              <w:spacing w:after="0"/>
              <w:rPr>
                <w:sz w:val="20"/>
                <w:szCs w:val="20"/>
                <w:color w:val="auto"/>
              </w:rPr>
            </w:pPr>
            <w:r>
              <w:rPr>
                <w:rFonts w:ascii="Arial" w:cs="Arial" w:eastAsia="Arial" w:hAnsi="Arial"/>
                <w:sz w:val="15"/>
                <w:szCs w:val="15"/>
                <w:color w:val="auto"/>
              </w:rPr>
              <w:t>in</w:t>
            </w:r>
          </w:p>
        </w:tc>
        <w:tc>
          <w:tcPr>
            <w:tcW w:w="360" w:type="dxa"/>
            <w:vAlign w:val="bottom"/>
            <w:gridSpan w:val="3"/>
          </w:tcPr>
          <w:p>
            <w:pPr>
              <w:jc w:val="right"/>
              <w:ind w:right="60"/>
              <w:spacing w:after="0"/>
              <w:rPr>
                <w:sz w:val="20"/>
                <w:szCs w:val="20"/>
                <w:color w:val="auto"/>
              </w:rPr>
            </w:pPr>
            <w:r>
              <w:rPr>
                <w:rFonts w:ascii="Arial" w:cs="Arial" w:eastAsia="Arial" w:hAnsi="Arial"/>
                <w:sz w:val="15"/>
                <w:szCs w:val="15"/>
                <w:color w:val="auto"/>
              </w:rPr>
              <w:t>any</w:t>
            </w:r>
          </w:p>
        </w:tc>
        <w:tc>
          <w:tcPr>
            <w:tcW w:w="960" w:type="dxa"/>
            <w:vAlign w:val="bottom"/>
            <w:gridSpan w:val="6"/>
          </w:tcPr>
          <w:p>
            <w:pPr>
              <w:jc w:val="right"/>
              <w:ind w:right="100"/>
              <w:spacing w:after="0"/>
              <w:rPr>
                <w:sz w:val="20"/>
                <w:szCs w:val="20"/>
                <w:color w:val="auto"/>
              </w:rPr>
            </w:pPr>
            <w:r>
              <w:rPr>
                <w:rFonts w:ascii="Arial" w:cs="Arial" w:eastAsia="Arial" w:hAnsi="Arial"/>
                <w:sz w:val="15"/>
                <w:szCs w:val="15"/>
                <w:color w:val="auto"/>
                <w:w w:val="97"/>
              </w:rPr>
              <w:t>employment,</w:t>
            </w:r>
          </w:p>
        </w:tc>
        <w:tc>
          <w:tcPr>
            <w:tcW w:w="740" w:type="dxa"/>
            <w:vAlign w:val="bottom"/>
            <w:gridSpan w:val="2"/>
          </w:tcPr>
          <w:p>
            <w:pPr>
              <w:ind w:left="60"/>
              <w:spacing w:after="0"/>
              <w:rPr>
                <w:sz w:val="20"/>
                <w:szCs w:val="20"/>
                <w:color w:val="auto"/>
              </w:rPr>
            </w:pPr>
            <w:r>
              <w:rPr>
                <w:rFonts w:ascii="Arial" w:cs="Arial" w:eastAsia="Arial" w:hAnsi="Arial"/>
                <w:sz w:val="15"/>
                <w:szCs w:val="15"/>
                <w:color w:val="auto"/>
              </w:rPr>
              <w:t>Grantee’s</w:t>
            </w:r>
          </w:p>
        </w:tc>
        <w:tc>
          <w:tcPr>
            <w:tcW w:w="360" w:type="dxa"/>
            <w:vAlign w:val="bottom"/>
            <w:gridSpan w:val="2"/>
          </w:tcPr>
          <w:p>
            <w:pPr>
              <w:ind w:left="40"/>
              <w:spacing w:after="0"/>
              <w:rPr>
                <w:sz w:val="20"/>
                <w:szCs w:val="20"/>
                <w:color w:val="auto"/>
              </w:rPr>
            </w:pPr>
            <w:r>
              <w:rPr>
                <w:rFonts w:ascii="Arial" w:cs="Arial" w:eastAsia="Arial" w:hAnsi="Arial"/>
                <w:sz w:val="15"/>
                <w:szCs w:val="15"/>
                <w:color w:val="auto"/>
                <w:w w:val="81"/>
              </w:rPr>
              <w:t>gross</w:t>
            </w:r>
          </w:p>
        </w:tc>
        <w:tc>
          <w:tcPr>
            <w:tcW w:w="560" w:type="dxa"/>
            <w:vAlign w:val="bottom"/>
            <w:gridSpan w:val="4"/>
          </w:tcPr>
          <w:p>
            <w:pPr>
              <w:jc w:val="center"/>
              <w:ind w:left="43"/>
              <w:spacing w:after="0"/>
              <w:rPr>
                <w:sz w:val="20"/>
                <w:szCs w:val="20"/>
                <w:color w:val="auto"/>
              </w:rPr>
            </w:pPr>
            <w:r>
              <w:rPr>
                <w:rFonts w:ascii="Arial" w:cs="Arial" w:eastAsia="Arial" w:hAnsi="Arial"/>
                <w:sz w:val="15"/>
                <w:szCs w:val="15"/>
                <w:color w:val="auto"/>
                <w:w w:val="90"/>
              </w:rPr>
              <w:t>income</w:t>
            </w:r>
          </w:p>
        </w:tc>
        <w:tc>
          <w:tcPr>
            <w:tcW w:w="380" w:type="dxa"/>
            <w:vAlign w:val="bottom"/>
            <w:gridSpan w:val="3"/>
          </w:tcPr>
          <w:p>
            <w:pPr>
              <w:ind w:left="120"/>
              <w:spacing w:after="0"/>
              <w:rPr>
                <w:sz w:val="20"/>
                <w:szCs w:val="20"/>
                <w:color w:val="auto"/>
              </w:rPr>
            </w:pPr>
            <w:r>
              <w:rPr>
                <w:rFonts w:ascii="Arial" w:cs="Arial" w:eastAsia="Arial" w:hAnsi="Arial"/>
                <w:sz w:val="15"/>
                <w:szCs w:val="15"/>
                <w:color w:val="auto"/>
              </w:rPr>
              <w:t>for</w:t>
            </w:r>
          </w:p>
        </w:tc>
        <w:tc>
          <w:tcPr>
            <w:tcW w:w="540" w:type="dxa"/>
            <w:vAlign w:val="bottom"/>
            <w:gridSpan w:val="2"/>
          </w:tcPr>
          <w:p>
            <w:pPr>
              <w:ind w:left="40"/>
              <w:spacing w:after="0"/>
              <w:rPr>
                <w:sz w:val="20"/>
                <w:szCs w:val="20"/>
                <w:color w:val="auto"/>
              </w:rPr>
            </w:pPr>
            <w:r>
              <w:rPr>
                <w:rFonts w:ascii="Arial" w:cs="Arial" w:eastAsia="Arial" w:hAnsi="Arial"/>
                <w:sz w:val="15"/>
                <w:szCs w:val="15"/>
                <w:color w:val="auto"/>
              </w:rPr>
              <w:t>federal</w:t>
            </w:r>
          </w:p>
        </w:tc>
        <w:tc>
          <w:tcPr>
            <w:tcW w:w="560" w:type="dxa"/>
            <w:vAlign w:val="bottom"/>
            <w:gridSpan w:val="3"/>
          </w:tcPr>
          <w:p>
            <w:pPr>
              <w:jc w:val="right"/>
              <w:ind w:right="3"/>
              <w:spacing w:after="0"/>
              <w:rPr>
                <w:sz w:val="20"/>
                <w:szCs w:val="20"/>
                <w:color w:val="auto"/>
              </w:rPr>
            </w:pPr>
            <w:r>
              <w:rPr>
                <w:rFonts w:ascii="Arial" w:cs="Arial" w:eastAsia="Arial" w:hAnsi="Arial"/>
                <w:sz w:val="15"/>
                <w:szCs w:val="15"/>
                <w:color w:val="auto"/>
                <w:w w:val="95"/>
              </w:rPr>
              <w:t>income</w:t>
            </w:r>
          </w:p>
        </w:tc>
        <w:tc>
          <w:tcPr>
            <w:tcW w:w="300" w:type="dxa"/>
            <w:vAlign w:val="bottom"/>
          </w:tcPr>
          <w:p>
            <w:pPr>
              <w:jc w:val="right"/>
              <w:ind w:right="3"/>
              <w:spacing w:after="0"/>
              <w:rPr>
                <w:sz w:val="20"/>
                <w:szCs w:val="20"/>
                <w:color w:val="auto"/>
              </w:rPr>
            </w:pPr>
            <w:r>
              <w:rPr>
                <w:rFonts w:ascii="Arial" w:cs="Arial" w:eastAsia="Arial" w:hAnsi="Arial"/>
                <w:sz w:val="15"/>
                <w:szCs w:val="15"/>
                <w:color w:val="auto"/>
                <w:w w:val="99"/>
              </w:rPr>
              <w:t>tax</w:t>
            </w:r>
          </w:p>
        </w:tc>
        <w:tc>
          <w:tcPr>
            <w:tcW w:w="3380" w:type="dxa"/>
            <w:vAlign w:val="bottom"/>
            <w:gridSpan w:val="14"/>
          </w:tcPr>
          <w:p>
            <w:pPr>
              <w:ind w:left="80"/>
              <w:spacing w:after="0"/>
              <w:rPr>
                <w:sz w:val="20"/>
                <w:szCs w:val="20"/>
                <w:color w:val="auto"/>
              </w:rPr>
            </w:pPr>
            <w:r>
              <w:rPr>
                <w:rFonts w:ascii="Arial" w:cs="Arial" w:eastAsia="Arial" w:hAnsi="Arial"/>
                <w:sz w:val="15"/>
                <w:szCs w:val="15"/>
                <w:color w:val="auto"/>
              </w:rPr>
              <w:t>designated by the Company in a written notice to</w:t>
            </w:r>
          </w:p>
        </w:tc>
        <w:tc>
          <w:tcPr>
            <w:tcW w:w="0" w:type="dxa"/>
            <w:vAlign w:val="bottom"/>
          </w:tcPr>
          <w:p>
            <w:pPr>
              <w:spacing w:after="0"/>
              <w:rPr>
                <w:sz w:val="1"/>
                <w:szCs w:val="1"/>
                <w:color w:val="auto"/>
              </w:rPr>
            </w:pPr>
          </w:p>
        </w:tc>
      </w:tr>
      <w:tr>
        <w:trPr>
          <w:trHeight w:val="107"/>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w w:val="93"/>
              </w:rPr>
              <w:t>severance or similar agreement between Grantee and</w:t>
            </w:r>
          </w:p>
        </w:tc>
        <w:tc>
          <w:tcPr>
            <w:tcW w:w="740" w:type="dxa"/>
            <w:vAlign w:val="bottom"/>
            <w:gridSpan w:val="2"/>
            <w:vMerge w:val="restart"/>
          </w:tcPr>
          <w:p>
            <w:pPr>
              <w:ind w:left="60"/>
              <w:spacing w:after="0"/>
              <w:rPr>
                <w:sz w:val="20"/>
                <w:szCs w:val="20"/>
                <w:color w:val="auto"/>
              </w:rPr>
            </w:pPr>
            <w:r>
              <w:rPr>
                <w:rFonts w:ascii="Arial" w:cs="Arial" w:eastAsia="Arial" w:hAnsi="Arial"/>
                <w:sz w:val="15"/>
                <w:szCs w:val="15"/>
                <w:color w:val="auto"/>
              </w:rPr>
              <w:t>purposes,</w:t>
            </w:r>
          </w:p>
        </w:tc>
        <w:tc>
          <w:tcPr>
            <w:tcW w:w="360" w:type="dxa"/>
            <w:vAlign w:val="bottom"/>
            <w:gridSpan w:val="2"/>
            <w:vMerge w:val="restart"/>
          </w:tcPr>
          <w:p>
            <w:pPr>
              <w:ind w:left="20"/>
              <w:spacing w:after="0"/>
              <w:rPr>
                <w:sz w:val="20"/>
                <w:szCs w:val="20"/>
                <w:color w:val="auto"/>
              </w:rPr>
            </w:pPr>
            <w:r>
              <w:rPr>
                <w:rFonts w:ascii="Arial" w:cs="Arial" w:eastAsia="Arial" w:hAnsi="Arial"/>
                <w:sz w:val="15"/>
                <w:szCs w:val="15"/>
                <w:color w:val="auto"/>
              </w:rPr>
              <w:t>pay</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79"/>
              </w:rPr>
              <w:t>to</w:t>
            </w:r>
          </w:p>
        </w:tc>
        <w:tc>
          <w:tcPr>
            <w:tcW w:w="260" w:type="dxa"/>
            <w:vAlign w:val="bottom"/>
            <w:gridSpan w:val="2"/>
            <w:vMerge w:val="restart"/>
          </w:tcPr>
          <w:p>
            <w:pPr>
              <w:ind w:left="40"/>
              <w:spacing w:after="0"/>
              <w:rPr>
                <w:sz w:val="20"/>
                <w:szCs w:val="20"/>
                <w:color w:val="auto"/>
              </w:rPr>
            </w:pPr>
            <w:r>
              <w:rPr>
                <w:rFonts w:ascii="Arial" w:cs="Arial" w:eastAsia="Arial" w:hAnsi="Arial"/>
                <w:sz w:val="15"/>
                <w:szCs w:val="15"/>
                <w:color w:val="auto"/>
                <w:w w:val="95"/>
              </w:rPr>
              <w:t>the</w:t>
            </w:r>
          </w:p>
        </w:tc>
        <w:tc>
          <w:tcPr>
            <w:tcW w:w="1040" w:type="dxa"/>
            <w:vAlign w:val="bottom"/>
            <w:gridSpan w:val="6"/>
            <w:vMerge w:val="restart"/>
          </w:tcPr>
          <w:p>
            <w:pPr>
              <w:jc w:val="center"/>
              <w:spacing w:after="0"/>
              <w:rPr>
                <w:sz w:val="20"/>
                <w:szCs w:val="20"/>
                <w:color w:val="auto"/>
              </w:rPr>
            </w:pPr>
            <w:r>
              <w:rPr>
                <w:rFonts w:ascii="Arial" w:cs="Arial" w:eastAsia="Arial" w:hAnsi="Arial"/>
                <w:sz w:val="15"/>
                <w:szCs w:val="15"/>
                <w:color w:val="auto"/>
                <w:w w:val="95"/>
              </w:rPr>
              <w:t>Company,  or</w:t>
            </w:r>
          </w:p>
        </w:tc>
        <w:tc>
          <w:tcPr>
            <w:tcW w:w="440" w:type="dxa"/>
            <w:vAlign w:val="bottom"/>
            <w:gridSpan w:val="2"/>
            <w:vMerge w:val="restart"/>
          </w:tcPr>
          <w:p>
            <w:pPr>
              <w:jc w:val="right"/>
              <w:ind w:right="3"/>
              <w:spacing w:after="0"/>
              <w:rPr>
                <w:sz w:val="20"/>
                <w:szCs w:val="20"/>
                <w:color w:val="auto"/>
              </w:rPr>
            </w:pPr>
            <w:r>
              <w:rPr>
                <w:rFonts w:ascii="Arial" w:cs="Arial" w:eastAsia="Arial" w:hAnsi="Arial"/>
                <w:sz w:val="15"/>
                <w:szCs w:val="15"/>
                <w:color w:val="auto"/>
                <w:w w:val="92"/>
              </w:rPr>
              <w:t>make</w:t>
            </w:r>
          </w:p>
        </w:tc>
        <w:tc>
          <w:tcPr>
            <w:tcW w:w="420" w:type="dxa"/>
            <w:vAlign w:val="bottom"/>
            <w:gridSpan w:val="2"/>
            <w:vMerge w:val="restart"/>
          </w:tcPr>
          <w:p>
            <w:pPr>
              <w:jc w:val="right"/>
              <w:ind w:right="3"/>
              <w:spacing w:after="0"/>
              <w:rPr>
                <w:sz w:val="20"/>
                <w:szCs w:val="20"/>
                <w:color w:val="auto"/>
              </w:rPr>
            </w:pPr>
            <w:r>
              <w:rPr>
                <w:rFonts w:ascii="Arial" w:cs="Arial" w:eastAsia="Arial" w:hAnsi="Arial"/>
                <w:sz w:val="15"/>
                <w:szCs w:val="15"/>
                <w:color w:val="auto"/>
                <w:w w:val="93"/>
              </w:rPr>
              <w:t>other</w:t>
            </w:r>
          </w:p>
        </w:tc>
        <w:tc>
          <w:tcPr>
            <w:tcW w:w="3380" w:type="dxa"/>
            <w:vAlign w:val="bottom"/>
            <w:gridSpan w:val="14"/>
          </w:tcPr>
          <w:p>
            <w:pPr>
              <w:ind w:left="80"/>
              <w:spacing w:after="0" w:line="107" w:lineRule="exact"/>
              <w:rPr>
                <w:sz w:val="20"/>
                <w:szCs w:val="20"/>
                <w:color w:val="auto"/>
              </w:rPr>
            </w:pPr>
            <w:r>
              <w:rPr>
                <w:rFonts w:ascii="Arial" w:cs="Arial" w:eastAsia="Arial" w:hAnsi="Arial"/>
                <w:sz w:val="12"/>
                <w:szCs w:val="12"/>
                <w:color w:val="auto"/>
              </w:rPr>
              <w:t>Grantee. Notices to Grantee will be directed to the</w:t>
            </w:r>
          </w:p>
        </w:tc>
        <w:tc>
          <w:tcPr>
            <w:tcW w:w="0" w:type="dxa"/>
            <w:vAlign w:val="bottom"/>
          </w:tcPr>
          <w:p>
            <w:pPr>
              <w:spacing w:after="0"/>
              <w:rPr>
                <w:sz w:val="1"/>
                <w:szCs w:val="1"/>
                <w:color w:val="auto"/>
              </w:rPr>
            </w:pPr>
          </w:p>
        </w:tc>
      </w:tr>
      <w:tr>
        <w:trPr>
          <w:trHeight w:val="77"/>
        </w:trPr>
        <w:tc>
          <w:tcPr>
            <w:tcW w:w="3380" w:type="dxa"/>
            <w:vAlign w:val="bottom"/>
            <w:gridSpan w:val="23"/>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1040" w:type="dxa"/>
            <w:vAlign w:val="bottom"/>
            <w:gridSpan w:val="6"/>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320" w:type="dxa"/>
            <w:vAlign w:val="bottom"/>
            <w:gridSpan w:val="12"/>
            <w:vMerge w:val="restart"/>
          </w:tcPr>
          <w:p>
            <w:pPr>
              <w:ind w:left="80"/>
              <w:spacing w:after="0"/>
              <w:rPr>
                <w:sz w:val="20"/>
                <w:szCs w:val="20"/>
                <w:color w:val="auto"/>
              </w:rPr>
            </w:pPr>
            <w:r>
              <w:rPr>
                <w:rFonts w:ascii="Arial" w:cs="Arial" w:eastAsia="Arial" w:hAnsi="Arial"/>
                <w:sz w:val="15"/>
                <w:szCs w:val="15"/>
                <w:color w:val="auto"/>
                <w:w w:val="99"/>
              </w:rPr>
              <w:t>address of Grantee then currently</w:t>
            </w:r>
          </w:p>
        </w:tc>
        <w:tc>
          <w:tcPr>
            <w:tcW w:w="1060" w:type="dxa"/>
            <w:vAlign w:val="bottom"/>
            <w:gridSpan w:val="2"/>
            <w:vMerge w:val="restart"/>
          </w:tcPr>
          <w:p>
            <w:pPr>
              <w:jc w:val="right"/>
              <w:spacing w:after="0"/>
              <w:rPr>
                <w:sz w:val="20"/>
                <w:szCs w:val="20"/>
                <w:color w:val="auto"/>
              </w:rPr>
            </w:pPr>
            <w:r>
              <w:rPr>
                <w:rFonts w:ascii="Arial" w:cs="Arial" w:eastAsia="Arial" w:hAnsi="Arial"/>
                <w:sz w:val="15"/>
                <w:szCs w:val="15"/>
                <w:color w:val="auto"/>
              </w:rPr>
              <w:t>on file with the</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spacing w:after="0"/>
              <w:rPr>
                <w:sz w:val="20"/>
                <w:szCs w:val="20"/>
                <w:color w:val="auto"/>
              </w:rPr>
            </w:pPr>
            <w:r>
              <w:rPr>
                <w:rFonts w:ascii="Arial" w:cs="Arial" w:eastAsia="Arial" w:hAnsi="Arial"/>
                <w:sz w:val="15"/>
                <w:szCs w:val="15"/>
                <w:color w:val="auto"/>
                <w:w w:val="86"/>
              </w:rPr>
              <w:t>the</w:t>
            </w:r>
          </w:p>
        </w:tc>
        <w:tc>
          <w:tcPr>
            <w:tcW w:w="20" w:type="dxa"/>
            <w:vAlign w:val="bottom"/>
          </w:tcPr>
          <w:p>
            <w:pPr>
              <w:spacing w:after="0"/>
              <w:rPr>
                <w:sz w:val="8"/>
                <w:szCs w:val="8"/>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5"/>
                <w:szCs w:val="15"/>
                <w:color w:val="auto"/>
                <w:w w:val="90"/>
              </w:rPr>
              <w:t>Company</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or</w:t>
            </w:r>
          </w:p>
        </w:tc>
        <w:tc>
          <w:tcPr>
            <w:tcW w:w="80" w:type="dxa"/>
            <w:vAlign w:val="bottom"/>
          </w:tcPr>
          <w:p>
            <w:pPr>
              <w:spacing w:after="0"/>
              <w:rPr>
                <w:sz w:val="8"/>
                <w:szCs w:val="8"/>
                <w:color w:val="auto"/>
              </w:rPr>
            </w:pPr>
          </w:p>
        </w:tc>
        <w:tc>
          <w:tcPr>
            <w:tcW w:w="900" w:type="dxa"/>
            <w:vAlign w:val="bottom"/>
            <w:gridSpan w:val="5"/>
            <w:vMerge w:val="restart"/>
          </w:tcPr>
          <w:p>
            <w:pPr>
              <w:ind w:left="20"/>
              <w:spacing w:after="0"/>
              <w:rPr>
                <w:sz w:val="20"/>
                <w:szCs w:val="20"/>
                <w:color w:val="auto"/>
              </w:rPr>
            </w:pPr>
            <w:r>
              <w:rPr>
                <w:rFonts w:ascii="Arial" w:cs="Arial" w:eastAsia="Arial" w:hAnsi="Arial"/>
                <w:sz w:val="15"/>
                <w:szCs w:val="15"/>
                <w:color w:val="auto"/>
              </w:rPr>
              <w:t>an Affiliate)</w:t>
            </w:r>
          </w:p>
        </w:tc>
        <w:tc>
          <w:tcPr>
            <w:tcW w:w="480" w:type="dxa"/>
            <w:vAlign w:val="bottom"/>
            <w:gridSpan w:val="4"/>
            <w:vMerge w:val="restart"/>
          </w:tcPr>
          <w:p>
            <w:pPr>
              <w:spacing w:after="0"/>
              <w:rPr>
                <w:sz w:val="20"/>
                <w:szCs w:val="20"/>
                <w:color w:val="auto"/>
              </w:rPr>
            </w:pPr>
            <w:r>
              <w:rPr>
                <w:rFonts w:ascii="Arial" w:cs="Arial" w:eastAsia="Arial" w:hAnsi="Arial"/>
                <w:sz w:val="15"/>
                <w:szCs w:val="15"/>
                <w:color w:val="auto"/>
              </w:rPr>
              <w:t>within</w:t>
            </w:r>
          </w:p>
        </w:tc>
        <w:tc>
          <w:tcPr>
            <w:tcW w:w="480" w:type="dxa"/>
            <w:vAlign w:val="bottom"/>
            <w:gridSpan w:val="3"/>
            <w:vMerge w:val="restart"/>
          </w:tcPr>
          <w:p>
            <w:pPr>
              <w:jc w:val="right"/>
              <w:ind w:right="3"/>
              <w:spacing w:after="0"/>
              <w:rPr>
                <w:sz w:val="20"/>
                <w:szCs w:val="20"/>
                <w:color w:val="auto"/>
              </w:rPr>
            </w:pPr>
            <w:r>
              <w:rPr>
                <w:rFonts w:ascii="Arial" w:cs="Arial" w:eastAsia="Arial" w:hAnsi="Arial"/>
                <w:sz w:val="15"/>
                <w:szCs w:val="15"/>
                <w:color w:val="auto"/>
                <w:w w:val="89"/>
              </w:rPr>
              <w:t>twelve</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w w:val="97"/>
              </w:rPr>
              <w:t>(12)</w:t>
            </w:r>
          </w:p>
        </w:tc>
        <w:tc>
          <w:tcPr>
            <w:tcW w:w="900" w:type="dxa"/>
            <w:vAlign w:val="bottom"/>
            <w:gridSpan w:val="3"/>
            <w:vMerge w:val="restart"/>
          </w:tcPr>
          <w:p>
            <w:pPr>
              <w:ind w:left="60"/>
              <w:spacing w:after="0"/>
              <w:rPr>
                <w:sz w:val="20"/>
                <w:szCs w:val="20"/>
                <w:color w:val="auto"/>
              </w:rPr>
            </w:pPr>
            <w:r>
              <w:rPr>
                <w:rFonts w:ascii="Arial" w:cs="Arial" w:eastAsia="Arial" w:hAnsi="Arial"/>
                <w:sz w:val="15"/>
                <w:szCs w:val="15"/>
                <w:color w:val="auto"/>
                <w:w w:val="88"/>
              </w:rPr>
              <w:t>arrangements</w:t>
            </w:r>
          </w:p>
        </w:tc>
        <w:tc>
          <w:tcPr>
            <w:tcW w:w="980" w:type="dxa"/>
            <w:vAlign w:val="bottom"/>
            <w:gridSpan w:val="7"/>
            <w:vMerge w:val="restart"/>
          </w:tcPr>
          <w:p>
            <w:pPr>
              <w:jc w:val="center"/>
              <w:ind w:left="23"/>
              <w:spacing w:after="0"/>
              <w:rPr>
                <w:sz w:val="20"/>
                <w:szCs w:val="20"/>
                <w:color w:val="auto"/>
              </w:rPr>
            </w:pPr>
            <w:r>
              <w:rPr>
                <w:rFonts w:ascii="Arial" w:cs="Arial" w:eastAsia="Arial" w:hAnsi="Arial"/>
                <w:sz w:val="15"/>
                <w:szCs w:val="15"/>
                <w:color w:val="auto"/>
                <w:w w:val="94"/>
              </w:rPr>
              <w:t>satisfactory</w:t>
            </w:r>
          </w:p>
        </w:tc>
        <w:tc>
          <w:tcPr>
            <w:tcW w:w="300" w:type="dxa"/>
            <w:vAlign w:val="bottom"/>
            <w:gridSpan w:val="2"/>
            <w:vMerge w:val="restart"/>
          </w:tcPr>
          <w:p>
            <w:pPr>
              <w:jc w:val="center"/>
              <w:spacing w:after="0"/>
              <w:rPr>
                <w:sz w:val="20"/>
                <w:szCs w:val="20"/>
                <w:color w:val="auto"/>
              </w:rPr>
            </w:pPr>
            <w:r>
              <w:rPr>
                <w:rFonts w:ascii="Arial" w:cs="Arial" w:eastAsia="Arial" w:hAnsi="Arial"/>
                <w:sz w:val="15"/>
                <w:szCs w:val="15"/>
                <w:color w:val="auto"/>
                <w:w w:val="95"/>
              </w:rPr>
              <w:t>to</w:t>
            </w:r>
          </w:p>
        </w:tc>
        <w:tc>
          <w:tcPr>
            <w:tcW w:w="400" w:type="dxa"/>
            <w:vAlign w:val="bottom"/>
            <w:vMerge w:val="restart"/>
          </w:tcPr>
          <w:p>
            <w:pPr>
              <w:jc w:val="center"/>
              <w:spacing w:after="0"/>
              <w:rPr>
                <w:sz w:val="20"/>
                <w:szCs w:val="20"/>
                <w:color w:val="auto"/>
              </w:rPr>
            </w:pPr>
            <w:r>
              <w:rPr>
                <w:rFonts w:ascii="Arial" w:cs="Arial" w:eastAsia="Arial" w:hAnsi="Arial"/>
                <w:sz w:val="15"/>
                <w:szCs w:val="15"/>
                <w:color w:val="auto"/>
                <w:w w:val="86"/>
              </w:rPr>
              <w:t>the</w:t>
            </w:r>
          </w:p>
        </w:tc>
        <w:tc>
          <w:tcPr>
            <w:tcW w:w="860" w:type="dxa"/>
            <w:vAlign w:val="bottom"/>
            <w:gridSpan w:val="4"/>
            <w:vMerge w:val="restart"/>
          </w:tcPr>
          <w:p>
            <w:pPr>
              <w:jc w:val="right"/>
              <w:ind w:right="3"/>
              <w:spacing w:after="0"/>
              <w:rPr>
                <w:sz w:val="20"/>
                <w:szCs w:val="20"/>
                <w:color w:val="auto"/>
              </w:rPr>
            </w:pPr>
            <w:r>
              <w:rPr>
                <w:rFonts w:ascii="Arial" w:cs="Arial" w:eastAsia="Arial" w:hAnsi="Arial"/>
                <w:sz w:val="15"/>
                <w:szCs w:val="15"/>
                <w:color w:val="auto"/>
              </w:rPr>
              <w:t>Committee</w:t>
            </w:r>
          </w:p>
        </w:tc>
        <w:tc>
          <w:tcPr>
            <w:tcW w:w="2320" w:type="dxa"/>
            <w:vAlign w:val="bottom"/>
            <w:gridSpan w:val="1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5"/>
            <w:vMerge w:val="continue"/>
          </w:tcPr>
          <w:p>
            <w:pPr>
              <w:spacing w:after="0"/>
              <w:rPr>
                <w:sz w:val="6"/>
                <w:szCs w:val="6"/>
                <w:color w:val="auto"/>
              </w:rPr>
            </w:pPr>
          </w:p>
        </w:tc>
        <w:tc>
          <w:tcPr>
            <w:tcW w:w="480" w:type="dxa"/>
            <w:vAlign w:val="bottom"/>
            <w:gridSpan w:val="4"/>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980" w:type="dxa"/>
            <w:vAlign w:val="bottom"/>
            <w:gridSpan w:val="7"/>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w w:val="90"/>
              </w:rPr>
              <w:t>Company, or at any other address given by Grantee in</w:t>
            </w:r>
          </w:p>
        </w:tc>
        <w:tc>
          <w:tcPr>
            <w:tcW w:w="0" w:type="dxa"/>
            <w:vAlign w:val="bottom"/>
          </w:tcPr>
          <w:p>
            <w:pPr>
              <w:spacing w:after="0"/>
              <w:rPr>
                <w:sz w:val="1"/>
                <w:szCs w:val="1"/>
                <w:color w:val="auto"/>
              </w:rPr>
            </w:pPr>
          </w:p>
        </w:tc>
      </w:tr>
      <w:tr>
        <w:trPr>
          <w:trHeight w:val="102"/>
        </w:trPr>
        <w:tc>
          <w:tcPr>
            <w:tcW w:w="540" w:type="dxa"/>
            <w:vAlign w:val="bottom"/>
            <w:gridSpan w:val="6"/>
            <w:vMerge w:val="restart"/>
          </w:tcPr>
          <w:p>
            <w:pPr>
              <w:spacing w:after="0"/>
              <w:rPr>
                <w:sz w:val="20"/>
                <w:szCs w:val="20"/>
                <w:color w:val="auto"/>
              </w:rPr>
            </w:pPr>
            <w:r>
              <w:rPr>
                <w:rFonts w:ascii="Arial" w:cs="Arial" w:eastAsia="Arial" w:hAnsi="Arial"/>
                <w:sz w:val="15"/>
                <w:szCs w:val="15"/>
                <w:color w:val="auto"/>
              </w:rPr>
              <w:t>months</w:t>
            </w:r>
          </w:p>
        </w:tc>
        <w:tc>
          <w:tcPr>
            <w:tcW w:w="340" w:type="dxa"/>
            <w:vAlign w:val="bottom"/>
            <w:vMerge w:val="restart"/>
          </w:tcPr>
          <w:p>
            <w:pPr>
              <w:spacing w:after="0"/>
              <w:rPr>
                <w:sz w:val="20"/>
                <w:szCs w:val="20"/>
                <w:color w:val="auto"/>
              </w:rPr>
            </w:pPr>
            <w:r>
              <w:rPr>
                <w:rFonts w:ascii="Arial" w:cs="Arial" w:eastAsia="Arial" w:hAnsi="Arial"/>
                <w:sz w:val="15"/>
                <w:szCs w:val="15"/>
                <w:color w:val="auto"/>
              </w:rPr>
              <w:t>after</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w w:val="86"/>
              </w:rPr>
              <w:t>the</w:t>
            </w:r>
          </w:p>
        </w:tc>
        <w:tc>
          <w:tcPr>
            <w:tcW w:w="80" w:type="dxa"/>
            <w:vAlign w:val="bottom"/>
          </w:tcPr>
          <w:p>
            <w:pPr>
              <w:spacing w:after="0"/>
              <w:rPr>
                <w:sz w:val="8"/>
                <w:szCs w:val="8"/>
                <w:color w:val="auto"/>
              </w:rPr>
            </w:pPr>
          </w:p>
        </w:tc>
        <w:tc>
          <w:tcPr>
            <w:tcW w:w="900" w:type="dxa"/>
            <w:vAlign w:val="bottom"/>
            <w:gridSpan w:val="5"/>
            <w:vMerge w:val="restart"/>
          </w:tcPr>
          <w:p>
            <w:pPr>
              <w:ind w:left="20"/>
              <w:spacing w:after="0"/>
              <w:rPr>
                <w:sz w:val="20"/>
                <w:szCs w:val="20"/>
                <w:color w:val="auto"/>
              </w:rPr>
            </w:pPr>
            <w:r>
              <w:rPr>
                <w:rFonts w:ascii="Arial" w:cs="Arial" w:eastAsia="Arial" w:hAnsi="Arial"/>
                <w:sz w:val="15"/>
                <w:szCs w:val="15"/>
                <w:color w:val="auto"/>
                <w:w w:val="96"/>
              </w:rPr>
              <w:t>effective date</w:t>
            </w:r>
          </w:p>
        </w:tc>
        <w:tc>
          <w:tcPr>
            <w:tcW w:w="480" w:type="dxa"/>
            <w:vAlign w:val="bottom"/>
            <w:gridSpan w:val="4"/>
            <w:vMerge w:val="restart"/>
          </w:tcPr>
          <w:p>
            <w:pPr>
              <w:ind w:left="80"/>
              <w:spacing w:after="0"/>
              <w:rPr>
                <w:sz w:val="20"/>
                <w:szCs w:val="20"/>
                <w:color w:val="auto"/>
              </w:rPr>
            </w:pPr>
            <w:r>
              <w:rPr>
                <w:rFonts w:ascii="Arial" w:cs="Arial" w:eastAsia="Arial" w:hAnsi="Arial"/>
                <w:sz w:val="15"/>
                <w:szCs w:val="15"/>
                <w:color w:val="auto"/>
              </w:rPr>
              <w:t>of the</w:t>
            </w:r>
          </w:p>
        </w:tc>
        <w:tc>
          <w:tcPr>
            <w:tcW w:w="840" w:type="dxa"/>
            <w:vAlign w:val="bottom"/>
            <w:gridSpan w:val="5"/>
            <w:vMerge w:val="restart"/>
          </w:tcPr>
          <w:p>
            <w:pPr>
              <w:jc w:val="right"/>
              <w:ind w:right="100"/>
              <w:spacing w:after="0"/>
              <w:rPr>
                <w:sz w:val="20"/>
                <w:szCs w:val="20"/>
                <w:color w:val="auto"/>
              </w:rPr>
            </w:pPr>
            <w:r>
              <w:rPr>
                <w:rFonts w:ascii="Arial" w:cs="Arial" w:eastAsia="Arial" w:hAnsi="Arial"/>
                <w:sz w:val="15"/>
                <w:szCs w:val="15"/>
                <w:color w:val="auto"/>
              </w:rPr>
              <w:t>Change in</w:t>
            </w:r>
          </w:p>
        </w:tc>
        <w:tc>
          <w:tcPr>
            <w:tcW w:w="1280" w:type="dxa"/>
            <w:vAlign w:val="bottom"/>
            <w:gridSpan w:val="5"/>
            <w:vMerge w:val="restart"/>
          </w:tcPr>
          <w:p>
            <w:pPr>
              <w:ind w:left="60"/>
              <w:spacing w:after="0"/>
              <w:rPr>
                <w:sz w:val="20"/>
                <w:szCs w:val="20"/>
                <w:color w:val="auto"/>
              </w:rPr>
            </w:pPr>
            <w:r>
              <w:rPr>
                <w:rFonts w:ascii="Arial" w:cs="Arial" w:eastAsia="Arial" w:hAnsi="Arial"/>
                <w:sz w:val="15"/>
                <w:szCs w:val="15"/>
                <w:color w:val="auto"/>
                <w:w w:val="95"/>
              </w:rPr>
              <w:t>regarding payment</w:t>
            </w:r>
          </w:p>
        </w:tc>
        <w:tc>
          <w:tcPr>
            <w:tcW w:w="260" w:type="dxa"/>
            <w:vAlign w:val="bottom"/>
            <w:gridSpan w:val="2"/>
            <w:vMerge w:val="restart"/>
          </w:tcPr>
          <w:p>
            <w:pPr>
              <w:ind w:left="60"/>
              <w:spacing w:after="0"/>
              <w:rPr>
                <w:sz w:val="20"/>
                <w:szCs w:val="20"/>
                <w:color w:val="auto"/>
              </w:rPr>
            </w:pPr>
            <w:r>
              <w:rPr>
                <w:rFonts w:ascii="Arial" w:cs="Arial" w:eastAsia="Arial" w:hAnsi="Arial"/>
                <w:sz w:val="15"/>
                <w:szCs w:val="15"/>
                <w:color w:val="auto"/>
              </w:rPr>
              <w:t>of,</w:t>
            </w:r>
          </w:p>
        </w:tc>
        <w:tc>
          <w:tcPr>
            <w:tcW w:w="1220" w:type="dxa"/>
            <w:vAlign w:val="bottom"/>
            <w:gridSpan w:val="7"/>
            <w:vMerge w:val="restart"/>
          </w:tcPr>
          <w:p>
            <w:pPr>
              <w:ind w:left="40"/>
              <w:spacing w:after="0"/>
              <w:rPr>
                <w:sz w:val="20"/>
                <w:szCs w:val="20"/>
                <w:color w:val="auto"/>
              </w:rPr>
            </w:pPr>
            <w:r>
              <w:rPr>
                <w:rFonts w:ascii="Arial" w:cs="Arial" w:eastAsia="Arial" w:hAnsi="Arial"/>
                <w:sz w:val="15"/>
                <w:szCs w:val="15"/>
                <w:color w:val="auto"/>
              </w:rPr>
              <w:t>any federal, state</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w w:val="79"/>
              </w:rPr>
              <w:t>and</w:t>
            </w:r>
          </w:p>
        </w:tc>
        <w:tc>
          <w:tcPr>
            <w:tcW w:w="420" w:type="dxa"/>
            <w:vAlign w:val="bottom"/>
            <w:gridSpan w:val="2"/>
            <w:vMerge w:val="restart"/>
          </w:tcPr>
          <w:p>
            <w:pPr>
              <w:jc w:val="right"/>
              <w:ind w:right="3"/>
              <w:spacing w:after="0"/>
              <w:rPr>
                <w:sz w:val="20"/>
                <w:szCs w:val="20"/>
                <w:color w:val="auto"/>
              </w:rPr>
            </w:pPr>
            <w:r>
              <w:rPr>
                <w:rFonts w:ascii="Arial" w:cs="Arial" w:eastAsia="Arial" w:hAnsi="Arial"/>
                <w:sz w:val="15"/>
                <w:szCs w:val="15"/>
                <w:color w:val="auto"/>
              </w:rPr>
              <w:t>local</w:t>
            </w:r>
          </w:p>
        </w:tc>
        <w:tc>
          <w:tcPr>
            <w:tcW w:w="338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540" w:type="dxa"/>
            <w:vAlign w:val="bottom"/>
            <w:gridSpan w:val="6"/>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5"/>
            <w:vMerge w:val="continue"/>
          </w:tcPr>
          <w:p>
            <w:pPr>
              <w:spacing w:after="0"/>
              <w:rPr>
                <w:sz w:val="6"/>
                <w:szCs w:val="6"/>
                <w:color w:val="auto"/>
              </w:rPr>
            </w:pPr>
          </w:p>
        </w:tc>
        <w:tc>
          <w:tcPr>
            <w:tcW w:w="480" w:type="dxa"/>
            <w:vAlign w:val="bottom"/>
            <w:gridSpan w:val="4"/>
            <w:vMerge w:val="continue"/>
          </w:tcPr>
          <w:p>
            <w:pPr>
              <w:spacing w:after="0"/>
              <w:rPr>
                <w:sz w:val="6"/>
                <w:szCs w:val="6"/>
                <w:color w:val="auto"/>
              </w:rPr>
            </w:pPr>
          </w:p>
        </w:tc>
        <w:tc>
          <w:tcPr>
            <w:tcW w:w="840" w:type="dxa"/>
            <w:vAlign w:val="bottom"/>
            <w:gridSpan w:val="5"/>
            <w:vMerge w:val="continue"/>
          </w:tcPr>
          <w:p>
            <w:pPr>
              <w:spacing w:after="0"/>
              <w:rPr>
                <w:sz w:val="6"/>
                <w:szCs w:val="6"/>
                <w:color w:val="auto"/>
              </w:rPr>
            </w:pPr>
          </w:p>
        </w:tc>
        <w:tc>
          <w:tcPr>
            <w:tcW w:w="1280" w:type="dxa"/>
            <w:vAlign w:val="bottom"/>
            <w:gridSpan w:val="5"/>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1220" w:type="dxa"/>
            <w:vAlign w:val="bottom"/>
            <w:gridSpan w:val="7"/>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320" w:type="dxa"/>
            <w:vAlign w:val="bottom"/>
            <w:gridSpan w:val="12"/>
            <w:vMerge w:val="restart"/>
          </w:tcPr>
          <w:p>
            <w:pPr>
              <w:ind w:left="80"/>
              <w:spacing w:after="0"/>
              <w:rPr>
                <w:sz w:val="20"/>
                <w:szCs w:val="20"/>
                <w:color w:val="auto"/>
              </w:rPr>
            </w:pPr>
            <w:r>
              <w:rPr>
                <w:rFonts w:ascii="Arial" w:cs="Arial" w:eastAsia="Arial" w:hAnsi="Arial"/>
                <w:sz w:val="15"/>
                <w:szCs w:val="15"/>
                <w:color w:val="auto"/>
              </w:rPr>
              <w:t>a written notice to the Company.</w:t>
            </w: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540" w:type="dxa"/>
            <w:vAlign w:val="bottom"/>
            <w:gridSpan w:val="6"/>
            <w:vMerge w:val="restart"/>
          </w:tcPr>
          <w:p>
            <w:pPr>
              <w:spacing w:after="0"/>
              <w:rPr>
                <w:sz w:val="20"/>
                <w:szCs w:val="20"/>
                <w:color w:val="auto"/>
              </w:rPr>
            </w:pPr>
            <w:r>
              <w:rPr>
                <w:rFonts w:ascii="Arial" w:cs="Arial" w:eastAsia="Arial" w:hAnsi="Arial"/>
                <w:sz w:val="15"/>
                <w:szCs w:val="15"/>
                <w:color w:val="auto"/>
                <w:w w:val="98"/>
              </w:rPr>
              <w:t>Control.</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gridSpan w:val="17"/>
            <w:vMerge w:val="restart"/>
          </w:tcPr>
          <w:p>
            <w:pPr>
              <w:ind w:left="60"/>
              <w:spacing w:after="0"/>
              <w:rPr>
                <w:sz w:val="20"/>
                <w:szCs w:val="20"/>
                <w:color w:val="auto"/>
              </w:rPr>
            </w:pPr>
            <w:r>
              <w:rPr>
                <w:rFonts w:ascii="Arial" w:cs="Arial" w:eastAsia="Arial" w:hAnsi="Arial"/>
                <w:sz w:val="15"/>
                <w:szCs w:val="15"/>
                <w:color w:val="auto"/>
                <w:w w:val="97"/>
              </w:rPr>
              <w:t>taxes of any kind required by law to be withheld with</w:t>
            </w:r>
          </w:p>
        </w:tc>
        <w:tc>
          <w:tcPr>
            <w:tcW w:w="2320" w:type="dxa"/>
            <w:vAlign w:val="bottom"/>
            <w:gridSpan w:val="12"/>
            <w:vMerge w:val="continue"/>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540" w:type="dxa"/>
            <w:vAlign w:val="bottom"/>
            <w:gridSpan w:val="6"/>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17"/>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rPr>
              <w:t>Any Units that fail to vest in accordance with the</w:t>
            </w:r>
          </w:p>
        </w:tc>
        <w:tc>
          <w:tcPr>
            <w:tcW w:w="3440" w:type="dxa"/>
            <w:vAlign w:val="bottom"/>
            <w:gridSpan w:val="17"/>
          </w:tcPr>
          <w:p>
            <w:pPr>
              <w:ind w:left="60"/>
              <w:spacing w:after="0"/>
              <w:rPr>
                <w:sz w:val="20"/>
                <w:szCs w:val="20"/>
                <w:color w:val="auto"/>
              </w:rPr>
            </w:pPr>
            <w:r>
              <w:rPr>
                <w:rFonts w:ascii="Arial" w:cs="Arial" w:eastAsia="Arial" w:hAnsi="Arial"/>
                <w:sz w:val="15"/>
                <w:szCs w:val="15"/>
                <w:color w:val="auto"/>
                <w:w w:val="96"/>
              </w:rPr>
              <w:t>respect to such amount. To the extent not prohibited</w:t>
            </w:r>
          </w:p>
        </w:tc>
        <w:tc>
          <w:tcPr>
            <w:tcW w:w="2320" w:type="dxa"/>
            <w:vAlign w:val="bottom"/>
            <w:gridSpan w:val="12"/>
          </w:tcPr>
          <w:p>
            <w:pPr>
              <w:ind w:left="80"/>
              <w:spacing w:after="0"/>
              <w:rPr>
                <w:sz w:val="20"/>
                <w:szCs w:val="20"/>
                <w:color w:val="auto"/>
              </w:rPr>
            </w:pPr>
            <w:r>
              <w:rPr>
                <w:rFonts w:ascii="Arial" w:cs="Arial" w:eastAsia="Arial" w:hAnsi="Arial"/>
                <w:sz w:val="15"/>
                <w:szCs w:val="15"/>
                <w:color w:val="auto"/>
              </w:rPr>
              <w:t>14. Definition of Adjusted EBIT.</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w w:val="98"/>
              </w:rPr>
              <w:t>For purposes of</w:t>
            </w:r>
          </w:p>
        </w:tc>
        <w:tc>
          <w:tcPr>
            <w:tcW w:w="0" w:type="dxa"/>
            <w:vAlign w:val="bottom"/>
          </w:tcPr>
          <w:p>
            <w:pPr>
              <w:spacing w:after="0"/>
              <w:rPr>
                <w:sz w:val="1"/>
                <w:szCs w:val="1"/>
                <w:color w:val="auto"/>
              </w:rPr>
            </w:pPr>
          </w:p>
        </w:tc>
      </w:tr>
      <w:tr>
        <w:trPr>
          <w:trHeight w:val="20"/>
        </w:trPr>
        <w:tc>
          <w:tcPr>
            <w:tcW w:w="3380" w:type="dxa"/>
            <w:vAlign w:val="bottom"/>
            <w:gridSpan w:val="23"/>
            <w:vMerge w:val="continue"/>
          </w:tcPr>
          <w:p>
            <w:pPr>
              <w:spacing w:after="0" w:line="20" w:lineRule="exact"/>
              <w:rPr>
                <w:sz w:val="1"/>
                <w:szCs w:val="1"/>
                <w:color w:val="auto"/>
              </w:rPr>
            </w:pPr>
          </w:p>
        </w:tc>
        <w:tc>
          <w:tcPr>
            <w:tcW w:w="3440" w:type="dxa"/>
            <w:vAlign w:val="bottom"/>
            <w:gridSpan w:val="17"/>
            <w:vMerge w:val="restart"/>
          </w:tcPr>
          <w:p>
            <w:pPr>
              <w:ind w:left="60"/>
              <w:spacing w:after="0" w:line="171" w:lineRule="exact"/>
              <w:rPr>
                <w:sz w:val="20"/>
                <w:szCs w:val="20"/>
                <w:color w:val="auto"/>
              </w:rPr>
            </w:pPr>
            <w:r>
              <w:rPr>
                <w:rFonts w:ascii="Arial" w:cs="Arial" w:eastAsia="Arial" w:hAnsi="Arial"/>
                <w:sz w:val="15"/>
                <w:szCs w:val="15"/>
                <w:color w:val="auto"/>
                <w:w w:val="96"/>
              </w:rPr>
              <w:t>by applicable laws or regulations, Grantee may elect</w:t>
            </w:r>
          </w:p>
        </w:tc>
        <w:tc>
          <w:tcPr>
            <w:tcW w:w="4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380" w:type="dxa"/>
            <w:vAlign w:val="bottom"/>
            <w:gridSpan w:val="23"/>
            <w:vMerge w:val="continue"/>
          </w:tcPr>
          <w:p>
            <w:pPr>
              <w:spacing w:after="0"/>
              <w:rPr>
                <w:sz w:val="8"/>
                <w:szCs w:val="8"/>
                <w:color w:val="auto"/>
              </w:rPr>
            </w:pPr>
          </w:p>
        </w:tc>
        <w:tc>
          <w:tcPr>
            <w:tcW w:w="3440" w:type="dxa"/>
            <w:vAlign w:val="bottom"/>
            <w:gridSpan w:val="17"/>
            <w:vMerge w:val="continue"/>
          </w:tcPr>
          <w:p>
            <w:pPr>
              <w:spacing w:after="0"/>
              <w:rPr>
                <w:sz w:val="8"/>
                <w:szCs w:val="8"/>
                <w:color w:val="auto"/>
              </w:rPr>
            </w:pPr>
          </w:p>
        </w:tc>
        <w:tc>
          <w:tcPr>
            <w:tcW w:w="3380" w:type="dxa"/>
            <w:vAlign w:val="bottom"/>
            <w:gridSpan w:val="14"/>
            <w:vMerge w:val="restart"/>
          </w:tcPr>
          <w:p>
            <w:pPr>
              <w:ind w:left="80"/>
              <w:spacing w:after="0" w:line="151" w:lineRule="exact"/>
              <w:rPr>
                <w:sz w:val="20"/>
                <w:szCs w:val="20"/>
                <w:color w:val="auto"/>
              </w:rPr>
            </w:pPr>
            <w:r>
              <w:rPr>
                <w:rFonts w:ascii="Arial" w:cs="Arial" w:eastAsia="Arial" w:hAnsi="Arial"/>
                <w:sz w:val="15"/>
                <w:szCs w:val="15"/>
                <w:color w:val="auto"/>
              </w:rPr>
              <w:t>this Agreement, “Adjusted EBIT” means EBIT as</w:t>
            </w:r>
          </w:p>
        </w:tc>
        <w:tc>
          <w:tcPr>
            <w:tcW w:w="0" w:type="dxa"/>
            <w:vAlign w:val="bottom"/>
          </w:tcPr>
          <w:p>
            <w:pPr>
              <w:spacing w:after="0"/>
              <w:rPr>
                <w:sz w:val="1"/>
                <w:szCs w:val="1"/>
                <w:color w:val="auto"/>
              </w:rPr>
            </w:pPr>
          </w:p>
        </w:tc>
      </w:tr>
      <w:tr>
        <w:trPr>
          <w:trHeight w:val="51"/>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rPr>
              <w:t>terms  of  this  Agreement  will  be  forfeited  and</w:t>
            </w:r>
          </w:p>
        </w:tc>
        <w:tc>
          <w:tcPr>
            <w:tcW w:w="3440" w:type="dxa"/>
            <w:vAlign w:val="bottom"/>
            <w:gridSpan w:val="17"/>
            <w:vMerge w:val="continue"/>
          </w:tcPr>
          <w:p>
            <w:pPr>
              <w:spacing w:after="0"/>
              <w:rPr>
                <w:sz w:val="4"/>
                <w:szCs w:val="4"/>
                <w:color w:val="auto"/>
              </w:rPr>
            </w:pPr>
          </w:p>
        </w:tc>
        <w:tc>
          <w:tcPr>
            <w:tcW w:w="3380" w:type="dxa"/>
            <w:vAlign w:val="bottom"/>
            <w:gridSpan w:val="1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380" w:type="dxa"/>
            <w:vAlign w:val="bottom"/>
            <w:gridSpan w:val="23"/>
            <w:vMerge w:val="continue"/>
          </w:tcPr>
          <w:p>
            <w:pPr>
              <w:spacing w:after="0"/>
              <w:rPr>
                <w:sz w:val="15"/>
                <w:szCs w:val="15"/>
                <w:color w:val="auto"/>
              </w:rPr>
            </w:pPr>
          </w:p>
        </w:tc>
        <w:tc>
          <w:tcPr>
            <w:tcW w:w="3440" w:type="dxa"/>
            <w:vAlign w:val="bottom"/>
            <w:gridSpan w:val="17"/>
          </w:tcPr>
          <w:p>
            <w:pPr>
              <w:ind w:left="60"/>
              <w:spacing w:after="0"/>
              <w:rPr>
                <w:sz w:val="20"/>
                <w:szCs w:val="20"/>
                <w:color w:val="auto"/>
              </w:rPr>
            </w:pPr>
            <w:r>
              <w:rPr>
                <w:rFonts w:ascii="Arial" w:cs="Arial" w:eastAsia="Arial" w:hAnsi="Arial"/>
                <w:sz w:val="15"/>
                <w:szCs w:val="15"/>
                <w:color w:val="auto"/>
                <w:w w:val="95"/>
              </w:rPr>
              <w:t>that any such withholding requirement be satisfied, in</w:t>
            </w:r>
          </w:p>
        </w:tc>
        <w:tc>
          <w:tcPr>
            <w:tcW w:w="2320" w:type="dxa"/>
            <w:vAlign w:val="bottom"/>
            <w:gridSpan w:val="12"/>
          </w:tcPr>
          <w:p>
            <w:pPr>
              <w:ind w:left="80"/>
              <w:spacing w:after="0"/>
              <w:rPr>
                <w:sz w:val="20"/>
                <w:szCs w:val="20"/>
                <w:color w:val="auto"/>
              </w:rPr>
            </w:pPr>
            <w:r>
              <w:rPr>
                <w:rFonts w:ascii="Arial" w:cs="Arial" w:eastAsia="Arial" w:hAnsi="Arial"/>
                <w:sz w:val="15"/>
                <w:szCs w:val="15"/>
                <w:color w:val="auto"/>
                <w:w w:val="99"/>
              </w:rPr>
              <w:t>adjusted for certain other unusual</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w w:val="97"/>
              </w:rPr>
              <w:t>or non-recurring</w:t>
            </w:r>
          </w:p>
        </w:tc>
        <w:tc>
          <w:tcPr>
            <w:tcW w:w="0" w:type="dxa"/>
            <w:vAlign w:val="bottom"/>
          </w:tcPr>
          <w:p>
            <w:pPr>
              <w:spacing w:after="0"/>
              <w:rPr>
                <w:sz w:val="1"/>
                <w:szCs w:val="1"/>
                <w:color w:val="auto"/>
              </w:rPr>
            </w:pPr>
          </w:p>
        </w:tc>
      </w:tr>
      <w:tr>
        <w:trPr>
          <w:trHeight w:val="132"/>
        </w:trPr>
        <w:tc>
          <w:tcPr>
            <w:tcW w:w="1080" w:type="dxa"/>
            <w:vAlign w:val="bottom"/>
            <w:gridSpan w:val="8"/>
          </w:tcPr>
          <w:p>
            <w:pPr>
              <w:spacing w:after="0" w:line="133" w:lineRule="exact"/>
              <w:rPr>
                <w:sz w:val="20"/>
                <w:szCs w:val="20"/>
                <w:color w:val="auto"/>
              </w:rPr>
            </w:pPr>
            <w:r>
              <w:rPr>
                <w:rFonts w:ascii="Arial" w:cs="Arial" w:eastAsia="Arial" w:hAnsi="Arial"/>
                <w:sz w:val="15"/>
                <w:szCs w:val="15"/>
                <w:color w:val="auto"/>
              </w:rPr>
              <w:t>reconveyed  to</w:t>
            </w:r>
          </w:p>
        </w:tc>
        <w:tc>
          <w:tcPr>
            <w:tcW w:w="400" w:type="dxa"/>
            <w:vAlign w:val="bottom"/>
            <w:gridSpan w:val="3"/>
          </w:tcPr>
          <w:p>
            <w:pPr>
              <w:jc w:val="right"/>
              <w:ind w:right="160"/>
              <w:spacing w:after="0" w:line="133" w:lineRule="exact"/>
              <w:rPr>
                <w:sz w:val="20"/>
                <w:szCs w:val="20"/>
                <w:color w:val="auto"/>
              </w:rPr>
            </w:pPr>
            <w:r>
              <w:rPr>
                <w:rFonts w:ascii="Arial" w:cs="Arial" w:eastAsia="Arial" w:hAnsi="Arial"/>
                <w:sz w:val="15"/>
                <w:szCs w:val="15"/>
                <w:color w:val="auto"/>
              </w:rPr>
              <w:t>the</w:t>
            </w:r>
          </w:p>
        </w:tc>
        <w:tc>
          <w:tcPr>
            <w:tcW w:w="720" w:type="dxa"/>
            <w:vAlign w:val="bottom"/>
            <w:gridSpan w:val="4"/>
          </w:tcPr>
          <w:p>
            <w:pPr>
              <w:jc w:val="right"/>
              <w:ind w:right="43"/>
              <w:spacing w:after="0" w:line="133" w:lineRule="exact"/>
              <w:rPr>
                <w:sz w:val="20"/>
                <w:szCs w:val="20"/>
                <w:color w:val="auto"/>
              </w:rPr>
            </w:pPr>
            <w:r>
              <w:rPr>
                <w:rFonts w:ascii="Arial" w:cs="Arial" w:eastAsia="Arial" w:hAnsi="Arial"/>
                <w:sz w:val="15"/>
                <w:szCs w:val="15"/>
                <w:color w:val="auto"/>
                <w:w w:val="90"/>
              </w:rPr>
              <w:t>Company</w:t>
            </w:r>
          </w:p>
        </w:tc>
        <w:tc>
          <w:tcPr>
            <w:tcW w:w="640" w:type="dxa"/>
            <w:vAlign w:val="bottom"/>
            <w:gridSpan w:val="5"/>
          </w:tcPr>
          <w:p>
            <w:pPr>
              <w:ind w:left="40"/>
              <w:spacing w:after="0" w:line="133" w:lineRule="exact"/>
              <w:rPr>
                <w:sz w:val="20"/>
                <w:szCs w:val="20"/>
                <w:color w:val="auto"/>
              </w:rPr>
            </w:pPr>
            <w:r>
              <w:rPr>
                <w:rFonts w:ascii="Arial" w:cs="Arial" w:eastAsia="Arial" w:hAnsi="Arial"/>
                <w:sz w:val="15"/>
                <w:szCs w:val="15"/>
                <w:color w:val="auto"/>
              </w:rPr>
              <w:t>without</w:t>
            </w:r>
          </w:p>
        </w:tc>
        <w:tc>
          <w:tcPr>
            <w:tcW w:w="540" w:type="dxa"/>
            <w:vAlign w:val="bottom"/>
            <w:gridSpan w:val="3"/>
          </w:tcPr>
          <w:p>
            <w:pPr>
              <w:jc w:val="right"/>
              <w:ind w:right="100"/>
              <w:spacing w:after="0" w:line="133" w:lineRule="exact"/>
              <w:rPr>
                <w:sz w:val="20"/>
                <w:szCs w:val="20"/>
                <w:color w:val="auto"/>
              </w:rPr>
            </w:pPr>
            <w:r>
              <w:rPr>
                <w:rFonts w:ascii="Arial" w:cs="Arial" w:eastAsia="Arial" w:hAnsi="Arial"/>
                <w:sz w:val="15"/>
                <w:szCs w:val="15"/>
                <w:color w:val="auto"/>
                <w:w w:val="96"/>
              </w:rPr>
              <w:t>further</w:t>
            </w:r>
          </w:p>
        </w:tc>
        <w:tc>
          <w:tcPr>
            <w:tcW w:w="3440" w:type="dxa"/>
            <w:vAlign w:val="bottom"/>
            <w:gridSpan w:val="17"/>
            <w:vMerge w:val="restart"/>
          </w:tcPr>
          <w:p>
            <w:pPr>
              <w:ind w:left="60"/>
              <w:spacing w:after="0"/>
              <w:rPr>
                <w:sz w:val="20"/>
                <w:szCs w:val="20"/>
                <w:color w:val="auto"/>
              </w:rPr>
            </w:pPr>
            <w:r>
              <w:rPr>
                <w:rFonts w:ascii="Arial" w:cs="Arial" w:eastAsia="Arial" w:hAnsi="Arial"/>
                <w:sz w:val="15"/>
                <w:szCs w:val="15"/>
                <w:color w:val="auto"/>
              </w:rPr>
              <w:t>whole or in part, by having the Company withhold</w:t>
            </w: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w w:val="99"/>
              </w:rPr>
              <w:t>items (including, but not limited to, unplanned and</w:t>
            </w:r>
          </w:p>
        </w:tc>
        <w:tc>
          <w:tcPr>
            <w:tcW w:w="0" w:type="dxa"/>
            <w:vAlign w:val="bottom"/>
          </w:tcPr>
          <w:p>
            <w:pPr>
              <w:spacing w:after="0"/>
              <w:rPr>
                <w:sz w:val="1"/>
                <w:szCs w:val="1"/>
                <w:color w:val="auto"/>
              </w:rPr>
            </w:pPr>
          </w:p>
        </w:tc>
      </w:tr>
      <w:tr>
        <w:trPr>
          <w:trHeight w:val="51"/>
        </w:trPr>
        <w:tc>
          <w:tcPr>
            <w:tcW w:w="2840" w:type="dxa"/>
            <w:vAlign w:val="bottom"/>
            <w:gridSpan w:val="20"/>
            <w:vMerge w:val="restart"/>
          </w:tcPr>
          <w:p>
            <w:pPr>
              <w:spacing w:after="0"/>
              <w:rPr>
                <w:sz w:val="20"/>
                <w:szCs w:val="20"/>
                <w:color w:val="auto"/>
              </w:rPr>
            </w:pPr>
            <w:r>
              <w:rPr>
                <w:rFonts w:ascii="Arial" w:cs="Arial" w:eastAsia="Arial" w:hAnsi="Arial"/>
                <w:sz w:val="15"/>
                <w:szCs w:val="15"/>
                <w:color w:val="auto"/>
                <w:w w:val="92"/>
              </w:rPr>
              <w:t>consideration or any act or action by Grantee.</w:t>
            </w: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40" w:type="dxa"/>
            <w:vAlign w:val="bottom"/>
            <w:gridSpan w:val="17"/>
            <w:vMerge w:val="continue"/>
          </w:tcPr>
          <w:p>
            <w:pPr>
              <w:spacing w:after="0"/>
              <w:rPr>
                <w:sz w:val="4"/>
                <w:szCs w:val="4"/>
                <w:color w:val="auto"/>
              </w:rPr>
            </w:pPr>
          </w:p>
        </w:tc>
        <w:tc>
          <w:tcPr>
            <w:tcW w:w="3380" w:type="dxa"/>
            <w:vAlign w:val="bottom"/>
            <w:gridSpan w:val="1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840" w:type="dxa"/>
            <w:vAlign w:val="bottom"/>
            <w:gridSpan w:val="20"/>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gridSpan w:val="17"/>
            <w:vMerge w:val="restart"/>
          </w:tcPr>
          <w:p>
            <w:pPr>
              <w:ind w:left="60"/>
              <w:spacing w:after="0"/>
              <w:rPr>
                <w:sz w:val="20"/>
                <w:szCs w:val="20"/>
                <w:color w:val="auto"/>
              </w:rPr>
            </w:pPr>
            <w:r>
              <w:rPr>
                <w:rFonts w:ascii="Arial" w:cs="Arial" w:eastAsia="Arial" w:hAnsi="Arial"/>
                <w:sz w:val="15"/>
                <w:szCs w:val="15"/>
                <w:color w:val="auto"/>
                <w:w w:val="94"/>
              </w:rPr>
              <w:t>from the Units upon settlement a number of shares of</w:t>
            </w: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rPr>
              <w:t>significant   costs   related   to   litigation,   claim</w:t>
            </w:r>
          </w:p>
        </w:tc>
        <w:tc>
          <w:tcPr>
            <w:tcW w:w="0" w:type="dxa"/>
            <w:vAlign w:val="bottom"/>
          </w:tcPr>
          <w:p>
            <w:pPr>
              <w:spacing w:after="0"/>
              <w:rPr>
                <w:sz w:val="1"/>
                <w:szCs w:val="1"/>
                <w:color w:val="auto"/>
              </w:rPr>
            </w:pPr>
          </w:p>
        </w:tc>
      </w:tr>
      <w:tr>
        <w:trPr>
          <w:trHeight w:val="35"/>
        </w:trPr>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40" w:type="dxa"/>
            <w:vAlign w:val="bottom"/>
            <w:gridSpan w:val="17"/>
            <w:vMerge w:val="continue"/>
          </w:tcPr>
          <w:p>
            <w:pPr>
              <w:spacing w:after="0"/>
              <w:rPr>
                <w:sz w:val="3"/>
                <w:szCs w:val="3"/>
                <w:color w:val="auto"/>
              </w:rPr>
            </w:pPr>
          </w:p>
        </w:tc>
        <w:tc>
          <w:tcPr>
            <w:tcW w:w="3380" w:type="dxa"/>
            <w:vAlign w:val="bottom"/>
            <w:gridSpan w:val="1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420" w:type="dxa"/>
            <w:vAlign w:val="bottom"/>
            <w:gridSpan w:val="17"/>
          </w:tcPr>
          <w:p>
            <w:pPr>
              <w:spacing w:after="0"/>
              <w:rPr>
                <w:sz w:val="20"/>
                <w:szCs w:val="20"/>
                <w:color w:val="auto"/>
              </w:rPr>
            </w:pPr>
            <w:r>
              <w:rPr>
                <w:rFonts w:ascii="Arial" w:cs="Arial" w:eastAsia="Arial" w:hAnsi="Arial"/>
                <w:sz w:val="15"/>
                <w:szCs w:val="15"/>
                <w:color w:val="auto"/>
                <w:w w:val="95"/>
              </w:rPr>
              <w:t>3. Termination of Continuous Service.</w:t>
            </w:r>
          </w:p>
        </w:tc>
        <w:tc>
          <w:tcPr>
            <w:tcW w:w="120" w:type="dxa"/>
            <w:vAlign w:val="bottom"/>
          </w:tcPr>
          <w:p>
            <w:pPr>
              <w:spacing w:after="0"/>
              <w:rPr>
                <w:sz w:val="17"/>
                <w:szCs w:val="17"/>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5"/>
                <w:szCs w:val="15"/>
                <w:color w:val="auto"/>
                <w:w w:val="95"/>
              </w:rPr>
              <w:t>If Grantee’s</w:t>
            </w:r>
          </w:p>
        </w:tc>
        <w:tc>
          <w:tcPr>
            <w:tcW w:w="3440" w:type="dxa"/>
            <w:vAlign w:val="bottom"/>
            <w:gridSpan w:val="17"/>
          </w:tcPr>
          <w:p>
            <w:pPr>
              <w:ind w:left="60"/>
              <w:spacing w:after="0"/>
              <w:rPr>
                <w:sz w:val="20"/>
                <w:szCs w:val="20"/>
                <w:color w:val="auto"/>
              </w:rPr>
            </w:pPr>
            <w:r>
              <w:rPr>
                <w:rFonts w:ascii="Arial" w:cs="Arial" w:eastAsia="Arial" w:hAnsi="Arial"/>
                <w:sz w:val="15"/>
                <w:szCs w:val="15"/>
                <w:color w:val="auto"/>
              </w:rPr>
              <w:t>Stock having a Fair Market Value on the date of</w:t>
            </w:r>
          </w:p>
        </w:tc>
        <w:tc>
          <w:tcPr>
            <w:tcW w:w="3380" w:type="dxa"/>
            <w:vAlign w:val="bottom"/>
            <w:gridSpan w:val="14"/>
          </w:tcPr>
          <w:p>
            <w:pPr>
              <w:ind w:left="80"/>
              <w:spacing w:after="0"/>
              <w:rPr>
                <w:sz w:val="20"/>
                <w:szCs w:val="20"/>
                <w:color w:val="auto"/>
              </w:rPr>
            </w:pPr>
            <w:r>
              <w:rPr>
                <w:rFonts w:ascii="Arial" w:cs="Arial" w:eastAsia="Arial" w:hAnsi="Arial"/>
                <w:sz w:val="15"/>
                <w:szCs w:val="15"/>
                <w:color w:val="auto"/>
                <w:w w:val="93"/>
              </w:rPr>
              <w:t>judgements,  settlements  or  proxy  contests).  Such</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140" w:type="dxa"/>
            <w:vAlign w:val="bottom"/>
            <w:gridSpan w:val="3"/>
            <w:shd w:val="clear" w:color="auto" w:fill="000000"/>
          </w:tcPr>
          <w:p>
            <w:pPr>
              <w:spacing w:after="0"/>
              <w:rPr>
                <w:sz w:val="2"/>
                <w:szCs w:val="2"/>
                <w:color w:val="auto"/>
              </w:rPr>
            </w:pPr>
          </w:p>
        </w:tc>
        <w:tc>
          <w:tcPr>
            <w:tcW w:w="1340" w:type="dxa"/>
            <w:vAlign w:val="bottom"/>
            <w:gridSpan w:val="8"/>
            <w:shd w:val="clear" w:color="auto" w:fill="000000"/>
          </w:tcPr>
          <w:p>
            <w:pPr>
              <w:spacing w:after="0"/>
              <w:rPr>
                <w:sz w:val="2"/>
                <w:szCs w:val="2"/>
                <w:color w:val="auto"/>
              </w:rPr>
            </w:pPr>
          </w:p>
        </w:tc>
        <w:tc>
          <w:tcPr>
            <w:tcW w:w="740" w:type="dxa"/>
            <w:vAlign w:val="bottom"/>
            <w:gridSpan w:val="4"/>
            <w:shd w:val="clear" w:color="auto" w:fill="000000"/>
          </w:tcPr>
          <w:p>
            <w:pPr>
              <w:spacing w:after="0"/>
              <w:rPr>
                <w:sz w:val="2"/>
                <w:szCs w:val="2"/>
                <w:color w:val="auto"/>
              </w:rPr>
            </w:pPr>
          </w:p>
        </w:tc>
        <w:tc>
          <w:tcPr>
            <w:tcW w:w="1000" w:type="dxa"/>
            <w:vAlign w:val="bottom"/>
            <w:gridSpan w:val="7"/>
          </w:tcPr>
          <w:p>
            <w:pPr>
              <w:spacing w:after="0"/>
              <w:rPr>
                <w:sz w:val="2"/>
                <w:szCs w:val="2"/>
                <w:color w:val="auto"/>
              </w:rPr>
            </w:pPr>
          </w:p>
        </w:tc>
        <w:tc>
          <w:tcPr>
            <w:tcW w:w="3440" w:type="dxa"/>
            <w:vAlign w:val="bottom"/>
            <w:gridSpan w:val="17"/>
            <w:vMerge w:val="restart"/>
          </w:tcPr>
          <w:p>
            <w:pPr>
              <w:ind w:left="60"/>
              <w:spacing w:after="0"/>
              <w:rPr>
                <w:sz w:val="20"/>
                <w:szCs w:val="20"/>
                <w:color w:val="auto"/>
              </w:rPr>
            </w:pPr>
            <w:r>
              <w:rPr>
                <w:rFonts w:ascii="Arial" w:cs="Arial" w:eastAsia="Arial" w:hAnsi="Arial"/>
                <w:sz w:val="15"/>
                <w:szCs w:val="15"/>
                <w:color w:val="auto"/>
                <w:w w:val="98"/>
              </w:rPr>
              <w:t>withholding, equal to the minimum amount (and not</w:t>
            </w:r>
          </w:p>
        </w:tc>
        <w:tc>
          <w:tcPr>
            <w:tcW w:w="3380" w:type="dxa"/>
            <w:vAlign w:val="bottom"/>
            <w:gridSpan w:val="14"/>
            <w:vMerge w:val="restart"/>
          </w:tcPr>
          <w:p>
            <w:pPr>
              <w:ind w:left="80"/>
              <w:spacing w:after="0"/>
              <w:rPr>
                <w:sz w:val="20"/>
                <w:szCs w:val="20"/>
                <w:color w:val="auto"/>
              </w:rPr>
            </w:pPr>
            <w:r>
              <w:rPr>
                <w:rFonts w:ascii="Arial" w:cs="Arial" w:eastAsia="Arial" w:hAnsi="Arial"/>
                <w:sz w:val="15"/>
                <w:szCs w:val="15"/>
                <w:color w:val="auto"/>
                <w:w w:val="94"/>
              </w:rPr>
              <w:t>adjustments for unusual or non-recurring items must</w:t>
            </w:r>
          </w:p>
        </w:tc>
        <w:tc>
          <w:tcPr>
            <w:tcW w:w="0" w:type="dxa"/>
            <w:vAlign w:val="bottom"/>
          </w:tcPr>
          <w:p>
            <w:pPr>
              <w:spacing w:after="0" w:line="20" w:lineRule="exact"/>
              <w:rPr>
                <w:sz w:val="1"/>
                <w:szCs w:val="1"/>
                <w:color w:val="auto"/>
              </w:rPr>
            </w:pPr>
          </w:p>
        </w:tc>
      </w:tr>
      <w:tr>
        <w:trPr>
          <w:trHeight w:val="153"/>
        </w:trPr>
        <w:tc>
          <w:tcPr>
            <w:tcW w:w="3380" w:type="dxa"/>
            <w:vAlign w:val="bottom"/>
            <w:gridSpan w:val="23"/>
          </w:tcPr>
          <w:p>
            <w:pPr>
              <w:spacing w:after="0" w:line="154" w:lineRule="exact"/>
              <w:rPr>
                <w:sz w:val="20"/>
                <w:szCs w:val="20"/>
                <w:color w:val="auto"/>
              </w:rPr>
            </w:pPr>
            <w:r>
              <w:rPr>
                <w:rFonts w:ascii="Arial" w:cs="Arial" w:eastAsia="Arial" w:hAnsi="Arial"/>
                <w:sz w:val="15"/>
                <w:szCs w:val="15"/>
                <w:color w:val="auto"/>
                <w:w w:val="97"/>
              </w:rPr>
              <w:t>employment is terminated for any reason other than</w:t>
            </w:r>
          </w:p>
        </w:tc>
        <w:tc>
          <w:tcPr>
            <w:tcW w:w="3440" w:type="dxa"/>
            <w:vAlign w:val="bottom"/>
            <w:gridSpan w:val="17"/>
            <w:vMerge w:val="continue"/>
          </w:tcPr>
          <w:p>
            <w:pPr>
              <w:spacing w:after="0"/>
              <w:rPr>
                <w:sz w:val="13"/>
                <w:szCs w:val="13"/>
                <w:color w:val="auto"/>
              </w:rPr>
            </w:pPr>
          </w:p>
        </w:tc>
        <w:tc>
          <w:tcPr>
            <w:tcW w:w="3380" w:type="dxa"/>
            <w:vAlign w:val="bottom"/>
            <w:gridSpan w:val="1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80" w:type="dxa"/>
            <w:vAlign w:val="bottom"/>
            <w:gridSpan w:val="23"/>
          </w:tcPr>
          <w:p>
            <w:pPr>
              <w:spacing w:after="0"/>
              <w:rPr>
                <w:sz w:val="20"/>
                <w:szCs w:val="20"/>
                <w:color w:val="auto"/>
              </w:rPr>
            </w:pPr>
            <w:r>
              <w:rPr>
                <w:rFonts w:ascii="Arial" w:cs="Arial" w:eastAsia="Arial" w:hAnsi="Arial"/>
                <w:sz w:val="15"/>
                <w:szCs w:val="15"/>
                <w:color w:val="auto"/>
                <w:w w:val="98"/>
              </w:rPr>
              <w:t>death or Disability prior to the Vesting Date, then all</w:t>
            </w:r>
          </w:p>
        </w:tc>
        <w:tc>
          <w:tcPr>
            <w:tcW w:w="3440" w:type="dxa"/>
            <w:vAlign w:val="bottom"/>
            <w:gridSpan w:val="17"/>
          </w:tcPr>
          <w:p>
            <w:pPr>
              <w:ind w:left="60"/>
              <w:spacing w:after="0"/>
              <w:rPr>
                <w:sz w:val="20"/>
                <w:szCs w:val="20"/>
                <w:color w:val="auto"/>
              </w:rPr>
            </w:pPr>
            <w:r>
              <w:rPr>
                <w:rFonts w:ascii="Arial" w:cs="Arial" w:eastAsia="Arial" w:hAnsi="Arial"/>
                <w:sz w:val="15"/>
                <w:szCs w:val="15"/>
                <w:color w:val="auto"/>
                <w:w w:val="99"/>
              </w:rPr>
              <w:t>any greater amount) required to be withheld for tax</w:t>
            </w:r>
          </w:p>
        </w:tc>
        <w:tc>
          <w:tcPr>
            <w:tcW w:w="3380" w:type="dxa"/>
            <w:vAlign w:val="bottom"/>
            <w:gridSpan w:val="14"/>
          </w:tcPr>
          <w:p>
            <w:pPr>
              <w:ind w:left="80"/>
              <w:spacing w:after="0"/>
              <w:rPr>
                <w:sz w:val="20"/>
                <w:szCs w:val="20"/>
                <w:color w:val="auto"/>
              </w:rPr>
            </w:pPr>
            <w:r>
              <w:rPr>
                <w:rFonts w:ascii="Arial" w:cs="Arial" w:eastAsia="Arial" w:hAnsi="Arial"/>
                <w:sz w:val="15"/>
                <w:szCs w:val="15"/>
                <w:color w:val="auto"/>
                <w:w w:val="94"/>
              </w:rPr>
              <w:t>have  also  been  approved  as  adjustments  by  the</w:t>
            </w:r>
          </w:p>
        </w:tc>
        <w:tc>
          <w:tcPr>
            <w:tcW w:w="0" w:type="dxa"/>
            <w:vAlign w:val="bottom"/>
          </w:tcPr>
          <w:p>
            <w:pPr>
              <w:spacing w:after="0"/>
              <w:rPr>
                <w:sz w:val="1"/>
                <w:szCs w:val="1"/>
                <w:color w:val="auto"/>
              </w:rPr>
            </w:pPr>
          </w:p>
        </w:tc>
      </w:tr>
      <w:tr>
        <w:trPr>
          <w:trHeight w:val="179"/>
        </w:trPr>
        <w:tc>
          <w:tcPr>
            <w:tcW w:w="3380" w:type="dxa"/>
            <w:vAlign w:val="bottom"/>
            <w:gridSpan w:val="23"/>
          </w:tcPr>
          <w:p>
            <w:pPr>
              <w:spacing w:after="0"/>
              <w:rPr>
                <w:sz w:val="20"/>
                <w:szCs w:val="20"/>
                <w:color w:val="auto"/>
              </w:rPr>
            </w:pPr>
            <w:r>
              <w:rPr>
                <w:rFonts w:ascii="Arial" w:cs="Arial" w:eastAsia="Arial" w:hAnsi="Arial"/>
                <w:sz w:val="15"/>
                <w:szCs w:val="15"/>
                <w:color w:val="auto"/>
              </w:rPr>
              <w:t>of the Units will be forfeited and reconveyed to the</w:t>
            </w:r>
          </w:p>
        </w:tc>
        <w:tc>
          <w:tcPr>
            <w:tcW w:w="3440" w:type="dxa"/>
            <w:vAlign w:val="bottom"/>
            <w:gridSpan w:val="17"/>
          </w:tcPr>
          <w:p>
            <w:pPr>
              <w:ind w:left="60"/>
              <w:spacing w:after="0"/>
              <w:rPr>
                <w:sz w:val="20"/>
                <w:szCs w:val="20"/>
                <w:color w:val="auto"/>
              </w:rPr>
            </w:pPr>
            <w:r>
              <w:rPr>
                <w:rFonts w:ascii="Arial" w:cs="Arial" w:eastAsia="Arial" w:hAnsi="Arial"/>
                <w:sz w:val="15"/>
                <w:szCs w:val="15"/>
                <w:color w:val="auto"/>
                <w:w w:val="96"/>
              </w:rPr>
              <w:t>purposes, all in accordance with such procedures as</w:t>
            </w:r>
          </w:p>
        </w:tc>
        <w:tc>
          <w:tcPr>
            <w:tcW w:w="3380" w:type="dxa"/>
            <w:vAlign w:val="bottom"/>
            <w:gridSpan w:val="14"/>
          </w:tcPr>
          <w:p>
            <w:pPr>
              <w:ind w:left="80"/>
              <w:spacing w:after="0"/>
              <w:rPr>
                <w:sz w:val="20"/>
                <w:szCs w:val="20"/>
                <w:color w:val="auto"/>
              </w:rPr>
            </w:pPr>
            <w:r>
              <w:rPr>
                <w:rFonts w:ascii="Arial" w:cs="Arial" w:eastAsia="Arial" w:hAnsi="Arial"/>
                <w:sz w:val="15"/>
                <w:szCs w:val="15"/>
                <w:color w:val="auto"/>
                <w:w w:val="96"/>
              </w:rPr>
              <w:t>Committee  for  the  calculation  of  bonuses  under</w:t>
            </w:r>
          </w:p>
        </w:tc>
        <w:tc>
          <w:tcPr>
            <w:tcW w:w="0" w:type="dxa"/>
            <w:vAlign w:val="bottom"/>
          </w:tcPr>
          <w:p>
            <w:pPr>
              <w:spacing w:after="0"/>
              <w:rPr>
                <w:sz w:val="1"/>
                <w:szCs w:val="1"/>
                <w:color w:val="auto"/>
              </w:rPr>
            </w:pPr>
          </w:p>
        </w:tc>
      </w:tr>
      <w:tr>
        <w:trPr>
          <w:trHeight w:val="179"/>
        </w:trPr>
        <w:tc>
          <w:tcPr>
            <w:tcW w:w="3380" w:type="dxa"/>
            <w:vAlign w:val="bottom"/>
            <w:gridSpan w:val="23"/>
          </w:tcPr>
          <w:p>
            <w:pPr>
              <w:spacing w:after="0"/>
              <w:rPr>
                <w:sz w:val="20"/>
                <w:szCs w:val="20"/>
                <w:color w:val="auto"/>
              </w:rPr>
            </w:pPr>
            <w:r>
              <w:rPr>
                <w:rFonts w:ascii="Arial" w:cs="Arial" w:eastAsia="Arial" w:hAnsi="Arial"/>
                <w:sz w:val="15"/>
                <w:szCs w:val="15"/>
                <w:color w:val="auto"/>
                <w:w w:val="99"/>
              </w:rPr>
              <w:t>Company on the date of termination without further</w:t>
            </w:r>
          </w:p>
        </w:tc>
        <w:tc>
          <w:tcPr>
            <w:tcW w:w="1880" w:type="dxa"/>
            <w:vAlign w:val="bottom"/>
            <w:gridSpan w:val="10"/>
          </w:tcPr>
          <w:p>
            <w:pPr>
              <w:ind w:left="60"/>
              <w:spacing w:after="0"/>
              <w:rPr>
                <w:sz w:val="20"/>
                <w:szCs w:val="20"/>
                <w:color w:val="auto"/>
              </w:rPr>
            </w:pPr>
            <w:r>
              <w:rPr>
                <w:rFonts w:ascii="Arial" w:cs="Arial" w:eastAsia="Arial" w:hAnsi="Arial"/>
                <w:sz w:val="15"/>
                <w:szCs w:val="15"/>
                <w:color w:val="auto"/>
                <w:w w:val="99"/>
              </w:rPr>
              <w:t>the Committee establishes.</w:t>
            </w:r>
          </w:p>
        </w:tc>
        <w:tc>
          <w:tcPr>
            <w:tcW w:w="1560" w:type="dxa"/>
            <w:vAlign w:val="bottom"/>
            <w:gridSpan w:val="7"/>
          </w:tcPr>
          <w:p>
            <w:pPr>
              <w:jc w:val="right"/>
              <w:ind w:right="3"/>
              <w:spacing w:after="0"/>
              <w:rPr>
                <w:sz w:val="20"/>
                <w:szCs w:val="20"/>
                <w:color w:val="auto"/>
              </w:rPr>
            </w:pPr>
            <w:r>
              <w:rPr>
                <w:rFonts w:ascii="Arial" w:cs="Arial" w:eastAsia="Arial" w:hAnsi="Arial"/>
                <w:sz w:val="15"/>
                <w:szCs w:val="15"/>
                <w:color w:val="auto"/>
              </w:rPr>
              <w:t>The obligations of the</w:t>
            </w:r>
          </w:p>
        </w:tc>
        <w:tc>
          <w:tcPr>
            <w:tcW w:w="3380" w:type="dxa"/>
            <w:vAlign w:val="bottom"/>
            <w:gridSpan w:val="14"/>
          </w:tcPr>
          <w:p>
            <w:pPr>
              <w:ind w:left="80"/>
              <w:spacing w:after="0"/>
              <w:rPr>
                <w:sz w:val="20"/>
                <w:szCs w:val="20"/>
                <w:color w:val="auto"/>
              </w:rPr>
            </w:pPr>
            <w:r>
              <w:rPr>
                <w:rFonts w:ascii="Arial" w:cs="Arial" w:eastAsia="Arial" w:hAnsi="Arial"/>
                <w:sz w:val="15"/>
                <w:szCs w:val="15"/>
                <w:color w:val="auto"/>
                <w:w w:val="92"/>
              </w:rPr>
              <w:t>management’s annual cash incentive program for the</w:t>
            </w:r>
          </w:p>
        </w:tc>
        <w:tc>
          <w:tcPr>
            <w:tcW w:w="0" w:type="dxa"/>
            <w:vAlign w:val="bottom"/>
          </w:tcPr>
          <w:p>
            <w:pPr>
              <w:spacing w:after="0"/>
              <w:rPr>
                <w:sz w:val="1"/>
                <w:szCs w:val="1"/>
                <w:color w:val="auto"/>
              </w:rPr>
            </w:pPr>
          </w:p>
        </w:tc>
      </w:tr>
      <w:tr>
        <w:trPr>
          <w:trHeight w:val="179"/>
        </w:trPr>
        <w:tc>
          <w:tcPr>
            <w:tcW w:w="2840" w:type="dxa"/>
            <w:vAlign w:val="bottom"/>
            <w:gridSpan w:val="20"/>
          </w:tcPr>
          <w:p>
            <w:pPr>
              <w:spacing w:after="0"/>
              <w:rPr>
                <w:sz w:val="20"/>
                <w:szCs w:val="20"/>
                <w:color w:val="auto"/>
              </w:rPr>
            </w:pPr>
            <w:r>
              <w:rPr>
                <w:rFonts w:ascii="Arial" w:cs="Arial" w:eastAsia="Arial" w:hAnsi="Arial"/>
                <w:sz w:val="15"/>
                <w:szCs w:val="15"/>
                <w:color w:val="auto"/>
                <w:w w:val="92"/>
              </w:rPr>
              <w:t>consideration or any act or action by Grantee.</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gridSpan w:val="17"/>
          </w:tcPr>
          <w:p>
            <w:pPr>
              <w:ind w:left="60"/>
              <w:spacing w:after="0"/>
              <w:rPr>
                <w:sz w:val="20"/>
                <w:szCs w:val="20"/>
                <w:color w:val="auto"/>
              </w:rPr>
            </w:pPr>
            <w:r>
              <w:rPr>
                <w:rFonts w:ascii="Arial" w:cs="Arial" w:eastAsia="Arial" w:hAnsi="Arial"/>
                <w:sz w:val="15"/>
                <w:szCs w:val="15"/>
                <w:color w:val="auto"/>
              </w:rPr>
              <w:t>Company under this Agreement will be conditional</w:t>
            </w:r>
          </w:p>
        </w:tc>
        <w:tc>
          <w:tcPr>
            <w:tcW w:w="3380" w:type="dxa"/>
            <w:vAlign w:val="bottom"/>
            <w:gridSpan w:val="14"/>
          </w:tcPr>
          <w:p>
            <w:pPr>
              <w:ind w:left="80"/>
              <w:spacing w:after="0"/>
              <w:rPr>
                <w:sz w:val="20"/>
                <w:szCs w:val="20"/>
                <w:color w:val="auto"/>
              </w:rPr>
            </w:pPr>
            <w:r>
              <w:rPr>
                <w:rFonts w:ascii="Arial" w:cs="Arial" w:eastAsia="Arial" w:hAnsi="Arial"/>
                <w:sz w:val="15"/>
                <w:szCs w:val="15"/>
                <w:color w:val="auto"/>
              </w:rPr>
              <w:t>fiscal year under which Adjusted EBIT is being</w:t>
            </w:r>
          </w:p>
        </w:tc>
        <w:tc>
          <w:tcPr>
            <w:tcW w:w="0" w:type="dxa"/>
            <w:vAlign w:val="bottom"/>
          </w:tcPr>
          <w:p>
            <w:pPr>
              <w:spacing w:after="0"/>
              <w:rPr>
                <w:sz w:val="1"/>
                <w:szCs w:val="1"/>
                <w:color w:val="auto"/>
              </w:rPr>
            </w:pPr>
          </w:p>
        </w:tc>
      </w:tr>
      <w:tr>
        <w:trPr>
          <w:trHeight w:val="158"/>
        </w:trPr>
        <w:tc>
          <w:tcPr>
            <w:tcW w:w="160" w:type="dxa"/>
            <w:vAlign w:val="bottom"/>
            <w:vMerge w:val="restart"/>
          </w:tcPr>
          <w:p>
            <w:pPr>
              <w:spacing w:after="0"/>
              <w:rPr>
                <w:sz w:val="20"/>
                <w:szCs w:val="20"/>
                <w:color w:val="auto"/>
              </w:rPr>
            </w:pPr>
            <w:r>
              <w:rPr>
                <w:rFonts w:ascii="Arial" w:cs="Arial" w:eastAsia="Arial" w:hAnsi="Arial"/>
                <w:sz w:val="15"/>
                <w:szCs w:val="15"/>
                <w:color w:val="auto"/>
              </w:rPr>
              <w:t>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4"/>
            <w:vMerge w:val="restart"/>
          </w:tcPr>
          <w:p>
            <w:pPr>
              <w:jc w:val="right"/>
              <w:ind w:right="3"/>
              <w:spacing w:after="0"/>
              <w:rPr>
                <w:sz w:val="20"/>
                <w:szCs w:val="20"/>
                <w:color w:val="auto"/>
              </w:rPr>
            </w:pPr>
            <w:r>
              <w:rPr>
                <w:rFonts w:ascii="Arial" w:cs="Arial" w:eastAsia="Arial" w:hAnsi="Arial"/>
                <w:sz w:val="15"/>
                <w:szCs w:val="15"/>
                <w:color w:val="auto"/>
                <w:w w:val="89"/>
              </w:rPr>
              <w:t>Conversion</w:t>
            </w:r>
          </w:p>
        </w:tc>
        <w:tc>
          <w:tcPr>
            <w:tcW w:w="560" w:type="dxa"/>
            <w:vAlign w:val="bottom"/>
            <w:gridSpan w:val="4"/>
            <w:vMerge w:val="restart"/>
          </w:tcPr>
          <w:p>
            <w:pPr>
              <w:ind w:left="20"/>
              <w:spacing w:after="0"/>
              <w:rPr>
                <w:sz w:val="20"/>
                <w:szCs w:val="20"/>
                <w:color w:val="auto"/>
              </w:rPr>
            </w:pPr>
            <w:r>
              <w:rPr>
                <w:rFonts w:ascii="Arial" w:cs="Arial" w:eastAsia="Arial" w:hAnsi="Arial"/>
                <w:sz w:val="15"/>
                <w:szCs w:val="15"/>
                <w:color w:val="auto"/>
                <w:w w:val="95"/>
              </w:rPr>
              <w:t>to Stock</w:t>
            </w:r>
          </w:p>
        </w:tc>
        <w:tc>
          <w:tcPr>
            <w:tcW w:w="200" w:type="dxa"/>
            <w:vAlign w:val="bottom"/>
            <w:vMerge w:val="restart"/>
          </w:tcPr>
          <w:p>
            <w:pPr>
              <w:jc w:val="right"/>
              <w:ind w:right="111"/>
              <w:spacing w:after="0"/>
              <w:rPr>
                <w:sz w:val="20"/>
                <w:szCs w:val="20"/>
                <w:color w:val="auto"/>
              </w:rPr>
            </w:pPr>
            <w:r>
              <w:rPr>
                <w:rFonts w:ascii="Arial" w:cs="Arial" w:eastAsia="Arial" w:hAnsi="Arial"/>
                <w:sz w:val="10"/>
                <w:szCs w:val="10"/>
                <w:color w:val="auto"/>
                <w:w w:val="70"/>
              </w:rPr>
              <w:t>.</w:t>
            </w:r>
          </w:p>
        </w:tc>
        <w:tc>
          <w:tcPr>
            <w:tcW w:w="1180" w:type="dxa"/>
            <w:vAlign w:val="bottom"/>
            <w:gridSpan w:val="8"/>
            <w:vMerge w:val="restart"/>
          </w:tcPr>
          <w:p>
            <w:pPr>
              <w:jc w:val="right"/>
              <w:spacing w:after="0"/>
              <w:rPr>
                <w:sz w:val="20"/>
                <w:szCs w:val="20"/>
                <w:color w:val="auto"/>
              </w:rPr>
            </w:pPr>
            <w:r>
              <w:rPr>
                <w:rFonts w:ascii="Arial" w:cs="Arial" w:eastAsia="Arial" w:hAnsi="Arial"/>
                <w:sz w:val="15"/>
                <w:szCs w:val="15"/>
                <w:color w:val="auto"/>
              </w:rPr>
              <w:t>Unless the Units</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are</w:t>
            </w:r>
          </w:p>
        </w:tc>
        <w:tc>
          <w:tcPr>
            <w:tcW w:w="3440" w:type="dxa"/>
            <w:vAlign w:val="bottom"/>
            <w:gridSpan w:val="17"/>
          </w:tcPr>
          <w:p>
            <w:pPr>
              <w:ind w:left="60"/>
              <w:spacing w:after="0" w:line="158" w:lineRule="exact"/>
              <w:rPr>
                <w:sz w:val="20"/>
                <w:szCs w:val="20"/>
                <w:color w:val="auto"/>
              </w:rPr>
            </w:pPr>
            <w:r>
              <w:rPr>
                <w:rFonts w:ascii="Arial" w:cs="Arial" w:eastAsia="Arial" w:hAnsi="Arial"/>
                <w:sz w:val="15"/>
                <w:szCs w:val="15"/>
                <w:color w:val="auto"/>
                <w:w w:val="94"/>
              </w:rPr>
              <w:t>on such payment or arrangements, and the Company</w:t>
            </w:r>
          </w:p>
        </w:tc>
        <w:tc>
          <w:tcPr>
            <w:tcW w:w="1960" w:type="dxa"/>
            <w:vAlign w:val="bottom"/>
            <w:gridSpan w:val="10"/>
          </w:tcPr>
          <w:p>
            <w:pPr>
              <w:ind w:left="80"/>
              <w:spacing w:after="0" w:line="158" w:lineRule="exact"/>
              <w:rPr>
                <w:sz w:val="20"/>
                <w:szCs w:val="20"/>
                <w:color w:val="auto"/>
              </w:rPr>
            </w:pPr>
            <w:r>
              <w:rPr>
                <w:rFonts w:ascii="Arial" w:cs="Arial" w:eastAsia="Arial" w:hAnsi="Arial"/>
                <w:sz w:val="15"/>
                <w:szCs w:val="15"/>
                <w:color w:val="auto"/>
                <w:w w:val="93"/>
              </w:rPr>
              <w:t>calculated for this Agreement.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bottom w:val="single" w:sz="8" w:color="auto"/>
            </w:tcBorders>
            <w:gridSpan w:val="4"/>
            <w:vMerge w:val="continue"/>
          </w:tcPr>
          <w:p>
            <w:pPr>
              <w:spacing w:after="0"/>
              <w:rPr>
                <w:sz w:val="11"/>
                <w:szCs w:val="11"/>
                <w:color w:val="auto"/>
              </w:rPr>
            </w:pPr>
          </w:p>
        </w:tc>
        <w:tc>
          <w:tcPr>
            <w:tcW w:w="560" w:type="dxa"/>
            <w:vAlign w:val="bottom"/>
            <w:tcBorders>
              <w:bottom w:val="single" w:sz="8" w:color="auto"/>
            </w:tcBorders>
            <w:gridSpan w:val="4"/>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180" w:type="dxa"/>
            <w:vAlign w:val="bottom"/>
            <w:gridSpan w:val="8"/>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3440" w:type="dxa"/>
            <w:vAlign w:val="bottom"/>
            <w:gridSpan w:val="17"/>
          </w:tcPr>
          <w:p>
            <w:pPr>
              <w:ind w:left="60"/>
              <w:spacing w:after="0" w:line="129" w:lineRule="exact"/>
              <w:rPr>
                <w:sz w:val="20"/>
                <w:szCs w:val="20"/>
                <w:color w:val="auto"/>
              </w:rPr>
            </w:pPr>
            <w:r>
              <w:rPr>
                <w:rFonts w:ascii="Arial" w:cs="Arial" w:eastAsia="Arial" w:hAnsi="Arial"/>
                <w:sz w:val="14"/>
                <w:szCs w:val="14"/>
                <w:color w:val="auto"/>
              </w:rPr>
              <w:t>will, to the extent permitted by law, have the right to</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380" w:type="dxa"/>
            <w:vAlign w:val="bottom"/>
            <w:gridSpan w:val="23"/>
          </w:tcPr>
          <w:p>
            <w:pPr>
              <w:spacing w:after="0"/>
              <w:rPr>
                <w:sz w:val="20"/>
                <w:szCs w:val="20"/>
                <w:color w:val="auto"/>
              </w:rPr>
            </w:pPr>
            <w:r>
              <w:rPr>
                <w:rFonts w:ascii="Arial" w:cs="Arial" w:eastAsia="Arial" w:hAnsi="Arial"/>
                <w:sz w:val="15"/>
                <w:szCs w:val="15"/>
                <w:color w:val="auto"/>
              </w:rPr>
              <w:t>forfeited prior to the Vesting Date as provided in</w:t>
            </w:r>
          </w:p>
        </w:tc>
        <w:tc>
          <w:tcPr>
            <w:tcW w:w="3440" w:type="dxa"/>
            <w:vAlign w:val="bottom"/>
            <w:gridSpan w:val="17"/>
          </w:tcPr>
          <w:p>
            <w:pPr>
              <w:ind w:left="60"/>
              <w:spacing w:after="0"/>
              <w:rPr>
                <w:sz w:val="20"/>
                <w:szCs w:val="20"/>
                <w:color w:val="auto"/>
              </w:rPr>
            </w:pPr>
            <w:r>
              <w:rPr>
                <w:rFonts w:ascii="Arial" w:cs="Arial" w:eastAsia="Arial" w:hAnsi="Arial"/>
                <w:sz w:val="15"/>
                <w:szCs w:val="15"/>
                <w:color w:val="auto"/>
              </w:rPr>
              <w:t>deduct  any  such  taxes  from  the  award  or  any</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380" w:type="dxa"/>
            <w:vAlign w:val="bottom"/>
            <w:gridSpan w:val="23"/>
          </w:tcPr>
          <w:p>
            <w:pPr>
              <w:spacing w:after="0"/>
              <w:rPr>
                <w:sz w:val="20"/>
                <w:szCs w:val="20"/>
                <w:color w:val="auto"/>
              </w:rPr>
            </w:pPr>
            <w:r>
              <w:rPr>
                <w:rFonts w:ascii="Arial" w:cs="Arial" w:eastAsia="Arial" w:hAnsi="Arial"/>
                <w:sz w:val="15"/>
                <w:szCs w:val="15"/>
                <w:color w:val="auto"/>
              </w:rPr>
              <w:t>section 3 above, the Units will be converted on the</w:t>
            </w:r>
          </w:p>
        </w:tc>
        <w:tc>
          <w:tcPr>
            <w:tcW w:w="3020" w:type="dxa"/>
            <w:vAlign w:val="bottom"/>
            <w:gridSpan w:val="15"/>
          </w:tcPr>
          <w:p>
            <w:pPr>
              <w:ind w:left="60"/>
              <w:spacing w:after="0"/>
              <w:rPr>
                <w:sz w:val="20"/>
                <w:szCs w:val="20"/>
                <w:color w:val="auto"/>
              </w:rPr>
            </w:pPr>
            <w:r>
              <w:rPr>
                <w:rFonts w:ascii="Arial" w:cs="Arial" w:eastAsia="Arial" w:hAnsi="Arial"/>
                <w:sz w:val="15"/>
                <w:szCs w:val="15"/>
                <w:color w:val="auto"/>
                <w:w w:val="94"/>
              </w:rPr>
              <w:t>payment of any kind otherwise due to Grantee.</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 w:type="dxa"/>
            <w:vAlign w:val="bottom"/>
            <w:gridSpan w:val="6"/>
          </w:tcPr>
          <w:p>
            <w:pPr>
              <w:spacing w:after="0"/>
              <w:rPr>
                <w:sz w:val="20"/>
                <w:szCs w:val="20"/>
                <w:color w:val="auto"/>
              </w:rPr>
            </w:pPr>
            <w:r>
              <w:rPr>
                <w:rFonts w:ascii="Arial" w:cs="Arial" w:eastAsia="Arial" w:hAnsi="Arial"/>
                <w:sz w:val="15"/>
                <w:szCs w:val="15"/>
                <w:color w:val="auto"/>
              </w:rPr>
              <w:t>Vesting</w:t>
            </w:r>
          </w:p>
        </w:tc>
        <w:tc>
          <w:tcPr>
            <w:tcW w:w="340" w:type="dxa"/>
            <w:vAlign w:val="bottom"/>
          </w:tcPr>
          <w:p>
            <w:pPr>
              <w:spacing w:after="0"/>
              <w:rPr>
                <w:sz w:val="20"/>
                <w:szCs w:val="20"/>
                <w:color w:val="auto"/>
              </w:rPr>
            </w:pPr>
            <w:r>
              <w:rPr>
                <w:rFonts w:ascii="Arial" w:cs="Arial" w:eastAsia="Arial" w:hAnsi="Arial"/>
                <w:sz w:val="15"/>
                <w:szCs w:val="15"/>
                <w:color w:val="auto"/>
              </w:rPr>
              <w:t>Date</w:t>
            </w:r>
          </w:p>
        </w:tc>
        <w:tc>
          <w:tcPr>
            <w:tcW w:w="200" w:type="dxa"/>
            <w:vAlign w:val="bottom"/>
          </w:tcPr>
          <w:p>
            <w:pPr>
              <w:jc w:val="right"/>
              <w:spacing w:after="0"/>
              <w:rPr>
                <w:sz w:val="20"/>
                <w:szCs w:val="20"/>
                <w:color w:val="auto"/>
              </w:rPr>
            </w:pPr>
            <w:r>
              <w:rPr>
                <w:rFonts w:ascii="Arial" w:cs="Arial" w:eastAsia="Arial" w:hAnsi="Arial"/>
                <w:sz w:val="15"/>
                <w:szCs w:val="15"/>
                <w:color w:val="auto"/>
              </w:rPr>
              <w:t>to</w:t>
            </w:r>
          </w:p>
        </w:tc>
        <w:tc>
          <w:tcPr>
            <w:tcW w:w="400" w:type="dxa"/>
            <w:vAlign w:val="bottom"/>
            <w:gridSpan w:val="3"/>
          </w:tcPr>
          <w:p>
            <w:pPr>
              <w:jc w:val="right"/>
              <w:spacing w:after="0"/>
              <w:rPr>
                <w:sz w:val="20"/>
                <w:szCs w:val="20"/>
                <w:color w:val="auto"/>
              </w:rPr>
            </w:pPr>
            <w:r>
              <w:rPr>
                <w:rFonts w:ascii="Arial" w:cs="Arial" w:eastAsia="Arial" w:hAnsi="Arial"/>
                <w:sz w:val="15"/>
                <w:szCs w:val="15"/>
                <w:color w:val="auto"/>
                <w:w w:val="94"/>
              </w:rPr>
              <w:t>actual</w:t>
            </w:r>
          </w:p>
        </w:tc>
        <w:tc>
          <w:tcPr>
            <w:tcW w:w="720" w:type="dxa"/>
            <w:vAlign w:val="bottom"/>
            <w:gridSpan w:val="4"/>
          </w:tcPr>
          <w:p>
            <w:pPr>
              <w:jc w:val="right"/>
              <w:spacing w:after="0"/>
              <w:rPr>
                <w:sz w:val="20"/>
                <w:szCs w:val="20"/>
                <w:color w:val="auto"/>
              </w:rPr>
            </w:pPr>
            <w:r>
              <w:rPr>
                <w:rFonts w:ascii="Arial" w:cs="Arial" w:eastAsia="Arial" w:hAnsi="Arial"/>
                <w:sz w:val="15"/>
                <w:szCs w:val="15"/>
                <w:color w:val="auto"/>
              </w:rPr>
              <w:t>shares of</w:t>
            </w:r>
          </w:p>
        </w:tc>
        <w:tc>
          <w:tcPr>
            <w:tcW w:w="1180" w:type="dxa"/>
            <w:vAlign w:val="bottom"/>
            <w:gridSpan w:val="8"/>
          </w:tcPr>
          <w:p>
            <w:pPr>
              <w:jc w:val="right"/>
              <w:ind w:right="100"/>
              <w:spacing w:after="0"/>
              <w:rPr>
                <w:sz w:val="20"/>
                <w:szCs w:val="20"/>
                <w:color w:val="auto"/>
              </w:rPr>
            </w:pPr>
            <w:r>
              <w:rPr>
                <w:rFonts w:ascii="Arial" w:cs="Arial" w:eastAsia="Arial" w:hAnsi="Arial"/>
                <w:sz w:val="15"/>
                <w:szCs w:val="15"/>
                <w:color w:val="auto"/>
                <w:w w:val="99"/>
              </w:rPr>
              <w:t>Stock, and such</w:t>
            </w:r>
          </w:p>
        </w:tc>
        <w:tc>
          <w:tcPr>
            <w:tcW w:w="3440" w:type="dxa"/>
            <w:vAlign w:val="bottom"/>
            <w:gridSpan w:val="17"/>
            <w:vMerge w:val="restart"/>
          </w:tcPr>
          <w:p>
            <w:pPr>
              <w:ind w:left="60"/>
              <w:spacing w:after="0"/>
              <w:rPr>
                <w:sz w:val="20"/>
                <w:szCs w:val="20"/>
                <w:color w:val="auto"/>
              </w:rPr>
            </w:pPr>
            <w:r>
              <w:rPr>
                <w:rFonts w:ascii="Arial" w:cs="Arial" w:eastAsia="Arial" w:hAnsi="Arial"/>
                <w:sz w:val="15"/>
                <w:szCs w:val="15"/>
                <w:color w:val="auto"/>
                <w:w w:val="97"/>
              </w:rPr>
              <w:t>Unless otherwise determined by the Committee, the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rPr>
              <w:t>Shares  will  be  registered  on  the  books  of  the</w:t>
            </w:r>
          </w:p>
        </w:tc>
        <w:tc>
          <w:tcPr>
            <w:tcW w:w="3440" w:type="dxa"/>
            <w:vAlign w:val="bottom"/>
            <w:gridSpan w:val="17"/>
            <w:vMerge w:val="continue"/>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3380" w:type="dxa"/>
            <w:vAlign w:val="bottom"/>
            <w:gridSpan w:val="23"/>
            <w:vMerge w:val="continue"/>
          </w:tcPr>
          <w:p>
            <w:pPr>
              <w:spacing w:after="0"/>
              <w:rPr>
                <w:sz w:val="4"/>
                <w:szCs w:val="4"/>
                <w:color w:val="auto"/>
              </w:rPr>
            </w:pPr>
          </w:p>
        </w:tc>
        <w:tc>
          <w:tcPr>
            <w:tcW w:w="3440" w:type="dxa"/>
            <w:vAlign w:val="bottom"/>
            <w:gridSpan w:val="17"/>
            <w:vMerge w:val="restart"/>
          </w:tcPr>
          <w:p>
            <w:pPr>
              <w:ind w:left="60"/>
              <w:spacing w:after="0"/>
              <w:rPr>
                <w:sz w:val="20"/>
                <w:szCs w:val="20"/>
                <w:color w:val="auto"/>
              </w:rPr>
            </w:pPr>
            <w:r>
              <w:rPr>
                <w:rFonts w:ascii="Arial" w:cs="Arial" w:eastAsia="Arial" w:hAnsi="Arial"/>
                <w:sz w:val="15"/>
                <w:szCs w:val="15"/>
                <w:color w:val="auto"/>
              </w:rPr>
              <w:t>withholding  requirement  shall  be  satisfied  by</w:t>
            </w: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380" w:type="dxa"/>
            <w:vAlign w:val="bottom"/>
            <w:gridSpan w:val="23"/>
          </w:tcPr>
          <w:p>
            <w:pPr>
              <w:spacing w:after="0" w:line="149" w:lineRule="exact"/>
              <w:rPr>
                <w:sz w:val="20"/>
                <w:szCs w:val="20"/>
                <w:color w:val="auto"/>
              </w:rPr>
            </w:pPr>
            <w:r>
              <w:rPr>
                <w:rFonts w:ascii="Arial" w:cs="Arial" w:eastAsia="Arial" w:hAnsi="Arial"/>
                <w:sz w:val="15"/>
                <w:szCs w:val="15"/>
                <w:color w:val="auto"/>
                <w:w w:val="97"/>
              </w:rPr>
              <w:t>Company in the name of Grantee (or in street name</w:t>
            </w:r>
          </w:p>
        </w:tc>
        <w:tc>
          <w:tcPr>
            <w:tcW w:w="3440" w:type="dxa"/>
            <w:vAlign w:val="bottom"/>
            <w:gridSpan w:val="17"/>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80" w:type="dxa"/>
            <w:vAlign w:val="bottom"/>
            <w:gridSpan w:val="23"/>
            <w:vMerge w:val="restart"/>
          </w:tcPr>
          <w:p>
            <w:pPr>
              <w:spacing w:after="0"/>
              <w:rPr>
                <w:sz w:val="20"/>
                <w:szCs w:val="20"/>
                <w:color w:val="auto"/>
              </w:rPr>
            </w:pPr>
            <w:r>
              <w:rPr>
                <w:rFonts w:ascii="Arial" w:cs="Arial" w:eastAsia="Arial" w:hAnsi="Arial"/>
                <w:sz w:val="15"/>
                <w:szCs w:val="15"/>
                <w:color w:val="auto"/>
              </w:rPr>
              <w:t>to Grantee’s brokerage account) as of the Vesting</w:t>
            </w:r>
          </w:p>
        </w:tc>
        <w:tc>
          <w:tcPr>
            <w:tcW w:w="3440" w:type="dxa"/>
            <w:vAlign w:val="bottom"/>
            <w:gridSpan w:val="17"/>
          </w:tcPr>
          <w:p>
            <w:pPr>
              <w:ind w:left="60"/>
              <w:spacing w:after="0" w:line="158" w:lineRule="exact"/>
              <w:rPr>
                <w:sz w:val="20"/>
                <w:szCs w:val="20"/>
                <w:color w:val="auto"/>
              </w:rPr>
            </w:pPr>
            <w:r>
              <w:rPr>
                <w:rFonts w:ascii="Arial" w:cs="Arial" w:eastAsia="Arial" w:hAnsi="Arial"/>
                <w:sz w:val="15"/>
                <w:szCs w:val="15"/>
                <w:color w:val="auto"/>
              </w:rPr>
              <w:t>withholding Shares having a Fair Market Value on</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3380" w:type="dxa"/>
            <w:vAlign w:val="bottom"/>
            <w:gridSpan w:val="23"/>
            <w:vMerge w:val="continue"/>
          </w:tcPr>
          <w:p>
            <w:pPr>
              <w:spacing w:after="0"/>
              <w:rPr>
                <w:sz w:val="4"/>
                <w:szCs w:val="4"/>
                <w:color w:val="auto"/>
              </w:rPr>
            </w:pPr>
          </w:p>
        </w:tc>
        <w:tc>
          <w:tcPr>
            <w:tcW w:w="3440" w:type="dxa"/>
            <w:vAlign w:val="bottom"/>
            <w:gridSpan w:val="17"/>
            <w:vMerge w:val="restart"/>
          </w:tcPr>
          <w:p>
            <w:pPr>
              <w:ind w:left="60"/>
              <w:spacing w:after="0"/>
              <w:rPr>
                <w:sz w:val="20"/>
                <w:szCs w:val="20"/>
                <w:color w:val="auto"/>
              </w:rPr>
            </w:pPr>
            <w:r>
              <w:rPr>
                <w:rFonts w:ascii="Arial" w:cs="Arial" w:eastAsia="Arial" w:hAnsi="Arial"/>
                <w:sz w:val="15"/>
                <w:szCs w:val="15"/>
                <w:color w:val="auto"/>
                <w:w w:val="97"/>
              </w:rPr>
              <w:t>the date of withholding equal to the amount required</w:t>
            </w: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80" w:type="dxa"/>
            <w:vAlign w:val="bottom"/>
            <w:gridSpan w:val="5"/>
          </w:tcPr>
          <w:p>
            <w:pPr>
              <w:spacing w:after="0" w:line="149" w:lineRule="exact"/>
              <w:rPr>
                <w:sz w:val="20"/>
                <w:szCs w:val="20"/>
                <w:color w:val="auto"/>
              </w:rPr>
            </w:pPr>
            <w:r>
              <w:rPr>
                <w:rFonts w:ascii="Arial" w:cs="Arial" w:eastAsia="Arial" w:hAnsi="Arial"/>
                <w:sz w:val="15"/>
                <w:szCs w:val="15"/>
                <w:color w:val="auto"/>
              </w:rPr>
              <w:t>Date</w:t>
            </w:r>
          </w:p>
        </w:tc>
        <w:tc>
          <w:tcPr>
            <w:tcW w:w="160" w:type="dxa"/>
            <w:vAlign w:val="bottom"/>
          </w:tcPr>
          <w:p>
            <w:pPr>
              <w:ind w:left="20"/>
              <w:spacing w:after="0" w:line="149" w:lineRule="exact"/>
              <w:rPr>
                <w:sz w:val="20"/>
                <w:szCs w:val="20"/>
                <w:color w:val="auto"/>
              </w:rPr>
            </w:pPr>
            <w:r>
              <w:rPr>
                <w:rFonts w:ascii="Arial" w:cs="Arial" w:eastAsia="Arial" w:hAnsi="Arial"/>
                <w:sz w:val="15"/>
                <w:szCs w:val="15"/>
                <w:color w:val="auto"/>
              </w:rPr>
              <w:t>in</w:t>
            </w:r>
          </w:p>
        </w:tc>
        <w:tc>
          <w:tcPr>
            <w:tcW w:w="940" w:type="dxa"/>
            <w:vAlign w:val="bottom"/>
            <w:gridSpan w:val="5"/>
          </w:tcPr>
          <w:p>
            <w:pPr>
              <w:jc w:val="right"/>
              <w:spacing w:after="0" w:line="149" w:lineRule="exact"/>
              <w:rPr>
                <w:sz w:val="20"/>
                <w:szCs w:val="20"/>
                <w:color w:val="auto"/>
              </w:rPr>
            </w:pPr>
            <w:r>
              <w:rPr>
                <w:rFonts w:ascii="Arial" w:cs="Arial" w:eastAsia="Arial" w:hAnsi="Arial"/>
                <w:sz w:val="15"/>
                <w:szCs w:val="15"/>
                <w:color w:val="auto"/>
              </w:rPr>
              <w:t>uncertificated</w:t>
            </w:r>
          </w:p>
        </w:tc>
        <w:tc>
          <w:tcPr>
            <w:tcW w:w="940" w:type="dxa"/>
            <w:vAlign w:val="bottom"/>
            <w:gridSpan w:val="6"/>
          </w:tcPr>
          <w:p>
            <w:pPr>
              <w:jc w:val="right"/>
              <w:ind w:right="40"/>
              <w:spacing w:after="0" w:line="149" w:lineRule="exact"/>
              <w:rPr>
                <w:sz w:val="20"/>
                <w:szCs w:val="20"/>
                <w:color w:val="auto"/>
              </w:rPr>
            </w:pPr>
            <w:r>
              <w:rPr>
                <w:rFonts w:ascii="Arial" w:cs="Arial" w:eastAsia="Arial" w:hAnsi="Arial"/>
                <w:sz w:val="15"/>
                <w:szCs w:val="15"/>
                <w:color w:val="auto"/>
              </w:rPr>
              <w:t>(book-entry)</w:t>
            </w:r>
          </w:p>
        </w:tc>
        <w:tc>
          <w:tcPr>
            <w:tcW w:w="420" w:type="dxa"/>
            <w:vAlign w:val="bottom"/>
            <w:gridSpan w:val="3"/>
          </w:tcPr>
          <w:p>
            <w:pPr>
              <w:ind w:left="80"/>
              <w:spacing w:after="0" w:line="149" w:lineRule="exact"/>
              <w:rPr>
                <w:sz w:val="20"/>
                <w:szCs w:val="20"/>
                <w:color w:val="auto"/>
              </w:rPr>
            </w:pPr>
            <w:r>
              <w:rPr>
                <w:rFonts w:ascii="Arial" w:cs="Arial" w:eastAsia="Arial" w:hAnsi="Arial"/>
                <w:sz w:val="15"/>
                <w:szCs w:val="15"/>
                <w:color w:val="auto"/>
              </w:rPr>
              <w:t>form</w:t>
            </w:r>
          </w:p>
        </w:tc>
        <w:tc>
          <w:tcPr>
            <w:tcW w:w="540" w:type="dxa"/>
            <w:vAlign w:val="bottom"/>
            <w:gridSpan w:val="3"/>
          </w:tcPr>
          <w:p>
            <w:pPr>
              <w:jc w:val="right"/>
              <w:ind w:right="80"/>
              <w:spacing w:after="0" w:line="149" w:lineRule="exact"/>
              <w:rPr>
                <w:sz w:val="20"/>
                <w:szCs w:val="20"/>
                <w:color w:val="auto"/>
              </w:rPr>
            </w:pPr>
            <w:r>
              <w:rPr>
                <w:rFonts w:ascii="Arial" w:cs="Arial" w:eastAsia="Arial" w:hAnsi="Arial"/>
                <w:sz w:val="15"/>
                <w:szCs w:val="15"/>
                <w:color w:val="auto"/>
              </w:rPr>
              <w:t>unless</w:t>
            </w:r>
          </w:p>
        </w:tc>
        <w:tc>
          <w:tcPr>
            <w:tcW w:w="3440" w:type="dxa"/>
            <w:vAlign w:val="bottom"/>
            <w:gridSpan w:val="17"/>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380" w:type="dxa"/>
            <w:vAlign w:val="bottom"/>
            <w:gridSpan w:val="23"/>
          </w:tcPr>
          <w:p>
            <w:pPr>
              <w:spacing w:after="0" w:line="170" w:lineRule="exact"/>
              <w:rPr>
                <w:sz w:val="20"/>
                <w:szCs w:val="20"/>
                <w:color w:val="auto"/>
              </w:rPr>
            </w:pPr>
            <w:r>
              <w:rPr>
                <w:rFonts w:ascii="Arial" w:cs="Arial" w:eastAsia="Arial" w:hAnsi="Arial"/>
                <w:sz w:val="15"/>
                <w:szCs w:val="15"/>
                <w:color w:val="auto"/>
                <w:w w:val="95"/>
              </w:rPr>
              <w:t>Grantee requests a stock certificate or certificates for</w:t>
            </w:r>
          </w:p>
        </w:tc>
        <w:tc>
          <w:tcPr>
            <w:tcW w:w="1100" w:type="dxa"/>
            <w:vAlign w:val="bottom"/>
            <w:gridSpan w:val="4"/>
          </w:tcPr>
          <w:p>
            <w:pPr>
              <w:ind w:left="60"/>
              <w:spacing w:after="0"/>
              <w:rPr>
                <w:sz w:val="20"/>
                <w:szCs w:val="20"/>
                <w:color w:val="auto"/>
              </w:rPr>
            </w:pPr>
            <w:r>
              <w:rPr>
                <w:rFonts w:ascii="Arial" w:cs="Arial" w:eastAsia="Arial" w:hAnsi="Arial"/>
                <w:sz w:val="15"/>
                <w:szCs w:val="15"/>
                <w:color w:val="auto"/>
              </w:rPr>
              <w:t>to be withheld</w:t>
            </w:r>
          </w:p>
        </w:tc>
        <w:tc>
          <w:tcPr>
            <w:tcW w:w="180" w:type="dxa"/>
            <w:vAlign w:val="bottom"/>
          </w:tcPr>
          <w:p>
            <w:pPr>
              <w:jc w:val="right"/>
              <w:spacing w:after="0"/>
              <w:rPr>
                <w:sz w:val="20"/>
                <w:szCs w:val="20"/>
                <w:color w:val="auto"/>
              </w:rPr>
            </w:pPr>
            <w:r>
              <w:rPr>
                <w:rFonts w:ascii="Arial" w:cs="Arial" w:eastAsia="Arial" w:hAnsi="Arial"/>
                <w:sz w:val="15"/>
                <w:szCs w:val="15"/>
                <w:color w:val="auto"/>
              </w:rPr>
              <w:t>in</w:t>
            </w:r>
          </w:p>
        </w:tc>
        <w:tc>
          <w:tcPr>
            <w:tcW w:w="760" w:type="dxa"/>
            <w:vAlign w:val="bottom"/>
            <w:gridSpan w:val="6"/>
          </w:tcPr>
          <w:p>
            <w:pPr>
              <w:ind w:left="40"/>
              <w:spacing w:after="0"/>
              <w:rPr>
                <w:sz w:val="20"/>
                <w:szCs w:val="20"/>
                <w:color w:val="auto"/>
              </w:rPr>
            </w:pPr>
            <w:r>
              <w:rPr>
                <w:rFonts w:ascii="Arial" w:cs="Arial" w:eastAsia="Arial" w:hAnsi="Arial"/>
                <w:sz w:val="15"/>
                <w:szCs w:val="15"/>
                <w:color w:val="auto"/>
                <w:w w:val="90"/>
              </w:rPr>
              <w:t>accordance</w:t>
            </w:r>
          </w:p>
        </w:tc>
        <w:tc>
          <w:tcPr>
            <w:tcW w:w="1100" w:type="dxa"/>
            <w:vAlign w:val="bottom"/>
            <w:gridSpan w:val="5"/>
          </w:tcPr>
          <w:p>
            <w:pPr>
              <w:jc w:val="right"/>
              <w:spacing w:after="0"/>
              <w:rPr>
                <w:sz w:val="20"/>
                <w:szCs w:val="20"/>
                <w:color w:val="auto"/>
              </w:rPr>
            </w:pPr>
            <w:r>
              <w:rPr>
                <w:rFonts w:ascii="Arial" w:cs="Arial" w:eastAsia="Arial" w:hAnsi="Arial"/>
                <w:sz w:val="15"/>
                <w:szCs w:val="15"/>
                <w:color w:val="auto"/>
              </w:rPr>
              <w:t>with applicable</w:t>
            </w:r>
          </w:p>
        </w:tc>
        <w:tc>
          <w:tcPr>
            <w:tcW w:w="300" w:type="dxa"/>
            <w:vAlign w:val="bottom"/>
          </w:tcPr>
          <w:p>
            <w:pPr>
              <w:jc w:val="right"/>
              <w:ind w:right="3"/>
              <w:spacing w:after="0"/>
              <w:rPr>
                <w:sz w:val="20"/>
                <w:szCs w:val="20"/>
                <w:color w:val="auto"/>
              </w:rPr>
            </w:pPr>
            <w:r>
              <w:rPr>
                <w:rFonts w:ascii="Arial" w:cs="Arial" w:eastAsia="Arial" w:hAnsi="Arial"/>
                <w:sz w:val="15"/>
                <w:szCs w:val="15"/>
                <w:color w:val="auto"/>
                <w:w w:val="99"/>
              </w:rPr>
              <w:t>tax</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60" w:type="dxa"/>
            <w:vAlign w:val="bottom"/>
            <w:vMerge w:val="restart"/>
          </w:tcPr>
          <w:p>
            <w:pPr>
              <w:spacing w:after="0"/>
              <w:rPr>
                <w:sz w:val="20"/>
                <w:szCs w:val="20"/>
                <w:color w:val="auto"/>
              </w:rPr>
            </w:pPr>
            <w:r>
              <w:rPr>
                <w:rFonts w:ascii="Arial" w:cs="Arial" w:eastAsia="Arial" w:hAnsi="Arial"/>
                <w:sz w:val="15"/>
                <w:szCs w:val="15"/>
                <w:color w:val="auto"/>
              </w:rPr>
              <w:t>the Shares.</w:t>
            </w:r>
          </w:p>
        </w:tc>
        <w:tc>
          <w:tcPr>
            <w:tcW w:w="8160" w:type="dxa"/>
            <w:vAlign w:val="bottom"/>
          </w:tcPr>
          <w:p>
            <w:pPr>
              <w:ind w:left="1380"/>
              <w:spacing w:after="0"/>
              <w:rPr>
                <w:sz w:val="20"/>
                <w:szCs w:val="20"/>
                <w:color w:val="auto"/>
              </w:rPr>
            </w:pPr>
            <w:r>
              <w:rPr>
                <w:rFonts w:ascii="Arial" w:cs="Arial" w:eastAsia="Arial" w:hAnsi="Arial"/>
                <w:sz w:val="15"/>
                <w:szCs w:val="15"/>
                <w:color w:val="auto"/>
              </w:rPr>
              <w:t>requirements.</w:t>
            </w:r>
          </w:p>
        </w:tc>
        <w:tc>
          <w:tcPr>
            <w:tcW w:w="0" w:type="dxa"/>
            <w:vAlign w:val="bottom"/>
          </w:tcPr>
          <w:p>
            <w:pPr>
              <w:spacing w:after="0"/>
              <w:rPr>
                <w:sz w:val="1"/>
                <w:szCs w:val="1"/>
                <w:color w:val="auto"/>
              </w:rPr>
            </w:pPr>
          </w:p>
        </w:tc>
      </w:tr>
      <w:tr>
        <w:trPr>
          <w:trHeight w:val="46"/>
        </w:trPr>
        <w:tc>
          <w:tcPr>
            <w:tcW w:w="2060" w:type="dxa"/>
            <w:vAlign w:val="bottom"/>
            <w:vMerge w:val="continue"/>
          </w:tcPr>
          <w:p>
            <w:pPr>
              <w:spacing w:after="0"/>
              <w:rPr>
                <w:sz w:val="4"/>
                <w:szCs w:val="4"/>
                <w:color w:val="auto"/>
              </w:rPr>
            </w:pPr>
          </w:p>
        </w:tc>
        <w:tc>
          <w:tcPr>
            <w:tcW w:w="8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5"/>
        </w:trPr>
        <w:tc>
          <w:tcPr>
            <w:tcW w:w="206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840" w:top="120" w:right="8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9"/>
          <w:szCs w:val="19"/>
          <w:b w:val="1"/>
          <w:bCs w:val="1"/>
          <w:u w:val="single" w:color="auto"/>
          <w:color w:val="auto"/>
        </w:rPr>
        <w:t>EXHIBIT A</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Performance Matrix for Determining Number of Earned Units</w:t>
      </w:r>
    </w:p>
    <w:p>
      <w:pPr>
        <w:spacing w:after="0" w:line="217" w:lineRule="exact"/>
        <w:rPr>
          <w:sz w:val="20"/>
          <w:szCs w:val="20"/>
          <w:color w:val="auto"/>
        </w:rPr>
      </w:pPr>
    </w:p>
    <w:tbl>
      <w:tblPr>
        <w:tblLayout w:type="fixed"/>
        <w:tblInd w:w="430" w:type="dxa"/>
        <w:tblCellMar>
          <w:top w:w="0" w:type="dxa"/>
          <w:left w:w="0" w:type="dxa"/>
          <w:bottom w:w="0" w:type="dxa"/>
          <w:right w:w="0" w:type="dxa"/>
        </w:tblCellMar>
      </w:tblPr>
      <w:tr>
        <w:trPr>
          <w:trHeight w:val="256"/>
        </w:trPr>
        <w:tc>
          <w:tcPr>
            <w:tcW w:w="42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1"/>
              </w:rPr>
              <w:t>Adjusted EBIT for Fiscal 2022</w:t>
            </w:r>
          </w:p>
        </w:tc>
        <w:tc>
          <w:tcPr>
            <w:tcW w:w="392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9"/>
                <w:szCs w:val="19"/>
                <w:b w:val="1"/>
                <w:bCs w:val="1"/>
                <w:color w:val="auto"/>
              </w:rPr>
              <w:t>Percentage of Target Award Earned (1)</w:t>
            </w:r>
          </w:p>
        </w:tc>
      </w:tr>
      <w:tr>
        <w:trPr>
          <w:trHeight w:val="128"/>
        </w:trPr>
        <w:tc>
          <w:tcPr>
            <w:tcW w:w="4280" w:type="dxa"/>
            <w:vAlign w:val="bottom"/>
            <w:tcBorders>
              <w:left w:val="single" w:sz="8" w:color="auto"/>
              <w:bottom w:val="single" w:sz="8" w:color="auto"/>
              <w:right w:val="single" w:sz="8" w:color="auto"/>
            </w:tcBorders>
          </w:tcPr>
          <w:p>
            <w:pPr>
              <w:spacing w:after="0"/>
              <w:rPr>
                <w:sz w:val="11"/>
                <w:szCs w:val="11"/>
                <w:color w:val="auto"/>
              </w:rPr>
            </w:pPr>
          </w:p>
        </w:tc>
        <w:tc>
          <w:tcPr>
            <w:tcW w:w="3920" w:type="dxa"/>
            <w:vAlign w:val="bottom"/>
            <w:tcBorders>
              <w:bottom w:val="single" w:sz="8" w:color="auto"/>
              <w:right w:val="single" w:sz="8" w:color="auto"/>
            </w:tcBorders>
          </w:tcPr>
          <w:p>
            <w:pPr>
              <w:spacing w:after="0"/>
              <w:rPr>
                <w:sz w:val="11"/>
                <w:szCs w:val="11"/>
                <w:color w:val="auto"/>
              </w:rPr>
            </w:pPr>
          </w:p>
        </w:tc>
      </w:tr>
      <w:tr>
        <w:trPr>
          <w:trHeight w:val="232"/>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7"/>
              </w:rPr>
              <w:t>Less than $29,757,000</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7"/>
              </w:rPr>
              <w:t>0%</w:t>
            </w:r>
          </w:p>
        </w:tc>
      </w:tr>
      <w:tr>
        <w:trPr>
          <w:trHeight w:val="132"/>
        </w:trPr>
        <w:tc>
          <w:tcPr>
            <w:tcW w:w="4280" w:type="dxa"/>
            <w:vAlign w:val="bottom"/>
            <w:tcBorders>
              <w:left w:val="single" w:sz="8" w:color="auto"/>
              <w:bottom w:val="single" w:sz="8" w:color="auto"/>
              <w:right w:val="single" w:sz="8" w:color="auto"/>
            </w:tcBorders>
          </w:tcPr>
          <w:p>
            <w:pPr>
              <w:spacing w:after="0"/>
              <w:rPr>
                <w:sz w:val="11"/>
                <w:szCs w:val="11"/>
                <w:color w:val="auto"/>
              </w:rPr>
            </w:pPr>
          </w:p>
        </w:tc>
        <w:tc>
          <w:tcPr>
            <w:tcW w:w="3920" w:type="dxa"/>
            <w:vAlign w:val="bottom"/>
            <w:tcBorders>
              <w:bottom w:val="single" w:sz="8" w:color="auto"/>
              <w:right w:val="single" w:sz="8" w:color="auto"/>
            </w:tcBorders>
          </w:tcPr>
          <w:p>
            <w:pPr>
              <w:spacing w:after="0"/>
              <w:rPr>
                <w:sz w:val="11"/>
                <w:szCs w:val="11"/>
                <w:color w:val="auto"/>
              </w:rPr>
            </w:pPr>
          </w:p>
        </w:tc>
      </w:tr>
      <w:tr>
        <w:trPr>
          <w:trHeight w:val="232"/>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8"/>
              </w:rPr>
              <w:t>$29,757,000</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50%</w:t>
            </w:r>
          </w:p>
        </w:tc>
      </w:tr>
      <w:tr>
        <w:trPr>
          <w:trHeight w:val="132"/>
        </w:trPr>
        <w:tc>
          <w:tcPr>
            <w:tcW w:w="4280" w:type="dxa"/>
            <w:vAlign w:val="bottom"/>
            <w:tcBorders>
              <w:left w:val="single" w:sz="8" w:color="auto"/>
              <w:bottom w:val="single" w:sz="8" w:color="auto"/>
              <w:right w:val="single" w:sz="8" w:color="auto"/>
            </w:tcBorders>
          </w:tcPr>
          <w:p>
            <w:pPr>
              <w:spacing w:after="0"/>
              <w:rPr>
                <w:sz w:val="11"/>
                <w:szCs w:val="11"/>
                <w:color w:val="auto"/>
              </w:rPr>
            </w:pPr>
          </w:p>
        </w:tc>
        <w:tc>
          <w:tcPr>
            <w:tcW w:w="3920" w:type="dxa"/>
            <w:vAlign w:val="bottom"/>
            <w:tcBorders>
              <w:bottom w:val="single" w:sz="8" w:color="auto"/>
              <w:right w:val="single" w:sz="8" w:color="auto"/>
            </w:tcBorders>
          </w:tcPr>
          <w:p>
            <w:pPr>
              <w:spacing w:after="0"/>
              <w:rPr>
                <w:sz w:val="11"/>
                <w:szCs w:val="11"/>
                <w:color w:val="auto"/>
              </w:rPr>
            </w:pPr>
          </w:p>
        </w:tc>
      </w:tr>
      <w:tr>
        <w:trPr>
          <w:trHeight w:val="232"/>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8"/>
              </w:rPr>
              <w:t>32,700,000</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100%</w:t>
            </w:r>
          </w:p>
        </w:tc>
      </w:tr>
      <w:tr>
        <w:trPr>
          <w:trHeight w:val="132"/>
        </w:trPr>
        <w:tc>
          <w:tcPr>
            <w:tcW w:w="4280" w:type="dxa"/>
            <w:vAlign w:val="bottom"/>
            <w:tcBorders>
              <w:left w:val="single" w:sz="8" w:color="auto"/>
              <w:bottom w:val="single" w:sz="8" w:color="auto"/>
              <w:right w:val="single" w:sz="8" w:color="auto"/>
            </w:tcBorders>
          </w:tcPr>
          <w:p>
            <w:pPr>
              <w:spacing w:after="0"/>
              <w:rPr>
                <w:sz w:val="11"/>
                <w:szCs w:val="11"/>
                <w:color w:val="auto"/>
              </w:rPr>
            </w:pPr>
          </w:p>
        </w:tc>
        <w:tc>
          <w:tcPr>
            <w:tcW w:w="3920" w:type="dxa"/>
            <w:vAlign w:val="bottom"/>
            <w:tcBorders>
              <w:bottom w:val="single" w:sz="8" w:color="auto"/>
              <w:right w:val="single" w:sz="8" w:color="auto"/>
            </w:tcBorders>
          </w:tcPr>
          <w:p>
            <w:pPr>
              <w:spacing w:after="0"/>
              <w:rPr>
                <w:sz w:val="11"/>
                <w:szCs w:val="11"/>
                <w:color w:val="auto"/>
              </w:rPr>
            </w:pPr>
          </w:p>
        </w:tc>
      </w:tr>
      <w:tr>
        <w:trPr>
          <w:trHeight w:val="232"/>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8"/>
              </w:rPr>
              <w:t>$44,472,000</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200%</w:t>
            </w:r>
          </w:p>
        </w:tc>
      </w:tr>
      <w:tr>
        <w:trPr>
          <w:trHeight w:val="132"/>
        </w:trPr>
        <w:tc>
          <w:tcPr>
            <w:tcW w:w="4280" w:type="dxa"/>
            <w:vAlign w:val="bottom"/>
            <w:tcBorders>
              <w:left w:val="single" w:sz="8" w:color="auto"/>
              <w:bottom w:val="single" w:sz="8" w:color="auto"/>
              <w:right w:val="single" w:sz="8" w:color="auto"/>
            </w:tcBorders>
          </w:tcPr>
          <w:p>
            <w:pPr>
              <w:spacing w:after="0"/>
              <w:rPr>
                <w:sz w:val="11"/>
                <w:szCs w:val="11"/>
                <w:color w:val="auto"/>
              </w:rPr>
            </w:pPr>
          </w:p>
        </w:tc>
        <w:tc>
          <w:tcPr>
            <w:tcW w:w="3920" w:type="dxa"/>
            <w:vAlign w:val="bottom"/>
            <w:tcBorders>
              <w:bottom w:val="single" w:sz="8" w:color="auto"/>
              <w:right w:val="single" w:sz="8" w:color="auto"/>
            </w:tcBorders>
          </w:tcPr>
          <w:p>
            <w:pPr>
              <w:spacing w:after="0"/>
              <w:rPr>
                <w:sz w:val="11"/>
                <w:szCs w:val="11"/>
                <w:color w:val="auto"/>
              </w:rPr>
            </w:pPr>
          </w:p>
        </w:tc>
      </w:tr>
    </w:tbl>
    <w:p>
      <w:pPr>
        <w:spacing w:after="0" w:line="213" w:lineRule="exact"/>
        <w:rPr>
          <w:sz w:val="20"/>
          <w:szCs w:val="20"/>
          <w:color w:val="auto"/>
        </w:rPr>
      </w:pPr>
    </w:p>
    <w:p>
      <w:pPr>
        <w:ind w:left="1240" w:hanging="743"/>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Payouts between performance levels will be determined based on straight line interpolation.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341630</wp:posOffset>
            </wp:positionV>
            <wp:extent cx="649033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490335" cy="2413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4" w:name="page35"/>
    <w:bookmarkEnd w:id="34"/>
    <w:p>
      <w:pPr>
        <w:jc w:val="right"/>
        <w:ind w:right="59"/>
        <w:spacing w:after="0"/>
        <w:rPr>
          <w:sz w:val="20"/>
          <w:szCs w:val="20"/>
          <w:color w:val="auto"/>
        </w:rPr>
      </w:pPr>
      <w:r>
        <w:rPr>
          <w:rFonts w:ascii="Arial" w:cs="Arial" w:eastAsia="Arial" w:hAnsi="Arial"/>
          <w:sz w:val="17"/>
          <w:szCs w:val="17"/>
          <w:b w:val="1"/>
          <w:bCs w:val="1"/>
          <w:color w:val="auto"/>
        </w:rPr>
        <w:t>Exhibit 31.1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 David N. Makuen, certify that:</w:t>
      </w:r>
    </w:p>
    <w:p>
      <w:pPr>
        <w:spacing w:after="0" w:line="188" w:lineRule="exact"/>
        <w:rPr>
          <w:sz w:val="20"/>
          <w:szCs w:val="20"/>
          <w:color w:val="auto"/>
        </w:rPr>
      </w:pPr>
    </w:p>
    <w:p>
      <w:pPr>
        <w:ind w:left="660" w:hanging="621"/>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May 1, 2021 of Citi Trends, Inc.;</w:t>
      </w:r>
    </w:p>
    <w:p>
      <w:pPr>
        <w:spacing w:after="0" w:line="187" w:lineRule="exact"/>
        <w:rPr>
          <w:rFonts w:ascii="Arial" w:cs="Arial" w:eastAsia="Arial" w:hAnsi="Arial"/>
          <w:sz w:val="17"/>
          <w:szCs w:val="17"/>
          <w:color w:val="auto"/>
        </w:rPr>
      </w:pPr>
    </w:p>
    <w:p>
      <w:pPr>
        <w:jc w:val="both"/>
        <w:ind w:left="660" w:right="299" w:hanging="621"/>
        <w:spacing w:after="0" w:line="247"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7"/>
          <w:szCs w:val="17"/>
          <w:color w:val="auto"/>
        </w:rPr>
      </w:pPr>
    </w:p>
    <w:p>
      <w:pPr>
        <w:ind w:left="660" w:right="79" w:hanging="621"/>
        <w:spacing w:after="0" w:line="247"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7"/>
          <w:szCs w:val="17"/>
          <w:color w:val="auto"/>
        </w:rPr>
      </w:pPr>
    </w:p>
    <w:p>
      <w:pPr>
        <w:ind w:left="660" w:right="179" w:hanging="621"/>
        <w:spacing w:after="0" w:line="270"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16"/>
          <w:szCs w:val="16"/>
          <w:color w:val="auto"/>
        </w:rPr>
      </w:pPr>
    </w:p>
    <w:p>
      <w:pPr>
        <w:ind w:left="1260" w:right="219" w:hanging="608"/>
        <w:spacing w:after="0" w:line="243" w:lineRule="auto"/>
        <w:tabs>
          <w:tab w:leader="none" w:pos="12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7"/>
          <w:szCs w:val="17"/>
          <w:color w:val="auto"/>
        </w:rPr>
      </w:pPr>
    </w:p>
    <w:p>
      <w:pPr>
        <w:ind w:left="1260" w:right="59" w:hanging="608"/>
        <w:spacing w:after="0" w:line="243" w:lineRule="auto"/>
        <w:tabs>
          <w:tab w:leader="none" w:pos="12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Arial" w:cs="Arial" w:eastAsia="Arial" w:hAnsi="Arial"/>
          <w:sz w:val="17"/>
          <w:szCs w:val="17"/>
          <w:color w:val="auto"/>
        </w:rPr>
      </w:pPr>
    </w:p>
    <w:p>
      <w:pPr>
        <w:jc w:val="both"/>
        <w:ind w:left="1260" w:right="59" w:hanging="608"/>
        <w:spacing w:after="0" w:line="247" w:lineRule="auto"/>
        <w:tabs>
          <w:tab w:leader="none" w:pos="12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1260" w:right="299" w:hanging="608"/>
        <w:spacing w:after="0" w:line="243" w:lineRule="auto"/>
        <w:tabs>
          <w:tab w:leader="none" w:pos="12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7"/>
          <w:szCs w:val="17"/>
          <w:color w:val="auto"/>
        </w:rPr>
      </w:pPr>
    </w:p>
    <w:p>
      <w:pPr>
        <w:ind w:left="660" w:right="119" w:hanging="621"/>
        <w:spacing w:after="0" w:line="247"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7"/>
          <w:szCs w:val="17"/>
          <w:color w:val="auto"/>
        </w:rPr>
      </w:pPr>
    </w:p>
    <w:p>
      <w:pPr>
        <w:ind w:left="1260" w:right="199" w:hanging="608"/>
        <w:spacing w:after="0" w:line="247" w:lineRule="auto"/>
        <w:tabs>
          <w:tab w:leader="none" w:pos="12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7"/>
          <w:szCs w:val="17"/>
          <w:color w:val="auto"/>
        </w:rPr>
      </w:pPr>
    </w:p>
    <w:p>
      <w:pPr>
        <w:ind w:left="1260" w:right="139" w:hanging="608"/>
        <w:spacing w:after="0" w:line="260" w:lineRule="auto"/>
        <w:tabs>
          <w:tab w:leader="none" w:pos="12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June 9, 2021</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30422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042285" cy="82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David N. Makuen</w:t>
      </w:r>
    </w:p>
    <w:p>
      <w:pPr>
        <w:ind w:left="40"/>
        <w:spacing w:after="0" w:line="235" w:lineRule="auto"/>
        <w:rPr>
          <w:sz w:val="20"/>
          <w:szCs w:val="20"/>
          <w:color w:val="auto"/>
        </w:rPr>
      </w:pPr>
      <w:r>
        <w:rPr>
          <w:rFonts w:ascii="Arial" w:cs="Arial" w:eastAsia="Arial" w:hAnsi="Arial"/>
          <w:sz w:val="17"/>
          <w:szCs w:val="17"/>
          <w:color w:val="auto"/>
        </w:rPr>
        <w:t>Chief Executive Officer</w:t>
      </w:r>
    </w:p>
    <w:p>
      <w:pPr>
        <w:ind w:left="4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442595</wp:posOffset>
            </wp:positionV>
            <wp:extent cx="5662930"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5" w:name="page36"/>
    <w:bookmarkEnd w:id="35"/>
    <w:p>
      <w:pPr>
        <w:jc w:val="right"/>
        <w:ind w:right="59"/>
        <w:spacing w:after="0"/>
        <w:rPr>
          <w:sz w:val="20"/>
          <w:szCs w:val="20"/>
          <w:color w:val="auto"/>
        </w:rPr>
      </w:pPr>
      <w:r>
        <w:rPr>
          <w:rFonts w:ascii="Arial" w:cs="Arial" w:eastAsia="Arial" w:hAnsi="Arial"/>
          <w:sz w:val="17"/>
          <w:szCs w:val="17"/>
          <w:b w:val="1"/>
          <w:bCs w:val="1"/>
          <w:color w:val="auto"/>
        </w:rPr>
        <w:t>Exhibit 31.2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 Pamela J. Edwards, certify that:</w:t>
      </w:r>
    </w:p>
    <w:p>
      <w:pPr>
        <w:spacing w:after="0" w:line="188" w:lineRule="exact"/>
        <w:rPr>
          <w:sz w:val="20"/>
          <w:szCs w:val="20"/>
          <w:color w:val="auto"/>
        </w:rPr>
      </w:pPr>
    </w:p>
    <w:p>
      <w:pPr>
        <w:ind w:left="660" w:hanging="621"/>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May 1, 2021 of Citi Trends, Inc.;</w:t>
      </w:r>
    </w:p>
    <w:p>
      <w:pPr>
        <w:spacing w:after="0" w:line="187" w:lineRule="exact"/>
        <w:rPr>
          <w:rFonts w:ascii="Arial" w:cs="Arial" w:eastAsia="Arial" w:hAnsi="Arial"/>
          <w:sz w:val="17"/>
          <w:szCs w:val="17"/>
          <w:color w:val="auto"/>
        </w:rPr>
      </w:pPr>
    </w:p>
    <w:p>
      <w:pPr>
        <w:jc w:val="both"/>
        <w:ind w:left="660" w:right="299" w:hanging="621"/>
        <w:spacing w:after="0" w:line="247"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7"/>
          <w:szCs w:val="17"/>
          <w:color w:val="auto"/>
        </w:rPr>
      </w:pPr>
    </w:p>
    <w:p>
      <w:pPr>
        <w:ind w:left="660" w:right="79" w:hanging="621"/>
        <w:spacing w:after="0" w:line="247"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7"/>
          <w:szCs w:val="17"/>
          <w:color w:val="auto"/>
        </w:rPr>
      </w:pPr>
    </w:p>
    <w:p>
      <w:pPr>
        <w:ind w:left="660" w:right="179" w:hanging="621"/>
        <w:spacing w:after="0" w:line="270"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16"/>
          <w:szCs w:val="16"/>
          <w:color w:val="auto"/>
        </w:rPr>
      </w:pPr>
    </w:p>
    <w:p>
      <w:pPr>
        <w:ind w:left="1260" w:right="219" w:hanging="608"/>
        <w:spacing w:after="0" w:line="243" w:lineRule="auto"/>
        <w:tabs>
          <w:tab w:leader="none" w:pos="12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7"/>
          <w:szCs w:val="17"/>
          <w:color w:val="auto"/>
        </w:rPr>
      </w:pPr>
    </w:p>
    <w:p>
      <w:pPr>
        <w:ind w:left="1260" w:right="59" w:hanging="608"/>
        <w:spacing w:after="0" w:line="243" w:lineRule="auto"/>
        <w:tabs>
          <w:tab w:leader="none" w:pos="12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Arial" w:cs="Arial" w:eastAsia="Arial" w:hAnsi="Arial"/>
          <w:sz w:val="17"/>
          <w:szCs w:val="17"/>
          <w:color w:val="auto"/>
        </w:rPr>
      </w:pPr>
    </w:p>
    <w:p>
      <w:pPr>
        <w:jc w:val="both"/>
        <w:ind w:left="1260" w:right="59" w:hanging="608"/>
        <w:spacing w:after="0" w:line="247" w:lineRule="auto"/>
        <w:tabs>
          <w:tab w:leader="none" w:pos="12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1260" w:right="299" w:hanging="608"/>
        <w:spacing w:after="0" w:line="243" w:lineRule="auto"/>
        <w:tabs>
          <w:tab w:leader="none" w:pos="12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7"/>
          <w:szCs w:val="17"/>
          <w:color w:val="auto"/>
        </w:rPr>
      </w:pPr>
    </w:p>
    <w:p>
      <w:pPr>
        <w:ind w:left="660" w:right="119" w:hanging="621"/>
        <w:spacing w:after="0" w:line="247"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7"/>
          <w:szCs w:val="17"/>
          <w:color w:val="auto"/>
        </w:rPr>
      </w:pPr>
    </w:p>
    <w:p>
      <w:pPr>
        <w:ind w:left="1260" w:right="199" w:hanging="608"/>
        <w:spacing w:after="0" w:line="247" w:lineRule="auto"/>
        <w:tabs>
          <w:tab w:leader="none" w:pos="12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7"/>
          <w:szCs w:val="17"/>
          <w:color w:val="auto"/>
        </w:rPr>
      </w:pPr>
    </w:p>
    <w:p>
      <w:pPr>
        <w:ind w:left="1260" w:right="139" w:hanging="608"/>
        <w:spacing w:after="0" w:line="260" w:lineRule="auto"/>
        <w:tabs>
          <w:tab w:leader="none" w:pos="12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June 9, 2021</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color w:val="231F20"/>
        </w:rPr>
        <w:t>/s/ Pamela J.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13335</wp:posOffset>
            </wp:positionV>
            <wp:extent cx="30422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042285" cy="825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color w:val="231F20"/>
        </w:rPr>
        <w:t>Pamela J. Edwards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231F20"/>
        </w:rPr>
        <w:t>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231F20"/>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452755</wp:posOffset>
            </wp:positionV>
            <wp:extent cx="5662930"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6" w:name="page37"/>
    <w:bookmarkEnd w:id="36"/>
    <w:p>
      <w:pPr>
        <w:jc w:val="right"/>
        <w:ind w:right="59"/>
        <w:spacing w:after="0"/>
        <w:rPr>
          <w:sz w:val="20"/>
          <w:szCs w:val="20"/>
          <w:color w:val="auto"/>
        </w:rPr>
      </w:pPr>
      <w:r>
        <w:rPr>
          <w:rFonts w:ascii="Arial" w:cs="Arial" w:eastAsia="Arial" w:hAnsi="Arial"/>
          <w:sz w:val="17"/>
          <w:szCs w:val="17"/>
          <w:b w:val="1"/>
          <w:bCs w:val="1"/>
          <w:color w:val="auto"/>
        </w:rPr>
        <w:t>Exhibit 32.1</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7"/>
          <w:szCs w:val="17"/>
          <w:color w:val="auto"/>
        </w:rPr>
        <w:t>Certifications pursuant to Section 906 of the Sarbanes-Oxley Act of 2002 (18 U.S.C. § 1350, as adopted).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7"/>
          <w:szCs w:val="17"/>
          <w:color w:val="auto"/>
        </w:rPr>
        <w:t>I, David N. Makuen, Chief Executive Officer of Citi Trends, Inc.,</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7"/>
          <w:szCs w:val="17"/>
          <w:color w:val="auto"/>
        </w:rPr>
        <w:t>I, Pamela J. Edwards, Chief Financial Officer of Citi Trends, Inc., certify that:</w:t>
      </w:r>
    </w:p>
    <w:p>
      <w:pPr>
        <w:spacing w:after="0" w:line="188" w:lineRule="exact"/>
        <w:rPr>
          <w:sz w:val="20"/>
          <w:szCs w:val="20"/>
          <w:color w:val="auto"/>
        </w:rPr>
      </w:pPr>
    </w:p>
    <w:p>
      <w:pPr>
        <w:ind w:left="200" w:hanging="161"/>
        <w:spacing w:after="0"/>
        <w:tabs>
          <w:tab w:leader="none" w:pos="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reviewed this quarterly report on Form 10-Q of Citi Trends, Inc. for the period ended May 1, 2021;</w:t>
      </w:r>
    </w:p>
    <w:p>
      <w:pPr>
        <w:spacing w:after="0" w:line="187" w:lineRule="exact"/>
        <w:rPr>
          <w:rFonts w:ascii="Arial" w:cs="Arial" w:eastAsia="Arial" w:hAnsi="Arial"/>
          <w:sz w:val="17"/>
          <w:szCs w:val="17"/>
          <w:color w:val="auto"/>
        </w:rPr>
      </w:pPr>
    </w:p>
    <w:p>
      <w:pPr>
        <w:ind w:left="40" w:right="419" w:hanging="1"/>
        <w:spacing w:after="0" w:line="260" w:lineRule="auto"/>
        <w:tabs>
          <w:tab w:leader="none" w:pos="21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our knowledge, this quarterly report fully complies with the requirements of Section 13(a) or Section 15(d) of the Securities Exchange Act of 1934, as amended; and</w:t>
      </w:r>
    </w:p>
    <w:p>
      <w:pPr>
        <w:spacing w:after="0" w:line="151" w:lineRule="exact"/>
        <w:rPr>
          <w:rFonts w:ascii="Arial" w:cs="Arial" w:eastAsia="Arial" w:hAnsi="Arial"/>
          <w:sz w:val="17"/>
          <w:szCs w:val="17"/>
          <w:color w:val="auto"/>
        </w:rPr>
      </w:pPr>
    </w:p>
    <w:p>
      <w:pPr>
        <w:ind w:left="40" w:right="279" w:hanging="1"/>
        <w:spacing w:after="0" w:line="247" w:lineRule="auto"/>
        <w:tabs>
          <w:tab w:leader="none" w:pos="21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June 9, 2021</w:t>
      </w:r>
    </w:p>
    <w:p>
      <w:pPr>
        <w:spacing w:after="0" w:line="379"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5715</wp:posOffset>
            </wp:positionV>
            <wp:extent cx="29857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985770"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7"/>
          <w:szCs w:val="17"/>
          <w:color w:val="auto"/>
        </w:rPr>
        <w:t>David N. Makuen</w:t>
      </w:r>
    </w:p>
    <w:p>
      <w:pPr>
        <w:ind w:left="4260"/>
        <w:spacing w:after="0" w:line="235" w:lineRule="auto"/>
        <w:rPr>
          <w:sz w:val="20"/>
          <w:szCs w:val="20"/>
          <w:color w:val="auto"/>
        </w:rPr>
      </w:pPr>
      <w:r>
        <w:rPr>
          <w:rFonts w:ascii="Arial" w:cs="Arial" w:eastAsia="Arial" w:hAnsi="Arial"/>
          <w:sz w:val="17"/>
          <w:szCs w:val="17"/>
          <w:color w:val="auto"/>
        </w:rPr>
        <w:t>Chief Executive Officer</w:t>
      </w:r>
    </w:p>
    <w:p>
      <w:pPr>
        <w:ind w:left="4260"/>
        <w:spacing w:after="0"/>
        <w:rPr>
          <w:sz w:val="20"/>
          <w:szCs w:val="20"/>
          <w:color w:val="auto"/>
        </w:rPr>
      </w:pPr>
      <w:r>
        <w:rPr>
          <w:rFonts w:ascii="Arial" w:cs="Arial" w:eastAsia="Arial" w:hAnsi="Arial"/>
          <w:sz w:val="17"/>
          <w:szCs w:val="17"/>
          <w:color w:val="auto"/>
        </w:rPr>
        <w:t>(Principal Executive Officer)</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June 9, 2021</w:t>
      </w:r>
    </w:p>
    <w:p>
      <w:pPr>
        <w:spacing w:after="0" w:line="379"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/s/ Pamela J.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5715</wp:posOffset>
            </wp:positionV>
            <wp:extent cx="29857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985770" cy="8255"/>
                    </a:xfrm>
                    <a:prstGeom prst="rect">
                      <a:avLst/>
                    </a:prstGeom>
                    <a:noFill/>
                  </pic:spPr>
                </pic:pic>
              </a:graphicData>
            </a:graphic>
          </wp:anchor>
        </w:drawing>
      </w:r>
    </w:p>
    <w:p>
      <w:pPr>
        <w:ind w:left="4260"/>
        <w:spacing w:after="0"/>
        <w:rPr>
          <w:sz w:val="20"/>
          <w:szCs w:val="20"/>
          <w:color w:val="auto"/>
        </w:rPr>
      </w:pPr>
      <w:r>
        <w:rPr>
          <w:rFonts w:ascii="Arial" w:cs="Arial" w:eastAsia="Arial" w:hAnsi="Arial"/>
          <w:sz w:val="17"/>
          <w:szCs w:val="17"/>
          <w:color w:val="auto"/>
        </w:rPr>
        <w:t>Pamela J. Edwards</w:t>
      </w:r>
    </w:p>
    <w:p>
      <w:pPr>
        <w:ind w:left="4260"/>
        <w:spacing w:after="0" w:line="235" w:lineRule="auto"/>
        <w:rPr>
          <w:sz w:val="20"/>
          <w:szCs w:val="20"/>
          <w:color w:val="auto"/>
        </w:rPr>
      </w:pPr>
      <w:r>
        <w:rPr>
          <w:rFonts w:ascii="Arial" w:cs="Arial" w:eastAsia="Arial" w:hAnsi="Arial"/>
          <w:sz w:val="17"/>
          <w:szCs w:val="17"/>
          <w:color w:val="auto"/>
        </w:rPr>
        <w:t>Chief Financial Officer</w:t>
      </w:r>
    </w:p>
    <w:p>
      <w:pPr>
        <w:ind w:left="4260"/>
        <w:spacing w:after="0"/>
        <w:rPr>
          <w:sz w:val="20"/>
          <w:szCs w:val="20"/>
          <w:color w:val="auto"/>
        </w:rPr>
      </w:pPr>
      <w:r>
        <w:rPr>
          <w:rFonts w:ascii="Arial" w:cs="Arial" w:eastAsia="Arial" w:hAnsi="Arial"/>
          <w:sz w:val="17"/>
          <w:szCs w:val="17"/>
          <w:color w:val="auto"/>
        </w:rPr>
        <w:t>(Principal Financial Officer)</w:t>
      </w:r>
    </w:p>
    <w:p>
      <w:pPr>
        <w:spacing w:after="0" w:line="365" w:lineRule="exact"/>
        <w:rPr>
          <w:sz w:val="20"/>
          <w:szCs w:val="20"/>
          <w:color w:val="auto"/>
        </w:rPr>
      </w:pPr>
    </w:p>
    <w:p>
      <w:pPr>
        <w:ind w:left="40" w:right="219"/>
        <w:spacing w:after="0" w:line="260" w:lineRule="auto"/>
        <w:rPr>
          <w:sz w:val="20"/>
          <w:szCs w:val="20"/>
          <w:color w:val="auto"/>
        </w:rPr>
      </w:pPr>
      <w:r>
        <w:rPr>
          <w:rFonts w:ascii="Arial" w:cs="Arial" w:eastAsia="Arial" w:hAnsi="Arial"/>
          <w:sz w:val="17"/>
          <w:szCs w:val="17"/>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306705</wp:posOffset>
            </wp:positionV>
            <wp:extent cx="5662930"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662930" cy="24130"/>
                    </a:xfrm>
                    <a:prstGeom prst="rect">
                      <a:avLst/>
                    </a:prstGeom>
                    <a:noFill/>
                  </pic:spPr>
                </pic:pic>
              </a:graphicData>
            </a:graphic>
          </wp:anchor>
        </w:drawing>
      </w:r>
    </w:p>
    <w:sectPr>
      <w:pgSz w:w="11900" w:h="16838" w:orient="portrait"/>
      <w:cols w:equalWidth="0" w:num="1">
        <w:col w:w="9019"/>
      </w:cols>
      <w:pgMar w:left="144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6"/>
    </w:lvl>
  </w:abstractNum>
  <w:abstractNum w:abstractNumId="7">
    <w:nsid w:val="75A2A8D4"/>
    <w:multiLevelType w:val="hybridMultilevel"/>
    <w:lvl w:ilvl="0">
      <w:lvlJc w:val="left"/>
      <w:lvlText w:val="%1."/>
      <w:numFmt w:val="decimal"/>
      <w:start w:val="7"/>
    </w:lvl>
  </w:abstractNum>
  <w:abstractNum w:abstractNumId="8">
    <w:nsid w:val="8EDBDAB"/>
    <w:multiLevelType w:val="hybridMultilevel"/>
    <w:lvl w:ilvl="0">
      <w:lvlJc w:val="left"/>
      <w:lvlText w:val="%1."/>
      <w:numFmt w:val="decimal"/>
      <w:start w:val="8"/>
    </w:lvl>
  </w:abstractNum>
  <w:abstractNum w:abstractNumId="9">
    <w:nsid w:val="79838CB2"/>
    <w:multiLevelType w:val="hybridMultilevel"/>
    <w:lvl w:ilvl="0">
      <w:lvlJc w:val="left"/>
      <w:lvlText w:val="%1."/>
      <w:numFmt w:val="decimal"/>
      <w:start w:val="9"/>
    </w:lvl>
  </w:abstractNum>
  <w:abstractNum w:abstractNumId="10">
    <w:nsid w:val="4353D0CD"/>
    <w:multiLevelType w:val="hybridMultilevel"/>
    <w:lvl w:ilvl="0">
      <w:lvlJc w:val="left"/>
      <w:lvlText w:val="%1."/>
      <w:numFmt w:val="decimal"/>
      <w:start w:val="10"/>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01"/>
    </w:lvl>
  </w:abstractNum>
  <w:abstractNum w:abstractNumId="14">
    <w:nsid w:val="71F32454"/>
    <w:multiLevelType w:val="hybridMultilevel"/>
    <w:lvl w:ilvl="0">
      <w:lvlJc w:val="left"/>
      <w:lvlText w:val="*"/>
      <w:numFmt w:val="bullet"/>
      <w:start w:val="1"/>
    </w:lvl>
    <w:lvl w:ilvl="1">
      <w:lvlJc w:val="left"/>
      <w:lvlText w:val="%2"/>
      <w:numFmt w:val="decimal"/>
      <w:start w:val="104"/>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lvl w:ilvl="1">
      <w:lvlJc w:val="left"/>
      <w:lvlText w:val="(%2)"/>
      <w:numFmt w:val="lowerLetter"/>
      <w:start w:val="1"/>
    </w:lvl>
  </w:abstractNum>
  <w:abstractNum w:abstractNumId="17">
    <w:nsid w:val="2901D82"/>
    <w:multiLevelType w:val="hybridMultilevel"/>
    <w:lvl w:ilvl="0">
      <w:lvlJc w:val="left"/>
      <w:lvlText w:val="(%1)"/>
      <w:numFmt w:val="lowerLetter"/>
      <w:start w:val="2"/>
    </w:lvl>
  </w:abstractNum>
  <w:abstractNum w:abstractNumId="18">
    <w:nsid w:val="3A95F874"/>
    <w:multiLevelType w:val="hybridMultilevel"/>
    <w:lvl w:ilvl="0">
      <w:lvlJc w:val="left"/>
      <w:lvlText w:val="%1"/>
      <w:numFmt w:val="decimal"/>
      <w:start w:val="1"/>
    </w:lvl>
    <w:lvl w:ilvl="1">
      <w:lvlJc w:val="left"/>
      <w:lvlText w:val="(%2)"/>
      <w:numFmt w:val="lowerLetter"/>
      <w:start w:val="2"/>
    </w:lvl>
  </w:abstractNum>
  <w:abstractNum w:abstractNumId="19">
    <w:nsid w:val="8138641"/>
    <w:multiLevelType w:val="hybridMultilevel"/>
    <w:lvl w:ilvl="0">
      <w:lvlJc w:val="left"/>
      <w:lvlText w:val="(%1)"/>
      <w:numFmt w:val="decimal"/>
      <w:start w:val="2"/>
    </w:lvl>
    <w:lvl w:ilvl="1">
      <w:lvlJc w:val="left"/>
      <w:lvlText w:val="(%2)"/>
      <w:numFmt w:val="lowerLetter"/>
      <w:start w:val="4"/>
    </w:lvl>
  </w:abstractNum>
  <w:abstractNum w:abstractNumId="20">
    <w:nsid w:val="1E7FF521"/>
    <w:multiLevelType w:val="hybridMultilevel"/>
    <w:lvl w:ilvl="0">
      <w:lvlJc w:val="left"/>
      <w:lvlText w:val="%1"/>
      <w:numFmt w:val="decimal"/>
      <w:start w:val="1"/>
    </w:lvl>
    <w:lvl w:ilvl="1">
      <w:lvlJc w:val="left"/>
      <w:lvlText w:val="(%2)"/>
      <w:numFmt w:val="lowerLetter"/>
      <w:start w:val="5"/>
    </w:lvl>
  </w:abstractNum>
  <w:abstractNum w:abstractNumId="21">
    <w:nsid w:val="7C3DBD3D"/>
    <w:multiLevelType w:val="hybridMultilevel"/>
    <w:lvl w:ilvl="0">
      <w:lvlJc w:val="left"/>
      <w:lvlText w:val="%1."/>
      <w:numFmt w:val="decimal"/>
      <w:start w:val="4"/>
    </w:lvl>
    <w:lvl w:ilvl="1">
      <w:lvlJc w:val="left"/>
      <w:lvlText w:val="%2"/>
      <w:numFmt w:val="lowerLetter"/>
      <w:start w:val="1"/>
    </w:lvl>
  </w:abstractNum>
  <w:abstractNum w:abstractNumId="22">
    <w:nsid w:val="737B8DDC"/>
    <w:multiLevelType w:val="hybridMultilevel"/>
    <w:lvl w:ilvl="0">
      <w:lvlJc w:val="left"/>
      <w:lvlText w:val="%1."/>
      <w:numFmt w:val="decimal"/>
      <w:start w:val="5"/>
    </w:lvl>
  </w:abstractNum>
  <w:abstractNum w:abstractNumId="23">
    <w:nsid w:val="6CEAF087"/>
    <w:multiLevelType w:val="hybridMultilevel"/>
    <w:lvl w:ilvl="0">
      <w:lvlJc w:val="left"/>
      <w:lvlText w:val="%1."/>
      <w:numFmt w:val="decimal"/>
      <w:start w:val="6"/>
    </w:lvl>
  </w:abstractNum>
  <w:abstractNum w:abstractNumId="24">
    <w:nsid w:val="22221A70"/>
    <w:multiLevelType w:val="hybridMultilevel"/>
    <w:lvl w:ilvl="0">
      <w:lvlJc w:val="left"/>
      <w:lvlText w:val="%1."/>
      <w:numFmt w:val="decimal"/>
      <w:start w:val="7"/>
    </w:lvl>
  </w:abstractNum>
  <w:abstractNum w:abstractNumId="25">
    <w:nsid w:val="4516DDE9"/>
    <w:multiLevelType w:val="hybridMultilevel"/>
    <w:lvl w:ilvl="0">
      <w:lvlJc w:val="left"/>
      <w:lvlText w:val="%1."/>
      <w:numFmt w:val="decimal"/>
      <w:start w:val="8"/>
    </w:lvl>
    <w:lvl w:ilvl="1">
      <w:lvlJc w:val="left"/>
      <w:lvlText w:val="(%2)"/>
      <w:numFmt w:val="lowerLetter"/>
      <w:start w:val="1"/>
    </w:lvl>
  </w:abstractNum>
  <w:abstractNum w:abstractNumId="26">
    <w:nsid w:val="3006C83E"/>
    <w:multiLevelType w:val="hybridMultilevel"/>
    <w:lvl w:ilvl="0">
      <w:lvlJc w:val="left"/>
      <w:lvlText w:val="%1."/>
      <w:numFmt w:val="decimal"/>
      <w:start w:val="1"/>
    </w:lvl>
    <w:lvl w:ilvl="1">
      <w:lvlJc w:val="left"/>
      <w:lvlText w:val="(%2)"/>
      <w:numFmt w:val="lowerLetter"/>
      <w:start w:val="1"/>
    </w:lvl>
  </w:abstractNum>
  <w:abstractNum w:abstractNumId="27">
    <w:nsid w:val="614FD4A1"/>
    <w:multiLevelType w:val="hybridMultilevel"/>
    <w:lvl w:ilvl="0">
      <w:lvlJc w:val="left"/>
      <w:lvlText w:val="(%1)"/>
      <w:numFmt w:val="lowerLetter"/>
      <w:start w:val="2"/>
    </w:lvl>
  </w:abstractNum>
  <w:abstractNum w:abstractNumId="28">
    <w:nsid w:val="419AC241"/>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9">
    <w:nsid w:val="5577F8E1"/>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2"/>
    </w:lvl>
  </w:abstractNum>
  <w:abstractNum w:abstractNumId="30">
    <w:nsid w:val="440BADFC"/>
    <w:multiLevelType w:val="hybridMultilevel"/>
    <w:lvl w:ilvl="0">
      <w:lvlJc w:val="left"/>
      <w:lvlText w:val="%1"/>
      <w:numFmt w:val="lowerLetter"/>
      <w:start w:val="1"/>
    </w:lvl>
    <w:lvl w:ilvl="1">
      <w:lvlJc w:val="left"/>
      <w:lvlText w:val="(%2)"/>
      <w:numFmt w:val="lowerRoman"/>
      <w:start w:val="4"/>
    </w:lvl>
  </w:abstractNum>
  <w:abstractNum w:abstractNumId="31">
    <w:nsid w:val="5072367"/>
    <w:multiLevelType w:val="hybridMultilevel"/>
    <w:lvl w:ilvl="0">
      <w:lvlJc w:val="left"/>
      <w:lvlText w:val="(%1)"/>
      <w:numFmt w:val="lowerLetter"/>
      <w:start w:val="4"/>
    </w:lvl>
    <w:lvl w:ilvl="1">
      <w:lvlJc w:val="left"/>
      <w:lvlText w:val="%2"/>
      <w:numFmt w:val="lowerRoman"/>
      <w:start w:val="1"/>
    </w:lvl>
  </w:abstractNum>
  <w:abstractNum w:abstractNumId="32">
    <w:nsid w:val="3804823E"/>
    <w:multiLevelType w:val="hybridMultilevel"/>
    <w:lvl w:ilvl="0">
      <w:lvlJc w:val="left"/>
      <w:lvlText w:val="(%1)"/>
      <w:numFmt w:val="lowerLetter"/>
      <w:start w:val="5"/>
    </w:lvl>
    <w:lvl w:ilvl="1">
      <w:lvlJc w:val="left"/>
      <w:lvlText w:val="(%2)"/>
      <w:numFmt w:val="lowerRoman"/>
      <w:start w:val="1"/>
    </w:lvl>
  </w:abstractNum>
  <w:abstractNum w:abstractNumId="33">
    <w:nsid w:val="77465F01"/>
    <w:multiLevelType w:val="hybridMultilevel"/>
    <w:lvl w:ilvl="0">
      <w:lvlJc w:val="left"/>
      <w:lvlText w:val="%1."/>
      <w:numFmt w:val="decimal"/>
      <w:start w:val="2"/>
    </w:lvl>
  </w:abstractNum>
  <w:abstractNum w:abstractNumId="34">
    <w:nsid w:val="7724C67E"/>
    <w:multiLevelType w:val="hybridMultilevel"/>
    <w:lvl w:ilvl="0">
      <w:lvlJc w:val="left"/>
      <w:lvlText w:val="%1."/>
      <w:numFmt w:val="decimal"/>
      <w:start w:val="4"/>
    </w:lvl>
  </w:abstractNum>
  <w:abstractNum w:abstractNumId="35">
    <w:nsid w:val="5C482A97"/>
    <w:multiLevelType w:val="hybridMultilevel"/>
    <w:lvl w:ilvl="0">
      <w:lvlJc w:val="left"/>
      <w:lvlText w:val="%1."/>
      <w:numFmt w:val="decimal"/>
      <w:start w:val="8"/>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29" Type="http://schemas.openxmlformats.org/officeDocument/2006/relationships/hyperlink" Target="http://www.sec.gov/Archives/edgar/data/1318484/000110465918038871/a18-15022_1ex3d1.htm" TargetMode="External"/><Relationship Id="rId30" Type="http://schemas.openxmlformats.org/officeDocument/2006/relationships/hyperlink" Target="http://www.sec.gov/Archives/edgar/data/1318484/000155837020006617/ctrn-20200201ex1028693c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2021-06-09T09:04:12Z</dcterms:created>
  <dcterms:modified xsi:type="dcterms:W3CDTF">2021-06-09T09:04:12Z</dcterms:modified>
</cp:coreProperties>
</file>