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82" w:lineRule="exact"/>
        <w:rPr>
          <w:sz w:val="24"/>
          <w:szCs w:val="24"/>
          <w:color w:val="auto"/>
        </w:rPr>
      </w:pPr>
    </w:p>
    <w:p>
      <w:pPr>
        <w:ind w:left="660" w:hanging="401"/>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July 31, 2021</w:t>
      </w:r>
    </w:p>
    <w:p>
      <w:pPr>
        <w:spacing w:after="0" w:line="10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302" w:lineRule="exact"/>
        <w:rPr>
          <w:sz w:val="24"/>
          <w:szCs w:val="24"/>
          <w:color w:val="auto"/>
        </w:rPr>
      </w:pPr>
    </w:p>
    <w:p>
      <w:pPr>
        <w:ind w:left="3560" w:right="980" w:hanging="3301"/>
        <w:spacing w:after="0" w:line="457" w:lineRule="auto"/>
        <w:tabs>
          <w:tab w:leader="none" w:pos="66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377" w:lineRule="exact"/>
        <w:rPr>
          <w:sz w:val="24"/>
          <w:szCs w:val="24"/>
          <w:color w:val="auto"/>
        </w:rPr>
      </w:pPr>
    </w:p>
    <w:tbl>
      <w:tblPr>
        <w:tblLayout w:type="fixed"/>
        <w:tblInd w:w="1060" w:type="dxa"/>
        <w:tblCellMar>
          <w:top w:w="0" w:type="dxa"/>
          <w:left w:w="0" w:type="dxa"/>
          <w:bottom w:w="0" w:type="dxa"/>
          <w:right w:w="0" w:type="dxa"/>
        </w:tblCellMar>
      </w:tblPr>
      <w:tr>
        <w:trPr>
          <w:trHeight w:val="20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19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352"/>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209"/>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195"/>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59"/>
              <w:spacing w:after="0"/>
              <w:rPr>
                <w:sz w:val="20"/>
                <w:szCs w:val="20"/>
                <w:color w:val="auto"/>
              </w:rPr>
            </w:pPr>
            <w:r>
              <w:rPr>
                <w:rFonts w:ascii="Arial" w:cs="Arial" w:eastAsia="Arial" w:hAnsi="Arial"/>
                <w:sz w:val="16"/>
                <w:szCs w:val="16"/>
                <w:color w:val="auto"/>
              </w:rPr>
              <w:t>(Zip Code)</w:t>
            </w:r>
          </w:p>
        </w:tc>
      </w:tr>
    </w:tbl>
    <w:p>
      <w:pPr>
        <w:spacing w:after="0" w:line="96"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2" w:lineRule="exact"/>
        <w:rPr>
          <w:sz w:val="24"/>
          <w:szCs w:val="24"/>
          <w:color w:val="auto"/>
        </w:rPr>
      </w:pPr>
    </w:p>
    <w:tbl>
      <w:tblPr>
        <w:tblLayout w:type="fixed"/>
        <w:tblInd w:w="30" w:type="dxa"/>
        <w:tblCellMar>
          <w:top w:w="0" w:type="dxa"/>
          <w:left w:w="0" w:type="dxa"/>
          <w:bottom w:w="0" w:type="dxa"/>
          <w:right w:w="0" w:type="dxa"/>
        </w:tblCellMar>
      </w:tblPr>
      <w:tr>
        <w:trPr>
          <w:trHeight w:val="203"/>
        </w:trPr>
        <w:tc>
          <w:tcPr>
            <w:tcW w:w="288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40" w:type="dxa"/>
            <w:vAlign w:val="bottom"/>
            <w:tcBorders>
              <w:top w:val="single" w:sz="8" w:color="auto"/>
            </w:tcBorders>
          </w:tcPr>
          <w:p>
            <w:pPr>
              <w:spacing w:after="0"/>
              <w:rPr>
                <w:sz w:val="17"/>
                <w:szCs w:val="17"/>
                <w:color w:val="auto"/>
              </w:rPr>
            </w:pPr>
          </w:p>
        </w:tc>
        <w:tc>
          <w:tcPr>
            <w:tcW w:w="2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w:t>
            </w:r>
          </w:p>
        </w:tc>
        <w:tc>
          <w:tcPr>
            <w:tcW w:w="260" w:type="dxa"/>
            <w:vAlign w:val="bottom"/>
            <w:tcBorders>
              <w:top w:val="single" w:sz="8" w:color="auto"/>
            </w:tcBorders>
          </w:tcPr>
          <w:p>
            <w:pPr>
              <w:spacing w:after="0"/>
              <w:rPr>
                <w:sz w:val="17"/>
                <w:szCs w:val="17"/>
                <w:color w:val="auto"/>
              </w:rPr>
            </w:pP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120" w:type="dxa"/>
            <w:vAlign w:val="bottom"/>
            <w:tcBorders>
              <w:left w:val="single" w:sz="8" w:color="auto"/>
              <w:bottom w:val="single" w:sz="8" w:color="auto"/>
            </w:tcBorders>
            <w:gridSpan w:val="2"/>
          </w:tcPr>
          <w:p>
            <w:pPr>
              <w:jc w:val="center"/>
              <w:ind w:right="240"/>
              <w:spacing w:after="0" w:line="183" w:lineRule="exact"/>
              <w:rPr>
                <w:sz w:val="20"/>
                <w:szCs w:val="20"/>
                <w:color w:val="auto"/>
              </w:rPr>
            </w:pPr>
            <w:r>
              <w:rPr>
                <w:rFonts w:ascii="Arial" w:cs="Arial" w:eastAsia="Arial" w:hAnsi="Arial"/>
                <w:sz w:val="16"/>
                <w:szCs w:val="16"/>
                <w:color w:val="auto"/>
              </w:rPr>
              <w:t>Common Stock, $0.01 par value</w:t>
            </w:r>
          </w:p>
        </w:tc>
        <w:tc>
          <w:tcPr>
            <w:tcW w:w="2560" w:type="dxa"/>
            <w:vAlign w:val="bottom"/>
            <w:tcBorders>
              <w:bottom w:val="single" w:sz="8" w:color="auto"/>
            </w:tcBorders>
            <w:gridSpan w:val="2"/>
          </w:tcPr>
          <w:p>
            <w:pPr>
              <w:jc w:val="center"/>
              <w:ind w:right="260"/>
              <w:spacing w:after="0" w:line="183" w:lineRule="exact"/>
              <w:rPr>
                <w:sz w:val="20"/>
                <w:szCs w:val="20"/>
                <w:color w:val="auto"/>
              </w:rPr>
            </w:pPr>
            <w:r>
              <w:rPr>
                <w:rFonts w:ascii="Arial" w:cs="Arial" w:eastAsia="Arial" w:hAnsi="Arial"/>
                <w:sz w:val="16"/>
                <w:szCs w:val="16"/>
                <w:color w:val="auto"/>
              </w:rPr>
              <w:t>CTRN</w:t>
            </w:r>
          </w:p>
        </w:tc>
        <w:tc>
          <w:tcPr>
            <w:tcW w:w="42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96" w:lineRule="exact"/>
        <w:rPr>
          <w:sz w:val="24"/>
          <w:szCs w:val="24"/>
          <w:color w:val="auto"/>
        </w:rPr>
      </w:pPr>
    </w:p>
    <w:p>
      <w:pPr>
        <w:ind w:right="60"/>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ind w:right="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ind w:right="1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783" w:right="979" w:bottom="1440" w:gutter="0" w:footer="0" w:header="0"/>
        </w:sectPr>
      </w:pPr>
    </w:p>
    <w:p>
      <w:pPr>
        <w:spacing w:after="0" w:line="1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1" w:lineRule="exact"/>
        <w:rPr>
          <w:sz w:val="24"/>
          <w:szCs w:val="24"/>
          <w:color w:val="auto"/>
        </w:rPr>
      </w:pPr>
    </w:p>
    <w:p>
      <w:pPr>
        <w:sectPr>
          <w:pgSz w:w="11900" w:h="16838" w:orient="portrait"/>
          <w:cols w:equalWidth="0" w:num="3">
            <w:col w:w="2960" w:space="720"/>
            <w:col w:w="2140" w:space="720"/>
            <w:col w:w="3400"/>
          </w:cols>
          <w:pgMar w:left="980" w:top="783" w:right="97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sectPr>
          <w:pgSz w:w="11900" w:h="16838" w:orient="portrait"/>
          <w:cols w:equalWidth="0" w:num="2">
            <w:col w:w="5820" w:space="720"/>
            <w:col w:w="3400"/>
          </w:cols>
          <w:pgMar w:left="980" w:top="783" w:right="979" w:bottom="1440" w:gutter="0" w:footer="0" w:header="0"/>
          <w:type w:val="continuous"/>
        </w:sectPr>
      </w:pPr>
    </w:p>
    <w:p>
      <w:pPr>
        <w:ind w:right="78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760"/>
        <w:spacing w:after="0" w:line="27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16, 2021 the registrant had 9,076,697 outstanding shares of common stock, $0.01 par value per share</w:t>
      </w:r>
      <w:r>
        <w:rPr>
          <w:rFonts w:ascii="Arial" w:cs="Arial" w:eastAsia="Arial" w:hAnsi="Arial"/>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523875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146685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129540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40"/>
          </w:cols>
          <w:pgMar w:left="980" w:top="783"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00" w:type="dxa"/>
            <w:vAlign w:val="bottom"/>
            <w:gridSpan w:val="13"/>
          </w:tcPr>
          <w:p>
            <w:pPr>
              <w:jc w:val="center"/>
              <w:ind w:right="3180"/>
              <w:spacing w:after="0"/>
              <w:rPr>
                <w:sz w:val="20"/>
                <w:szCs w:val="20"/>
                <w:color w:val="auto"/>
              </w:rPr>
            </w:pPr>
            <w:r>
              <w:rPr>
                <w:rFonts w:ascii="Arial" w:cs="Arial" w:eastAsia="Arial" w:hAnsi="Arial"/>
                <w:sz w:val="16"/>
                <w:szCs w:val="16"/>
                <w:b w:val="1"/>
                <w:bCs w:val="1"/>
                <w:color w:val="auto"/>
              </w:rPr>
              <w:t>CITI TRENDS, INC.</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8"/>
          </w:tcPr>
          <w:p>
            <w:pPr>
              <w:jc w:val="center"/>
              <w:ind w:right="280"/>
              <w:spacing w:after="0" w:line="169" w:lineRule="exact"/>
              <w:rPr>
                <w:sz w:val="20"/>
                <w:szCs w:val="20"/>
                <w:color w:val="auto"/>
              </w:rPr>
            </w:pPr>
            <w:r>
              <w:rPr>
                <w:rFonts w:ascii="Arial" w:cs="Arial" w:eastAsia="Arial" w:hAnsi="Arial"/>
                <w:sz w:val="16"/>
                <w:szCs w:val="16"/>
                <w:b w:val="1"/>
                <w:bCs w:val="1"/>
                <w:color w:val="auto"/>
              </w:rPr>
              <w:t>FORM 10-Q</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w w:val="74"/>
              </w:rPr>
              <w:t>TABLE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4360" w:type="dxa"/>
            <w:vAlign w:val="bottom"/>
            <w:gridSpan w:val="10"/>
          </w:tcPr>
          <w:p>
            <w:pPr>
              <w:ind w:left="40"/>
              <w:spacing w:after="0" w:line="169" w:lineRule="exact"/>
              <w:rPr>
                <w:sz w:val="20"/>
                <w:szCs w:val="20"/>
                <w:color w:val="auto"/>
              </w:rPr>
            </w:pPr>
            <w:r>
              <w:rPr>
                <w:rFonts w:ascii="Arial" w:cs="Arial" w:eastAsia="Arial" w:hAnsi="Arial"/>
                <w:sz w:val="16"/>
                <w:szCs w:val="16"/>
                <w:b w:val="1"/>
                <w:bCs w:val="1"/>
                <w:color w:val="auto"/>
              </w:rPr>
              <w:t>OF CONTENTS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175"/>
        </w:trPr>
        <w:tc>
          <w:tcPr>
            <w:tcW w:w="520" w:type="dxa"/>
            <w:vAlign w:val="bottom"/>
            <w:tcBorders>
              <w:bottom w:val="single" w:sz="8" w:color="0000EE"/>
            </w:tcBorders>
            <w:gridSpan w:val="2"/>
          </w:tcPr>
          <w:p>
            <w:pPr>
              <w:spacing w:after="0" w:line="175" w:lineRule="exact"/>
              <w:rPr>
                <w:rFonts w:ascii="Arial" w:cs="Arial" w:eastAsia="Arial" w:hAnsi="Arial"/>
                <w:sz w:val="16"/>
                <w:szCs w:val="16"/>
                <w:color w:val="0000EE"/>
                <w:w w:val="96"/>
              </w:rPr>
            </w:pPr>
            <w:hyperlink w:anchor="page3">
              <w:r>
                <w:rPr>
                  <w:rFonts w:ascii="Arial" w:cs="Arial" w:eastAsia="Arial" w:hAnsi="Arial"/>
                  <w:sz w:val="16"/>
                  <w:szCs w:val="16"/>
                  <w:color w:val="0000EE"/>
                  <w:w w:val="96"/>
                </w:rPr>
                <w:t>PART I</w:t>
              </w:r>
            </w:hyperlink>
          </w:p>
        </w:tc>
        <w:tc>
          <w:tcPr>
            <w:tcW w:w="420" w:type="dxa"/>
            <w:vAlign w:val="bottom"/>
            <w:gridSpan w:val="2"/>
          </w:tcPr>
          <w:p>
            <w:pPr>
              <w:spacing w:after="0"/>
              <w:rPr>
                <w:sz w:val="15"/>
                <w:szCs w:val="15"/>
                <w:color w:val="auto"/>
              </w:rPr>
            </w:pPr>
          </w:p>
        </w:tc>
        <w:tc>
          <w:tcPr>
            <w:tcW w:w="2020" w:type="dxa"/>
            <w:vAlign w:val="bottom"/>
            <w:tcBorders>
              <w:bottom w:val="single" w:sz="8" w:color="0000EE"/>
            </w:tcBorders>
            <w:gridSpan w:val="8"/>
          </w:tcPr>
          <w:p>
            <w:pPr>
              <w:spacing w:after="0" w:line="175" w:lineRule="exact"/>
              <w:rPr>
                <w:rFonts w:ascii="Arial" w:cs="Arial" w:eastAsia="Arial" w:hAnsi="Arial"/>
                <w:sz w:val="16"/>
                <w:szCs w:val="16"/>
                <w:color w:val="0000EE"/>
                <w:w w:val="99"/>
              </w:rPr>
            </w:pPr>
            <w:hyperlink w:anchor="page3">
              <w:r>
                <w:rPr>
                  <w:rFonts w:ascii="Arial" w:cs="Arial" w:eastAsia="Arial" w:hAnsi="Arial"/>
                  <w:sz w:val="16"/>
                  <w:szCs w:val="16"/>
                  <w:color w:val="0000EE"/>
                  <w:w w:val="99"/>
                </w:rPr>
                <w:t>FINANCIAL INFORMATION</w:t>
              </w:r>
            </w:hyperlink>
          </w:p>
        </w:tc>
        <w:tc>
          <w:tcPr>
            <w:tcW w:w="604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3">
              <w:r>
                <w:rPr>
                  <w:rFonts w:ascii="Arial" w:cs="Arial" w:eastAsia="Arial" w:hAnsi="Arial"/>
                  <w:sz w:val="16"/>
                  <w:szCs w:val="16"/>
                  <w:color w:val="0000EE"/>
                  <w:w w:val="98"/>
                </w:rPr>
                <w:t>Item 1</w:t>
              </w:r>
            </w:hyperlink>
          </w:p>
        </w:tc>
        <w:tc>
          <w:tcPr>
            <w:tcW w:w="480" w:type="dxa"/>
            <w:vAlign w:val="bottom"/>
            <w:gridSpan w:val="3"/>
          </w:tcPr>
          <w:p>
            <w:pPr>
              <w:spacing w:after="0"/>
              <w:rPr>
                <w:sz w:val="24"/>
                <w:szCs w:val="24"/>
                <w:color w:val="auto"/>
              </w:rPr>
            </w:pPr>
          </w:p>
        </w:tc>
        <w:tc>
          <w:tcPr>
            <w:tcW w:w="2380" w:type="dxa"/>
            <w:vAlign w:val="bottom"/>
            <w:tcBorders>
              <w:bottom w:val="single" w:sz="8" w:color="0000EE"/>
            </w:tcBorders>
            <w:gridSpan w:val="10"/>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568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w:t>
              </w:r>
            </w:hyperlink>
          </w:p>
        </w:tc>
        <w:tc>
          <w:tcPr>
            <w:tcW w:w="506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Operations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tcBorders>
              <w:bottom w:val="single" w:sz="8" w:color="0000EE"/>
            </w:tcBorders>
            <w:gridSpan w:val="16"/>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Cash Flows</w:t>
              </w:r>
            </w:hyperlink>
          </w:p>
        </w:tc>
        <w:tc>
          <w:tcPr>
            <w:tcW w:w="430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Stockholders’ Equity</w:t>
              </w:r>
            </w:hyperlink>
          </w:p>
        </w:tc>
        <w:tc>
          <w:tcPr>
            <w:tcW w:w="368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00" w:type="dxa"/>
            <w:vAlign w:val="bottom"/>
            <w:tcBorders>
              <w:bottom w:val="single" w:sz="8" w:color="0000EE"/>
            </w:tcBorders>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the Condensed Consolidated Financial Statements</w:t>
              </w:r>
            </w:hyperlink>
          </w:p>
        </w:tc>
        <w:tc>
          <w:tcPr>
            <w:tcW w:w="376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12">
              <w:r>
                <w:rPr>
                  <w:rFonts w:ascii="Arial" w:cs="Arial" w:eastAsia="Arial" w:hAnsi="Arial"/>
                  <w:sz w:val="16"/>
                  <w:szCs w:val="16"/>
                  <w:color w:val="0000EE"/>
                  <w:w w:val="98"/>
                </w:rPr>
                <w:t>Item 2</w:t>
              </w:r>
            </w:hyperlink>
          </w:p>
        </w:tc>
        <w:tc>
          <w:tcPr>
            <w:tcW w:w="480" w:type="dxa"/>
            <w:vAlign w:val="bottom"/>
            <w:gridSpan w:val="3"/>
          </w:tcPr>
          <w:p>
            <w:pPr>
              <w:spacing w:after="0"/>
              <w:rPr>
                <w:sz w:val="24"/>
                <w:szCs w:val="24"/>
                <w:color w:val="auto"/>
              </w:rPr>
            </w:pPr>
          </w:p>
        </w:tc>
        <w:tc>
          <w:tcPr>
            <w:tcW w:w="6380" w:type="dxa"/>
            <w:vAlign w:val="bottom"/>
            <w:tcBorders>
              <w:bottom w:val="single" w:sz="8" w:color="0000EE"/>
            </w:tcBorders>
            <w:gridSpan w:val="24"/>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Management’s Discussion and Analysis of Financial Condition and Results of Operations</w:t>
              </w:r>
            </w:hyperlink>
          </w:p>
        </w:tc>
        <w:tc>
          <w:tcPr>
            <w:tcW w:w="1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6">
              <w:r>
                <w:rPr>
                  <w:rFonts w:ascii="Arial" w:cs="Arial" w:eastAsia="Arial" w:hAnsi="Arial"/>
                  <w:sz w:val="16"/>
                  <w:szCs w:val="16"/>
                  <w:color w:val="0000EE"/>
                  <w:w w:val="98"/>
                </w:rPr>
                <w:t>Item 3</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Quantitative and Qualitative Disclosures About Market Risk</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16">
              <w:r>
                <w:rPr>
                  <w:rFonts w:ascii="Arial" w:cs="Arial" w:eastAsia="Arial" w:hAnsi="Arial"/>
                  <w:sz w:val="16"/>
                  <w:szCs w:val="16"/>
                  <w:color w:val="0000EE"/>
                  <w:w w:val="98"/>
                </w:rPr>
                <w:t>Item 4</w:t>
              </w:r>
            </w:hyperlink>
          </w:p>
        </w:tc>
        <w:tc>
          <w:tcPr>
            <w:tcW w:w="480" w:type="dxa"/>
            <w:vAlign w:val="bottom"/>
            <w:gridSpan w:val="3"/>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Controls and Procedures</w:t>
              </w:r>
            </w:hyperlink>
          </w:p>
        </w:tc>
        <w:tc>
          <w:tcPr>
            <w:tcW w:w="2440" w:type="dxa"/>
            <w:vAlign w:val="bottom"/>
            <w:tcBorders>
              <w:top w:val="single" w:sz="8" w:color="0000EE"/>
            </w:tcBorders>
            <w:gridSpan w:val="10"/>
          </w:tcPr>
          <w:p>
            <w:pPr>
              <w:spacing w:after="0"/>
              <w:rPr>
                <w:sz w:val="24"/>
                <w:szCs w:val="24"/>
                <w:color w:val="auto"/>
              </w:rPr>
            </w:pPr>
          </w:p>
        </w:tc>
        <w:tc>
          <w:tcPr>
            <w:tcW w:w="3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412"/>
        </w:trPr>
        <w:tc>
          <w:tcPr>
            <w:tcW w:w="56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17">
              <w:r>
                <w:rPr>
                  <w:rFonts w:ascii="Arial" w:cs="Arial" w:eastAsia="Arial" w:hAnsi="Arial"/>
                  <w:sz w:val="16"/>
                  <w:szCs w:val="16"/>
                  <w:color w:val="0000EE"/>
                  <w:w w:val="96"/>
                </w:rPr>
                <w:t>PART II</w:t>
              </w:r>
            </w:hyperlink>
          </w:p>
        </w:tc>
        <w:tc>
          <w:tcPr>
            <w:tcW w:w="380" w:type="dxa"/>
            <w:vAlign w:val="bottom"/>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w w:val="99"/>
              </w:rPr>
            </w:pPr>
            <w:hyperlink w:anchor="page17">
              <w:r>
                <w:rPr>
                  <w:rFonts w:ascii="Arial" w:cs="Arial" w:eastAsia="Arial" w:hAnsi="Arial"/>
                  <w:sz w:val="16"/>
                  <w:szCs w:val="16"/>
                  <w:color w:val="0000EE"/>
                  <w:w w:val="99"/>
                </w:rPr>
                <w:t>OTHER INFORMATION</w:t>
              </w:r>
            </w:hyperlink>
          </w:p>
        </w:tc>
        <w:tc>
          <w:tcPr>
            <w:tcW w:w="6320" w:type="dxa"/>
            <w:vAlign w:val="bottom"/>
            <w:gridSpan w:val="19"/>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1</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4"/>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Item 1A</w:t>
              </w:r>
            </w:hyperlink>
          </w:p>
        </w:tc>
        <w:tc>
          <w:tcPr>
            <w:tcW w:w="806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Risk Factors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60" w:type="dxa"/>
            <w:vAlign w:val="bottom"/>
            <w:gridSpan w:val="10"/>
          </w:tcPr>
          <w:p>
            <w:pPr>
              <w:spacing w:after="0" w:line="20" w:lineRule="exact"/>
              <w:rPr>
                <w:sz w:val="1"/>
                <w:szCs w:val="1"/>
                <w:color w:val="auto"/>
              </w:rPr>
            </w:pPr>
          </w:p>
        </w:tc>
        <w:tc>
          <w:tcPr>
            <w:tcW w:w="37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2</w:t>
              </w:r>
            </w:hyperlink>
          </w:p>
        </w:tc>
        <w:tc>
          <w:tcPr>
            <w:tcW w:w="10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3</w:t>
              </w:r>
            </w:hyperlink>
          </w:p>
        </w:tc>
        <w:tc>
          <w:tcPr>
            <w:tcW w:w="480" w:type="dxa"/>
            <w:vAlign w:val="bottom"/>
            <w:gridSpan w:val="3"/>
          </w:tcPr>
          <w:p>
            <w:pPr>
              <w:spacing w:after="0"/>
              <w:rPr>
                <w:sz w:val="24"/>
                <w:szCs w:val="24"/>
                <w:color w:val="auto"/>
              </w:rPr>
            </w:pPr>
          </w:p>
        </w:tc>
        <w:tc>
          <w:tcPr>
            <w:tcW w:w="2300" w:type="dxa"/>
            <w:vAlign w:val="bottom"/>
            <w:tcBorders>
              <w:top w:val="single" w:sz="8" w:color="0000EE"/>
              <w:bottom w:val="single" w:sz="8" w:color="0000EE"/>
            </w:tcBorders>
            <w:gridSpan w:val="9"/>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Defaults Upon Senior Securities</w:t>
              </w:r>
            </w:hyperlink>
          </w:p>
        </w:tc>
        <w:tc>
          <w:tcPr>
            <w:tcW w:w="2060" w:type="dxa"/>
            <w:vAlign w:val="bottom"/>
            <w:tcBorders>
              <w:top w:val="single" w:sz="8" w:color="0000EE"/>
            </w:tcBorders>
            <w:gridSpan w:val="10"/>
          </w:tcPr>
          <w:p>
            <w:pPr>
              <w:spacing w:after="0"/>
              <w:rPr>
                <w:sz w:val="24"/>
                <w:szCs w:val="24"/>
                <w:color w:val="auto"/>
              </w:rPr>
            </w:pPr>
          </w:p>
        </w:tc>
        <w:tc>
          <w:tcPr>
            <w:tcW w:w="37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bottom w:val="single" w:sz="8" w:color="0000EE"/>
            </w:tcBorders>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4</w:t>
              </w:r>
            </w:hyperlink>
          </w:p>
        </w:tc>
        <w:tc>
          <w:tcPr>
            <w:tcW w:w="480" w:type="dxa"/>
            <w:vAlign w:val="bottom"/>
            <w:gridSpan w:val="3"/>
          </w:tcPr>
          <w:p>
            <w:pPr>
              <w:spacing w:after="0"/>
              <w:rPr>
                <w:sz w:val="24"/>
                <w:szCs w:val="24"/>
                <w:color w:val="auto"/>
              </w:rPr>
            </w:pPr>
          </w:p>
        </w:tc>
        <w:tc>
          <w:tcPr>
            <w:tcW w:w="1740" w:type="dxa"/>
            <w:vAlign w:val="bottom"/>
            <w:tcBorders>
              <w:bottom w:val="single" w:sz="8" w:color="0000EE"/>
            </w:tcBorders>
            <w:gridSpan w:val="6"/>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Mine Safety Disclosures</w:t>
              </w:r>
            </w:hyperlink>
          </w:p>
        </w:tc>
        <w:tc>
          <w:tcPr>
            <w:tcW w:w="632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Pr>
          <w:p>
            <w:pPr>
              <w:spacing w:after="0"/>
              <w:rPr>
                <w:rFonts w:ascii="Arial" w:cs="Arial" w:eastAsia="Arial" w:hAnsi="Arial"/>
                <w:sz w:val="16"/>
                <w:szCs w:val="16"/>
                <w:color w:val="0000EE"/>
                <w:w w:val="98"/>
              </w:rPr>
            </w:pPr>
            <w:hyperlink w:anchor="page17">
              <w:r>
                <w:rPr>
                  <w:rFonts w:ascii="Arial" w:cs="Arial" w:eastAsia="Arial" w:hAnsi="Arial"/>
                  <w:sz w:val="16"/>
                  <w:szCs w:val="16"/>
                  <w:color w:val="0000EE"/>
                  <w:w w:val="98"/>
                </w:rPr>
                <w:t>Item 5</w:t>
              </w:r>
            </w:hyperlink>
          </w:p>
        </w:tc>
        <w:tc>
          <w:tcPr>
            <w:tcW w:w="480" w:type="dxa"/>
            <w:vAlign w:val="bottom"/>
            <w:gridSpan w:val="3"/>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412"/>
        </w:trPr>
        <w:tc>
          <w:tcPr>
            <w:tcW w:w="460" w:type="dxa"/>
            <w:vAlign w:val="bottom"/>
            <w:tcBorders>
              <w:top w:val="single" w:sz="8" w:color="0000EE"/>
            </w:tcBorders>
          </w:tcPr>
          <w:p>
            <w:pPr>
              <w:spacing w:after="0"/>
              <w:rPr>
                <w:rFonts w:ascii="Arial" w:cs="Arial" w:eastAsia="Arial" w:hAnsi="Arial"/>
                <w:sz w:val="16"/>
                <w:szCs w:val="16"/>
                <w:color w:val="0000EE"/>
                <w:w w:val="98"/>
              </w:rPr>
            </w:pPr>
            <w:hyperlink w:anchor="page18">
              <w:r>
                <w:rPr>
                  <w:rFonts w:ascii="Arial" w:cs="Arial" w:eastAsia="Arial" w:hAnsi="Arial"/>
                  <w:sz w:val="16"/>
                  <w:szCs w:val="16"/>
                  <w:color w:val="0000EE"/>
                  <w:w w:val="98"/>
                </w:rPr>
                <w:t>Item 6</w:t>
              </w:r>
            </w:hyperlink>
          </w:p>
        </w:tc>
        <w:tc>
          <w:tcPr>
            <w:tcW w:w="480" w:type="dxa"/>
            <w:vAlign w:val="bottom"/>
            <w:gridSpan w:val="3"/>
          </w:tcPr>
          <w:p>
            <w:pPr>
              <w:spacing w:after="0"/>
              <w:rPr>
                <w:sz w:val="24"/>
                <w:szCs w:val="24"/>
                <w:color w:val="auto"/>
              </w:rPr>
            </w:pPr>
          </w:p>
        </w:tc>
        <w:tc>
          <w:tcPr>
            <w:tcW w:w="1260" w:type="dxa"/>
            <w:vAlign w:val="bottom"/>
            <w:tcBorders>
              <w:top w:val="single" w:sz="8" w:color="0000EE"/>
            </w:tcBorders>
            <w:gridSpan w:val="4"/>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Exhibits</w:t>
              </w:r>
            </w:hyperlink>
          </w:p>
        </w:tc>
        <w:tc>
          <w:tcPr>
            <w:tcW w:w="680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020" w:type="dxa"/>
            <w:vAlign w:val="bottom"/>
            <w:gridSpan w:val="2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25"/>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SIGNATURES</w:t>
              </w:r>
            </w:hyperlink>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July 31,</w:t>
            </w:r>
          </w:p>
        </w:tc>
        <w:tc>
          <w:tcPr>
            <w:tcW w:w="2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5"/>
        </w:trPr>
        <w:tc>
          <w:tcPr>
            <w:tcW w:w="7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5"/>
                <w:szCs w:val="15"/>
                <w:color w:val="auto"/>
              </w:rPr>
            </w:pPr>
          </w:p>
        </w:tc>
      </w:tr>
      <w:tr>
        <w:trPr>
          <w:trHeight w:val="196"/>
        </w:trPr>
        <w:tc>
          <w:tcPr>
            <w:tcW w:w="7440" w:type="dxa"/>
            <w:vAlign w:val="bottom"/>
            <w:shd w:val="clear" w:color="auto" w:fill="CCEEFF"/>
          </w:tcPr>
          <w:p>
            <w:pPr>
              <w:ind w:left="338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76,751</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Short-term investment securities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113,186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103,845</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19,144</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17,420</w:t>
            </w:r>
          </w:p>
        </w:tc>
        <w:tc>
          <w:tcPr>
            <w:tcW w:w="280" w:type="dxa"/>
            <w:vAlign w:val="bottom"/>
            <w:tcBorders>
              <w:bottom w:val="single" w:sz="8" w:color="CCEEFF"/>
            </w:tcBorders>
          </w:tcPr>
          <w:p>
            <w:pPr>
              <w:spacing w:after="0"/>
              <w:rPr>
                <w:sz w:val="17"/>
                <w:szCs w:val="17"/>
                <w:color w:val="auto"/>
              </w:rPr>
            </w:pPr>
          </w:p>
        </w:tc>
      </w:tr>
      <w:tr>
        <w:trPr>
          <w:trHeight w:val="183"/>
        </w:trPr>
        <w:tc>
          <w:tcPr>
            <w:tcW w:w="74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233,684</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244,442</w:t>
            </w:r>
          </w:p>
        </w:tc>
        <w:tc>
          <w:tcPr>
            <w:tcW w:w="280" w:type="dxa"/>
            <w:vAlign w:val="bottom"/>
            <w:shd w:val="clear" w:color="auto" w:fill="CCEEFF"/>
          </w:tcPr>
          <w:p>
            <w:pPr>
              <w:spacing w:after="0"/>
              <w:rPr>
                <w:sz w:val="15"/>
                <w:szCs w:val="15"/>
                <w:color w:val="auto"/>
              </w:rPr>
            </w:pPr>
          </w:p>
        </w:tc>
      </w:tr>
      <w:tr>
        <w:trPr>
          <w:trHeight w:val="191"/>
        </w:trPr>
        <w:tc>
          <w:tcPr>
            <w:tcW w:w="7440" w:type="dxa"/>
            <w:vAlign w:val="bottom"/>
          </w:tcPr>
          <w:p>
            <w:pPr>
              <w:ind w:left="220"/>
              <w:spacing w:after="0"/>
              <w:rPr>
                <w:sz w:val="20"/>
                <w:szCs w:val="20"/>
                <w:color w:val="auto"/>
              </w:rPr>
            </w:pPr>
            <w:r>
              <w:rPr>
                <w:rFonts w:ascii="Arial" w:cs="Arial" w:eastAsia="Arial" w:hAnsi="Arial"/>
                <w:sz w:val="16"/>
                <w:szCs w:val="16"/>
                <w:color w:val="auto"/>
              </w:rPr>
              <w:t>Property and equipment, net of accumulated depreciation of $281,874 and $279,080 as of July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7"/>
        </w:trPr>
        <w:tc>
          <w:tcPr>
            <w:tcW w:w="7440" w:type="dxa"/>
            <w:vAlign w:val="bottom"/>
          </w:tcPr>
          <w:p>
            <w:pPr>
              <w:ind w:left="220"/>
              <w:spacing w:after="0"/>
              <w:rPr>
                <w:sz w:val="20"/>
                <w:szCs w:val="20"/>
                <w:color w:val="auto"/>
              </w:rPr>
            </w:pPr>
            <w:r>
              <w:rPr>
                <w:rFonts w:ascii="Arial" w:cs="Arial" w:eastAsia="Arial" w:hAnsi="Arial"/>
                <w:sz w:val="16"/>
                <w:szCs w:val="16"/>
                <w:color w:val="auto"/>
              </w:rPr>
              <w:t>2021 and January 30, 2021, respectively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66,524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63,514</w:t>
            </w:r>
          </w:p>
        </w:tc>
        <w:tc>
          <w:tcPr>
            <w:tcW w:w="280" w:type="dxa"/>
            <w:vAlign w:val="bottom"/>
          </w:tcPr>
          <w:p>
            <w:pPr>
              <w:spacing w:after="0"/>
              <w:rPr>
                <w:sz w:val="16"/>
                <w:szCs w:val="16"/>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190,503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179,673</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4,086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6,195</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280" w:type="dxa"/>
            <w:vAlign w:val="bottom"/>
            <w:shd w:val="clear" w:color="auto" w:fill="CCEEFF"/>
          </w:tcPr>
          <w:p>
            <w:pPr>
              <w:spacing w:after="0"/>
              <w:rPr>
                <w:sz w:val="17"/>
                <w:szCs w:val="17"/>
                <w:color w:val="auto"/>
              </w:rPr>
            </w:pPr>
          </w:p>
        </w:tc>
      </w:tr>
      <w:tr>
        <w:trPr>
          <w:trHeight w:val="223"/>
        </w:trPr>
        <w:tc>
          <w:tcPr>
            <w:tcW w:w="7440" w:type="dxa"/>
            <w:vAlign w:val="bottom"/>
          </w:tcPr>
          <w:p>
            <w:pPr>
              <w:ind w:left="340"/>
              <w:spacing w:after="0" w:line="183" w:lineRule="exact"/>
              <w:rPr>
                <w:sz w:val="20"/>
                <w:szCs w:val="20"/>
                <w:color w:val="auto"/>
              </w:rPr>
            </w:pPr>
            <w:r>
              <w:rPr>
                <w:rFonts w:ascii="Arial" w:cs="Arial" w:eastAsia="Arial" w:hAnsi="Arial"/>
                <w:sz w:val="16"/>
                <w:szCs w:val="16"/>
                <w:color w:val="auto"/>
              </w:rPr>
              <w:t>Total assets</w:t>
            </w:r>
          </w:p>
        </w:tc>
        <w:tc>
          <w:tcPr>
            <w:tcW w:w="24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496,211</w:t>
            </w:r>
          </w:p>
        </w:tc>
        <w:tc>
          <w:tcPr>
            <w:tcW w:w="380" w:type="dxa"/>
            <w:vAlign w:val="bottom"/>
            <w:gridSpan w:val="2"/>
          </w:tcPr>
          <w:p>
            <w:pPr>
              <w:jc w:val="right"/>
              <w:ind w:right="8"/>
              <w:spacing w:after="0" w:line="183"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494,593</w:t>
            </w:r>
          </w:p>
        </w:tc>
        <w:tc>
          <w:tcPr>
            <w:tcW w:w="280" w:type="dxa"/>
            <w:vAlign w:val="bottom"/>
          </w:tcPr>
          <w:p>
            <w:pPr>
              <w:spacing w:after="0"/>
              <w:rPr>
                <w:sz w:val="19"/>
                <w:szCs w:val="19"/>
                <w:color w:val="auto"/>
              </w:rPr>
            </w:pPr>
          </w:p>
        </w:tc>
      </w:tr>
      <w:tr>
        <w:trPr>
          <w:trHeight w:val="170"/>
        </w:trPr>
        <w:tc>
          <w:tcPr>
            <w:tcW w:w="74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r>
      <w:tr>
        <w:trPr>
          <w:trHeight w:val="203"/>
        </w:trPr>
        <w:tc>
          <w:tcPr>
            <w:tcW w:w="7440" w:type="dxa"/>
            <w:vAlign w:val="bottom"/>
          </w:tcPr>
          <w:p>
            <w:pPr>
              <w:ind w:left="230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99,177</w:t>
            </w:r>
          </w:p>
        </w:tc>
        <w:tc>
          <w:tcPr>
            <w:tcW w:w="3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84,832</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46,983</w:t>
            </w:r>
          </w:p>
        </w:tc>
        <w:tc>
          <w:tcPr>
            <w:tcW w:w="280" w:type="dxa"/>
            <w:vAlign w:val="bottom"/>
            <w:shd w:val="clear" w:color="auto" w:fill="CCEEFF"/>
          </w:tcPr>
          <w:p>
            <w:pPr>
              <w:spacing w:after="0"/>
              <w:rPr>
                <w:sz w:val="17"/>
                <w:szCs w:val="17"/>
                <w:color w:val="auto"/>
              </w:rPr>
            </w:pPr>
          </w:p>
        </w:tc>
      </w:tr>
      <w:tr>
        <w:trPr>
          <w:trHeight w:val="202"/>
        </w:trPr>
        <w:tc>
          <w:tcPr>
            <w:tcW w:w="744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16,592</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24,481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29,315</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Income tax payable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3,642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4,623</w:t>
            </w:r>
          </w:p>
        </w:tc>
        <w:tc>
          <w:tcPr>
            <w:tcW w:w="280" w:type="dxa"/>
            <w:vAlign w:val="bottom"/>
          </w:tcPr>
          <w:p>
            <w:pPr>
              <w:spacing w:after="0"/>
              <w:rPr>
                <w:sz w:val="17"/>
                <w:szCs w:val="17"/>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Layaway deposits</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280" w:type="dxa"/>
            <w:vAlign w:val="bottom"/>
            <w:shd w:val="clear" w:color="auto" w:fill="CCEEFF"/>
          </w:tcPr>
          <w:p>
            <w:pPr>
              <w:spacing w:after="0"/>
              <w:rPr>
                <w:sz w:val="17"/>
                <w:szCs w:val="17"/>
                <w:color w:val="auto"/>
              </w:rPr>
            </w:pPr>
          </w:p>
        </w:tc>
      </w:tr>
      <w:tr>
        <w:trPr>
          <w:trHeight w:val="183"/>
        </w:trPr>
        <w:tc>
          <w:tcPr>
            <w:tcW w:w="7440" w:type="dxa"/>
            <w:vAlign w:val="bottom"/>
          </w:tcPr>
          <w:p>
            <w:pPr>
              <w:ind w:left="340"/>
              <w:spacing w:after="0" w:line="183" w:lineRule="exact"/>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194,896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182,845</w:t>
            </w:r>
          </w:p>
        </w:tc>
        <w:tc>
          <w:tcPr>
            <w:tcW w:w="280" w:type="dxa"/>
            <w:vAlign w:val="bottom"/>
          </w:tcPr>
          <w:p>
            <w:pPr>
              <w:spacing w:after="0"/>
              <w:rPr>
                <w:sz w:val="15"/>
                <w:szCs w:val="15"/>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156,592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145,828</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280" w:type="dxa"/>
            <w:vAlign w:val="bottom"/>
            <w:tcBorders>
              <w:bottom w:val="single" w:sz="8" w:color="CCEEFF"/>
            </w:tcBorders>
          </w:tcPr>
          <w:p>
            <w:pPr>
              <w:spacing w:after="0"/>
              <w:rPr>
                <w:sz w:val="17"/>
                <w:szCs w:val="17"/>
                <w:color w:val="auto"/>
              </w:rPr>
            </w:pPr>
          </w:p>
        </w:tc>
      </w:tr>
      <w:tr>
        <w:trPr>
          <w:trHeight w:val="183"/>
        </w:trPr>
        <w:tc>
          <w:tcPr>
            <w:tcW w:w="744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353,837</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330,959</w:t>
            </w:r>
          </w:p>
        </w:tc>
        <w:tc>
          <w:tcPr>
            <w:tcW w:w="280" w:type="dxa"/>
            <w:vAlign w:val="bottom"/>
            <w:shd w:val="clear" w:color="auto" w:fill="CCEEFF"/>
          </w:tcPr>
          <w:p>
            <w:pPr>
              <w:spacing w:after="0"/>
              <w:rPr>
                <w:sz w:val="15"/>
                <w:szCs w:val="15"/>
                <w:color w:val="auto"/>
              </w:rPr>
            </w:pPr>
          </w:p>
        </w:tc>
      </w:tr>
      <w:tr>
        <w:trPr>
          <w:trHeight w:val="183"/>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03"/>
        </w:trPr>
        <w:tc>
          <w:tcPr>
            <w:tcW w:w="74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191"/>
        </w:trPr>
        <w:tc>
          <w:tcPr>
            <w:tcW w:w="7440" w:type="dxa"/>
            <w:vAlign w:val="bottom"/>
          </w:tcPr>
          <w:p>
            <w:pPr>
              <w:ind w:left="220"/>
              <w:spacing w:after="0"/>
              <w:rPr>
                <w:sz w:val="20"/>
                <w:szCs w:val="20"/>
                <w:color w:val="auto"/>
              </w:rPr>
            </w:pPr>
            <w:r>
              <w:rPr>
                <w:rFonts w:ascii="Arial" w:cs="Arial" w:eastAsia="Arial" w:hAnsi="Arial"/>
                <w:sz w:val="16"/>
                <w:szCs w:val="16"/>
                <w:color w:val="auto"/>
              </w:rPr>
              <w:t>Common stock, $0.01 par value. Authorized 32,000,000 shares; 15,971,349 shares issued as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9"/>
        </w:trPr>
        <w:tc>
          <w:tcPr>
            <w:tcW w:w="7440" w:type="dxa"/>
            <w:vAlign w:val="bottom"/>
          </w:tcPr>
          <w:p>
            <w:pPr>
              <w:ind w:left="220"/>
              <w:spacing w:after="0"/>
              <w:rPr>
                <w:sz w:val="20"/>
                <w:szCs w:val="20"/>
                <w:color w:val="auto"/>
              </w:rPr>
            </w:pPr>
            <w:r>
              <w:rPr>
                <w:rFonts w:ascii="Arial" w:cs="Arial" w:eastAsia="Arial" w:hAnsi="Arial"/>
                <w:sz w:val="16"/>
                <w:szCs w:val="16"/>
                <w:color w:val="auto"/>
              </w:rPr>
              <w:t>July 31, 2021 and 15,981,394 shares issued as of January 30, 2021; 9,114,599 shares outstanding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7"/>
        </w:trPr>
        <w:tc>
          <w:tcPr>
            <w:tcW w:w="7440" w:type="dxa"/>
            <w:vAlign w:val="bottom"/>
          </w:tcPr>
          <w:p>
            <w:pPr>
              <w:ind w:left="220"/>
              <w:spacing w:after="0"/>
              <w:rPr>
                <w:sz w:val="20"/>
                <w:szCs w:val="20"/>
                <w:color w:val="auto"/>
              </w:rPr>
            </w:pPr>
            <w:r>
              <w:rPr>
                <w:rFonts w:ascii="Arial" w:cs="Arial" w:eastAsia="Arial" w:hAnsi="Arial"/>
                <w:sz w:val="16"/>
                <w:szCs w:val="16"/>
                <w:color w:val="auto"/>
              </w:rPr>
              <w:t>as of July 31, 2021 and 9,876,901 shares outstanding as of January 30, 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Pr>
          <w:p>
            <w:pPr>
              <w:spacing w:after="0"/>
              <w:rPr>
                <w:sz w:val="16"/>
                <w:szCs w:val="16"/>
                <w:color w:val="auto"/>
              </w:rPr>
            </w:pPr>
          </w:p>
        </w:tc>
      </w:tr>
      <w:tr>
        <w:trPr>
          <w:trHeight w:val="203"/>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 in capital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95,214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95,484</w:t>
            </w:r>
          </w:p>
        </w:tc>
        <w:tc>
          <w:tcPr>
            <w:tcW w:w="280" w:type="dxa"/>
            <w:vAlign w:val="bottom"/>
            <w:shd w:val="clear" w:color="auto" w:fill="CCEEFF"/>
          </w:tcPr>
          <w:p>
            <w:pPr>
              <w:spacing w:after="0"/>
              <w:rPr>
                <w:sz w:val="17"/>
                <w:szCs w:val="17"/>
                <w:color w:val="auto"/>
              </w:rPr>
            </w:pPr>
          </w:p>
        </w:tc>
      </w:tr>
      <w:tr>
        <w:trPr>
          <w:trHeight w:val="203"/>
        </w:trPr>
        <w:tc>
          <w:tcPr>
            <w:tcW w:w="744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253,305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209,918</w:t>
            </w:r>
          </w:p>
        </w:tc>
        <w:tc>
          <w:tcPr>
            <w:tcW w:w="280" w:type="dxa"/>
            <w:vAlign w:val="bottom"/>
          </w:tcPr>
          <w:p>
            <w:pPr>
              <w:spacing w:after="0"/>
              <w:rPr>
                <w:sz w:val="17"/>
                <w:szCs w:val="17"/>
                <w:color w:val="auto"/>
              </w:rPr>
            </w:pPr>
          </w:p>
        </w:tc>
      </w:tr>
      <w:tr>
        <w:trPr>
          <w:trHeight w:val="191"/>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6,856,750 shares held as of July 31, 2021 and 6,104,493 shares held as of</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187"/>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January 30, 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(206,303)</w:t>
            </w: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(141,926)</w:t>
            </w:r>
          </w:p>
        </w:tc>
        <w:tc>
          <w:tcPr>
            <w:tcW w:w="280" w:type="dxa"/>
            <w:vAlign w:val="bottom"/>
            <w:shd w:val="clear" w:color="auto" w:fill="CCEEFF"/>
          </w:tcPr>
          <w:p>
            <w:pPr>
              <w:spacing w:after="0"/>
              <w:rPr>
                <w:sz w:val="16"/>
                <w:szCs w:val="16"/>
                <w:color w:val="auto"/>
              </w:rPr>
            </w:pPr>
          </w:p>
        </w:tc>
      </w:tr>
      <w:tr>
        <w:trPr>
          <w:trHeight w:val="183"/>
        </w:trPr>
        <w:tc>
          <w:tcPr>
            <w:tcW w:w="7440" w:type="dxa"/>
            <w:vAlign w:val="bottom"/>
            <w:tcBorders>
              <w:bottom w:val="single" w:sz="8" w:color="CCEEFF"/>
            </w:tcBorders>
          </w:tcPr>
          <w:p>
            <w:pPr>
              <w:ind w:left="340"/>
              <w:spacing w:after="0" w:line="183" w:lineRule="exact"/>
              <w:rPr>
                <w:sz w:val="20"/>
                <w:szCs w:val="20"/>
                <w:color w:val="auto"/>
              </w:rPr>
            </w:pPr>
            <w:r>
              <w:rPr>
                <w:rFonts w:ascii="Arial" w:cs="Arial" w:eastAsia="Arial" w:hAnsi="Arial"/>
                <w:sz w:val="16"/>
                <w:szCs w:val="16"/>
                <w:color w:val="auto"/>
              </w:rPr>
              <w:t>Total stockholders’ 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142,374</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163,634</w:t>
            </w:r>
          </w:p>
        </w:tc>
        <w:tc>
          <w:tcPr>
            <w:tcW w:w="280" w:type="dxa"/>
            <w:vAlign w:val="bottom"/>
            <w:tcBorders>
              <w:bottom w:val="single" w:sz="8" w:color="CCEEFF"/>
            </w:tcBorders>
          </w:tcPr>
          <w:p>
            <w:pPr>
              <w:spacing w:after="0"/>
              <w:rPr>
                <w:sz w:val="15"/>
                <w:szCs w:val="15"/>
                <w:color w:val="auto"/>
              </w:rPr>
            </w:pPr>
          </w:p>
        </w:tc>
      </w:tr>
      <w:tr>
        <w:trPr>
          <w:trHeight w:val="183"/>
        </w:trPr>
        <w:tc>
          <w:tcPr>
            <w:tcW w:w="7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7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496,211</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494,593</w:t>
            </w:r>
          </w:p>
        </w:tc>
        <w:tc>
          <w:tcPr>
            <w:tcW w:w="280" w:type="dxa"/>
            <w:vAlign w:val="bottom"/>
            <w:shd w:val="clear" w:color="auto" w:fill="CCEEFF"/>
          </w:tcPr>
          <w:p>
            <w:pPr>
              <w:spacing w:after="0"/>
              <w:rPr>
                <w:sz w:val="16"/>
                <w:szCs w:val="16"/>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400"/>
              <w:spacing w:after="0" w:line="143" w:lineRule="exact"/>
              <w:rPr>
                <w:sz w:val="20"/>
                <w:szCs w:val="20"/>
                <w:color w:val="auto"/>
              </w:rPr>
            </w:pPr>
            <w:r>
              <w:rPr>
                <w:rFonts w:ascii="Arial" w:cs="Arial" w:eastAsia="Arial" w:hAnsi="Arial"/>
                <w:sz w:val="14"/>
                <w:szCs w:val="14"/>
                <w:b w:val="1"/>
                <w:bCs w:val="1"/>
                <w:color w:val="auto"/>
              </w:rPr>
              <w:t>July 31,</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August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54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237,281</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216,151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(140,542)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(4,994)</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16,362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26,448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16,287</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26,085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Net income</w:t>
            </w:r>
          </w:p>
        </w:tc>
        <w:tc>
          <w:tcPr>
            <w:tcW w:w="540" w:type="dxa"/>
            <w:vAlign w:val="bottom"/>
            <w:gridSpan w:val="3"/>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12,490</w:t>
            </w:r>
          </w:p>
        </w:tc>
        <w:tc>
          <w:tcPr>
            <w:tcW w:w="1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19,867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per common share</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540" w:type="dxa"/>
            <w:vAlign w:val="bottom"/>
            <w:gridSpan w:val="3"/>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0" w:lineRule="exact"/>
              <w:rPr>
                <w:sz w:val="20"/>
                <w:szCs w:val="20"/>
                <w:color w:val="auto"/>
              </w:rPr>
            </w:pPr>
            <w:r>
              <w:rPr>
                <w:rFonts w:ascii="Arial" w:cs="Arial" w:eastAsia="Arial" w:hAnsi="Arial"/>
                <w:sz w:val="16"/>
                <w:szCs w:val="16"/>
                <w:color w:val="auto"/>
              </w:rPr>
              <w:t>1.36</w:t>
            </w:r>
          </w:p>
        </w:tc>
        <w:tc>
          <w:tcPr>
            <w:tcW w:w="160" w:type="dxa"/>
            <w:vAlign w:val="bottom"/>
          </w:tcPr>
          <w:p>
            <w:pPr>
              <w:spacing w:after="0"/>
              <w:rPr>
                <w:sz w:val="18"/>
                <w:szCs w:val="18"/>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3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00" w:type="dxa"/>
            <w:vAlign w:val="bottom"/>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9,088</w:t>
            </w:r>
          </w:p>
        </w:tc>
        <w:tc>
          <w:tcPr>
            <w:tcW w:w="160" w:type="dxa"/>
            <w:vAlign w:val="bottom"/>
            <w:tcBorders>
              <w:bottom w:val="single" w:sz="8" w:color="CCEEFF"/>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10,451</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ind w:left="22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9,178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10,458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jc w:val="center"/>
              <w:ind w:left="2539"/>
              <w:spacing w:after="0"/>
              <w:rPr>
                <w:sz w:val="20"/>
                <w:szCs w:val="20"/>
                <w:color w:val="auto"/>
              </w:rPr>
            </w:pPr>
            <w:r>
              <w:rPr>
                <w:rFonts w:ascii="Arial" w:cs="Arial" w:eastAsia="Arial" w:hAnsi="Arial"/>
                <w:sz w:val="16"/>
                <w:szCs w:val="16"/>
                <w:b w:val="1"/>
                <w:bCs w:val="1"/>
                <w:color w:val="auto"/>
                <w:w w:val="99"/>
              </w:rPr>
              <w:t>Citi Trends, Inc.</w:t>
            </w: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73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300" w:type="dxa"/>
            <w:vAlign w:val="bottom"/>
          </w:tcPr>
          <w:p>
            <w:pPr>
              <w:jc w:val="center"/>
              <w:ind w:left="2539"/>
              <w:spacing w:after="0"/>
              <w:rPr>
                <w:sz w:val="20"/>
                <w:szCs w:val="20"/>
                <w:color w:val="auto"/>
              </w:rPr>
            </w:pPr>
            <w:r>
              <w:rPr>
                <w:rFonts w:ascii="Arial" w:cs="Arial" w:eastAsia="Arial" w:hAnsi="Arial"/>
                <w:sz w:val="16"/>
                <w:szCs w:val="16"/>
                <w:b w:val="1"/>
                <w:bCs w:val="1"/>
                <w:color w:val="auto"/>
              </w:rPr>
              <w:t>Condensed Consolidated Statements of Operations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tcPr>
          <w:p>
            <w:pPr>
              <w:jc w:val="center"/>
              <w:ind w:left="2559"/>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300" w:type="dxa"/>
            <w:vAlign w:val="bottom"/>
          </w:tcPr>
          <w:p>
            <w:pPr>
              <w:jc w:val="center"/>
              <w:ind w:left="2559"/>
              <w:spacing w:after="0"/>
              <w:rPr>
                <w:sz w:val="20"/>
                <w:szCs w:val="20"/>
                <w:color w:val="auto"/>
              </w:rPr>
            </w:pPr>
            <w:r>
              <w:rPr>
                <w:rFonts w:ascii="Arial" w:cs="Arial" w:eastAsia="Arial" w:hAnsi="Arial"/>
                <w:sz w:val="16"/>
                <w:szCs w:val="16"/>
                <w:b w:val="1"/>
                <w:bCs w:val="1"/>
                <w:color w:val="auto"/>
              </w:rPr>
              <w:t>(in thousands, except per share amounts)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July 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August 1,</w:t>
            </w:r>
          </w:p>
        </w:tc>
        <w:tc>
          <w:tcPr>
            <w:tcW w:w="0" w:type="dxa"/>
            <w:vAlign w:val="bottom"/>
          </w:tcPr>
          <w:p>
            <w:pPr>
              <w:spacing w:after="0"/>
              <w:rPr>
                <w:sz w:val="1"/>
                <w:szCs w:val="1"/>
                <w:color w:val="auto"/>
              </w:rPr>
            </w:pPr>
          </w:p>
        </w:tc>
      </w:tr>
      <w:tr>
        <w:trPr>
          <w:trHeight w:val="175"/>
        </w:trPr>
        <w:tc>
          <w:tcPr>
            <w:tcW w:w="73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sales</w:t>
            </w:r>
          </w:p>
        </w:tc>
        <w:tc>
          <w:tcPr>
            <w:tcW w:w="54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522,662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332,275</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(304,333)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(211,517)</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(153,275)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(111,699)</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(9,879)</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Asset impairment</w:t>
            </w:r>
          </w:p>
        </w:tc>
        <w:tc>
          <w:tcPr>
            <w:tcW w:w="3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Income (loss) from operations</w:t>
            </w: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tcBorders>
              <w:right w:val="single" w:sz="8" w:color="CCEEFF"/>
            </w:tcBorders>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55,363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8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Income (loss) before income taxes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55,245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(1,415)</w:t>
            </w: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 benefit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(11,858)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line="183" w:lineRule="exact"/>
              <w:rPr>
                <w:sz w:val="20"/>
                <w:szCs w:val="20"/>
                <w:color w:val="auto"/>
              </w:rPr>
            </w:pPr>
            <w:r>
              <w:rPr>
                <w:rFonts w:ascii="Arial" w:cs="Arial" w:eastAsia="Arial" w:hAnsi="Arial"/>
                <w:sz w:val="16"/>
                <w:szCs w:val="16"/>
                <w:color w:val="auto"/>
              </w:rPr>
              <w:t>Net income (loss)</w:t>
            </w:r>
          </w:p>
        </w:tc>
        <w:tc>
          <w:tcPr>
            <w:tcW w:w="540" w:type="dxa"/>
            <w:vAlign w:val="bottom"/>
            <w:gridSpan w:val="3"/>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43,387</w:t>
            </w:r>
          </w:p>
        </w:tc>
        <w:tc>
          <w:tcPr>
            <w:tcW w:w="100" w:type="dxa"/>
            <w:vAlign w:val="bottom"/>
          </w:tcPr>
          <w:p>
            <w:pPr>
              <w:spacing w:after="0"/>
              <w:rPr>
                <w:sz w:val="19"/>
                <w:szCs w:val="19"/>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170"/>
        </w:trPr>
        <w:tc>
          <w:tcPr>
            <w:tcW w:w="73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00" w:type="dxa"/>
            <w:vAlign w:val="bottom"/>
          </w:tcPr>
          <w:p>
            <w:pPr>
              <w:spacing w:after="0"/>
              <w:rPr>
                <w:sz w:val="20"/>
                <w:szCs w:val="20"/>
                <w:color w:val="auto"/>
              </w:rPr>
            </w:pPr>
            <w:r>
              <w:rPr>
                <w:rFonts w:ascii="Arial" w:cs="Arial" w:eastAsia="Arial" w:hAnsi="Arial"/>
                <w:sz w:val="16"/>
                <w:szCs w:val="16"/>
                <w:color w:val="auto"/>
              </w:rPr>
              <w:t>Basic net income (loss) per common share</w:t>
            </w:r>
          </w:p>
        </w:tc>
        <w:tc>
          <w:tcPr>
            <w:tcW w:w="5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Diluted net income (loss) per common share</w:t>
            </w:r>
          </w:p>
        </w:tc>
        <w:tc>
          <w:tcPr>
            <w:tcW w:w="540" w:type="dxa"/>
            <w:vAlign w:val="bottom"/>
            <w:gridSpan w:val="3"/>
            <w:shd w:val="clear" w:color="auto" w:fill="CCEEFF"/>
          </w:tcPr>
          <w:p>
            <w:pPr>
              <w:jc w:val="right"/>
              <w:ind w:right="40"/>
              <w:spacing w:after="0" w:line="170" w:lineRule="exact"/>
              <w:rPr>
                <w:sz w:val="20"/>
                <w:szCs w:val="20"/>
                <w:color w:val="auto"/>
              </w:rPr>
            </w:pPr>
            <w:r>
              <w:rPr>
                <w:rFonts w:ascii="Arial" w:cs="Arial" w:eastAsia="Arial" w:hAnsi="Arial"/>
                <w:sz w:val="16"/>
                <w:szCs w:val="16"/>
                <w:color w:val="auto"/>
              </w:rPr>
              <w:t>$</w:t>
            </w:r>
          </w:p>
        </w:tc>
        <w:tc>
          <w:tcPr>
            <w:tcW w:w="960" w:type="dxa"/>
            <w:vAlign w:val="bottom"/>
            <w:tcBorders>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3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9,269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170"/>
        </w:trPr>
        <w:tc>
          <w:tcPr>
            <w:tcW w:w="730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CCEEFF"/>
            </w:tcBorders>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9,374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5"/>
          </w:tcPr>
          <w:p>
            <w:pPr>
              <w:ind w:left="1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500"/>
              <w:spacing w:after="0" w:line="143" w:lineRule="exact"/>
              <w:rPr>
                <w:sz w:val="20"/>
                <w:szCs w:val="20"/>
                <w:color w:val="auto"/>
              </w:rPr>
            </w:pPr>
            <w:r>
              <w:rPr>
                <w:rFonts w:ascii="Arial" w:cs="Arial" w:eastAsia="Arial" w:hAnsi="Arial"/>
                <w:sz w:val="14"/>
                <w:szCs w:val="14"/>
                <w:b w:val="1"/>
                <w:bCs w:val="1"/>
                <w:color w:val="auto"/>
              </w:rPr>
              <w:t>July 31,</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August 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activities: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43,387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(1,025)</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9,691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Non-cash operating lease costs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Asset impairment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2,109</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Insurance proceeds related to operating activities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Non-cash stock-based compensation expense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Inventory</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(9,733)</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and other current assets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(1,786)</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(6,729)</w:t>
            </w: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(375)</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Accrued expenses and other long-term liabilities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(22,578)</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(13,181)</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compensation</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(4,834)</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440"/>
              <w:spacing w:after="0"/>
              <w:rPr>
                <w:sz w:val="20"/>
                <w:szCs w:val="20"/>
                <w:color w:val="auto"/>
              </w:rPr>
            </w:pPr>
            <w:r>
              <w:rPr>
                <w:rFonts w:ascii="Arial" w:cs="Arial" w:eastAsia="Arial" w:hAnsi="Arial"/>
                <w:sz w:val="16"/>
                <w:szCs w:val="16"/>
                <w:color w:val="auto"/>
              </w:rPr>
              <w:t>Income tax (receivable) payable</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(981)</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Layaway deposits</w:t>
            </w:r>
          </w:p>
        </w:tc>
        <w:tc>
          <w:tcPr>
            <w:tcW w:w="7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0" w:type="dxa"/>
            <w:vAlign w:val="bottom"/>
            <w:tcBorders>
              <w:bottom w:val="single" w:sz="8" w:color="CCEEFF"/>
            </w:tcBorders>
          </w:tcPr>
          <w:p>
            <w:pPr>
              <w:ind w:left="66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56,806</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55,393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Investing activities:</w:t>
            </w: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Sales/redemptions of investment securities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 securities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(24,603)</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(12,003)</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Insurance proceeds related to investing activities</w:t>
            </w:r>
          </w:p>
        </w:tc>
        <w:tc>
          <w:tcPr>
            <w:tcW w:w="7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00" w:type="dxa"/>
            <w:vAlign w:val="bottom"/>
          </w:tcPr>
          <w:p>
            <w:pPr>
              <w:ind w:left="66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(36,414)</w:t>
            </w:r>
          </w:p>
        </w:tc>
        <w:tc>
          <w:tcPr>
            <w:tcW w:w="1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37,393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Financing activities:</w:t>
            </w:r>
          </w:p>
        </w:tc>
        <w:tc>
          <w:tcPr>
            <w:tcW w:w="7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Borrowings under revolving credit facility</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revolving credit facility</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(2,171)</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3"/>
        </w:trPr>
        <w:tc>
          <w:tcPr>
            <w:tcW w:w="6800" w:type="dxa"/>
            <w:vAlign w:val="bottom"/>
          </w:tcPr>
          <w:p>
            <w:pPr>
              <w:ind w:left="220"/>
              <w:spacing w:after="0"/>
              <w:rPr>
                <w:sz w:val="20"/>
                <w:szCs w:val="20"/>
                <w:color w:val="auto"/>
              </w:rPr>
            </w:pPr>
            <w:r>
              <w:rPr>
                <w:rFonts w:ascii="Arial" w:cs="Arial" w:eastAsia="Arial" w:hAnsi="Arial"/>
                <w:sz w:val="16"/>
                <w:szCs w:val="16"/>
                <w:color w:val="auto"/>
              </w:rPr>
              <w:t>Dividends paid to stockholders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(64,377)</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(6,254)</w:t>
            </w: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6"/>
                <w:szCs w:val="16"/>
                <w:color w:val="auto"/>
              </w:rPr>
              <w:t>Net cash (used in) provided by financing activities</w:t>
            </w: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(66,818)</w:t>
            </w:r>
          </w:p>
        </w:tc>
        <w:tc>
          <w:tcPr>
            <w:tcW w:w="1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34,032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Net (decrease) increase in cash and cash equivalents</w:t>
            </w: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(46,426)</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126,818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7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123,177</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00" w:type="dxa"/>
            <w:vAlign w:val="bottom"/>
          </w:tcPr>
          <w:p>
            <w:pPr>
              <w:ind w:left="220"/>
              <w:spacing w:after="0" w:line="183" w:lineRule="exact"/>
              <w:rPr>
                <w:sz w:val="20"/>
                <w:szCs w:val="20"/>
                <w:color w:val="auto"/>
              </w:rPr>
            </w:pPr>
            <w:r>
              <w:rPr>
                <w:rFonts w:ascii="Arial" w:cs="Arial" w:eastAsia="Arial" w:hAnsi="Arial"/>
                <w:sz w:val="16"/>
                <w:szCs w:val="16"/>
                <w:color w:val="auto"/>
              </w:rPr>
              <w:t>End of period</w:t>
            </w:r>
          </w:p>
        </w:tc>
        <w:tc>
          <w:tcPr>
            <w:tcW w:w="9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76,751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146,741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8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80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Cash paid for interest</w:t>
            </w:r>
          </w:p>
        </w:tc>
        <w:tc>
          <w:tcPr>
            <w:tcW w:w="7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6"/>
                <w:szCs w:val="16"/>
                <w:color w:val="auto"/>
              </w:rPr>
              <w:t>Cash payments of income taxes</w:t>
            </w: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920" w:type="dxa"/>
            <w:vAlign w:val="bottom"/>
            <w:gridSpan w:val="2"/>
          </w:tcPr>
          <w:p>
            <w:pPr>
              <w:jc w:val="right"/>
              <w:spacing w:after="0" w:line="170"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6"/>
                <w:szCs w:val="16"/>
                <w:color w:val="auto"/>
              </w:rPr>
              <w:t>10,730</w:t>
            </w:r>
          </w:p>
        </w:tc>
        <w:tc>
          <w:tcPr>
            <w:tcW w:w="24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70" w:lineRule="exact"/>
              <w:rPr>
                <w:sz w:val="20"/>
                <w:szCs w:val="20"/>
                <w:color w:val="auto"/>
              </w:rPr>
            </w:pPr>
            <w:r>
              <w:rPr>
                <w:rFonts w:ascii="Arial" w:cs="Arial" w:eastAsia="Arial" w:hAnsi="Arial"/>
                <w:sz w:val="16"/>
                <w:szCs w:val="16"/>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8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7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00" w:type="dxa"/>
            <w:vAlign w:val="bottom"/>
          </w:tcPr>
          <w:p>
            <w:pPr>
              <w:ind w:left="660"/>
              <w:spacing w:after="0"/>
              <w:rPr>
                <w:sz w:val="20"/>
                <w:szCs w:val="20"/>
                <w:color w:val="auto"/>
              </w:rPr>
            </w:pPr>
            <w:r>
              <w:rPr>
                <w:rFonts w:ascii="Arial" w:cs="Arial" w:eastAsia="Arial" w:hAnsi="Arial"/>
                <w:sz w:val="16"/>
                <w:szCs w:val="16"/>
                <w:color w:val="auto"/>
              </w:rPr>
              <w:t>Accrual for purchases of property and equipment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966</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60" w:type="dxa"/>
            <w:vAlign w:val="bottom"/>
          </w:tcPr>
          <w:p>
            <w:pPr>
              <w:spacing w:after="0"/>
              <w:rPr>
                <w:sz w:val="15"/>
                <w:szCs w:val="15"/>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ind w:right="40"/>
              <w:spacing w:after="0"/>
              <w:rPr>
                <w:sz w:val="20"/>
                <w:szCs w:val="20"/>
                <w:color w:val="auto"/>
              </w:rPr>
            </w:pPr>
            <w:r>
              <w:rPr>
                <w:rFonts w:ascii="Arial" w:cs="Arial" w:eastAsia="Arial" w:hAnsi="Arial"/>
                <w:sz w:val="14"/>
                <w:szCs w:val="14"/>
                <w:b w:val="1"/>
                <w:bCs w:val="1"/>
                <w:color w:val="auto"/>
              </w:rPr>
              <w:t>Paid in</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tcPr>
          <w:p>
            <w:pPr>
              <w:spacing w:after="0"/>
              <w:rPr>
                <w:sz w:val="15"/>
                <w:szCs w:val="15"/>
                <w:color w:val="auto"/>
              </w:rPr>
            </w:pPr>
          </w:p>
        </w:tc>
      </w:tr>
      <w:tr>
        <w:trPr>
          <w:trHeight w:val="169"/>
        </w:trPr>
        <w:tc>
          <w:tcPr>
            <w:tcW w:w="446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4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Balances — January 30, 2021</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15,981,394</w:t>
            </w: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$ 95,484</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$ 209,918</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6,104,493</w:t>
            </w:r>
          </w:p>
        </w:tc>
        <w:tc>
          <w:tcPr>
            <w:tcW w:w="16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(141,926)$ 163,634</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Issuance of nonvested shares under incentive plan</w:t>
            </w:r>
          </w:p>
        </w:tc>
        <w:tc>
          <w:tcPr>
            <w:tcW w:w="900" w:type="dxa"/>
            <w:vAlign w:val="bottom"/>
          </w:tcPr>
          <w:p>
            <w:pPr>
              <w:jc w:val="right"/>
              <w:spacing w:after="0"/>
              <w:rPr>
                <w:sz w:val="20"/>
                <w:szCs w:val="20"/>
                <w:color w:val="auto"/>
              </w:rPr>
            </w:pPr>
            <w:r>
              <w:rPr>
                <w:rFonts w:ascii="Arial" w:cs="Arial" w:eastAsia="Arial" w:hAnsi="Arial"/>
                <w:sz w:val="16"/>
                <w:szCs w:val="16"/>
                <w:color w:val="auto"/>
              </w:rPr>
              <w:t>17,278</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1,087</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(22,666)</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537,496</w:t>
            </w:r>
          </w:p>
        </w:tc>
        <w:tc>
          <w:tcPr>
            <w:tcW w:w="880" w:type="dxa"/>
            <w:vAlign w:val="bottom"/>
          </w:tcPr>
          <w:p>
            <w:pPr>
              <w:jc w:val="right"/>
              <w:spacing w:after="0"/>
              <w:rPr>
                <w:sz w:val="20"/>
                <w:szCs w:val="20"/>
                <w:color w:val="auto"/>
              </w:rPr>
            </w:pPr>
            <w:r>
              <w:rPr>
                <w:rFonts w:ascii="Arial" w:cs="Arial" w:eastAsia="Arial" w:hAnsi="Arial"/>
                <w:sz w:val="16"/>
                <w:szCs w:val="16"/>
                <w:color w:val="auto"/>
              </w:rPr>
              <w:t>(45,470)</w:t>
            </w:r>
          </w:p>
        </w:tc>
        <w:tc>
          <w:tcPr>
            <w:tcW w:w="800" w:type="dxa"/>
            <w:vAlign w:val="bottom"/>
          </w:tcPr>
          <w:p>
            <w:pPr>
              <w:jc w:val="right"/>
              <w:spacing w:after="0"/>
              <w:rPr>
                <w:sz w:val="20"/>
                <w:szCs w:val="20"/>
                <w:color w:val="auto"/>
              </w:rPr>
            </w:pPr>
            <w:r>
              <w:rPr>
                <w:rFonts w:ascii="Arial" w:cs="Arial" w:eastAsia="Arial" w:hAnsi="Arial"/>
                <w:sz w:val="16"/>
                <w:szCs w:val="16"/>
                <w:color w:val="auto"/>
              </w:rPr>
              <w:t>(45,470)</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30,897</w:t>
            </w: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30,897</w:t>
            </w:r>
          </w:p>
        </w:tc>
      </w:tr>
      <w:tr>
        <w:trPr>
          <w:trHeight w:val="223"/>
        </w:trPr>
        <w:tc>
          <w:tcPr>
            <w:tcW w:w="44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1, 2021</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15,973,001</w:t>
            </w: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w:t>
            </w:r>
          </w:p>
        </w:tc>
        <w:tc>
          <w:tcPr>
            <w:tcW w:w="7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$ 94,416</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$ 240,815</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6,641,989</w:t>
            </w:r>
          </w:p>
        </w:tc>
        <w:tc>
          <w:tcPr>
            <w:tcW w:w="16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(187,396)</w:t>
            </w:r>
            <w:r>
              <w:rPr>
                <w:rFonts w:ascii="Arial" w:cs="Arial" w:eastAsia="Arial" w:hAnsi="Arial"/>
                <w:sz w:val="16"/>
                <w:szCs w:val="16"/>
                <w:color w:val="auto"/>
              </w:rPr>
              <w:t>$ 147,993</w:t>
            </w:r>
          </w:p>
        </w:tc>
      </w:tr>
      <w:tr>
        <w:trPr>
          <w:trHeight w:val="169"/>
        </w:trPr>
        <w:tc>
          <w:tcPr>
            <w:tcW w:w="446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Issuance of nonvested shares under incentive plan</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4,680</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(6,161)</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214,761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w:t>
            </w:r>
          </w:p>
        </w:tc>
      </w:tr>
      <w:tr>
        <w:trPr>
          <w:trHeight w:val="189"/>
        </w:trPr>
        <w:tc>
          <w:tcPr>
            <w:tcW w:w="4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r>
      <w:tr>
        <w:trPr>
          <w:trHeight w:val="183"/>
        </w:trPr>
        <w:tc>
          <w:tcPr>
            <w:tcW w:w="44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July 31, 2021</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15,971,349</w:t>
            </w: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72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$ 95,214</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$ 253,305</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6,856,750</w:t>
            </w:r>
          </w:p>
        </w:tc>
        <w:tc>
          <w:tcPr>
            <w:tcW w:w="16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(206,303)</w:t>
            </w:r>
            <w:r>
              <w:rPr>
                <w:rFonts w:ascii="Arial" w:cs="Arial" w:eastAsia="Arial" w:hAnsi="Arial"/>
                <w:sz w:val="16"/>
                <w:szCs w:val="16"/>
                <w:color w:val="auto"/>
              </w:rPr>
              <w:t>$ 142,374</w:t>
            </w:r>
          </w:p>
        </w:tc>
      </w:tr>
      <w:tr>
        <w:trPr>
          <w:trHeight w:val="20"/>
        </w:trPr>
        <w:tc>
          <w:tcPr>
            <w:tcW w:w="446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0"/>
        </w:trPr>
        <w:tc>
          <w:tcPr>
            <w:tcW w:w="4460" w:type="dxa"/>
            <w:vAlign w:val="bottom"/>
          </w:tcPr>
          <w:p>
            <w:pPr>
              <w:spacing w:after="0"/>
              <w:rPr>
                <w:sz w:val="24"/>
                <w:szCs w:val="24"/>
                <w:color w:val="auto"/>
              </w:rPr>
            </w:pPr>
          </w:p>
        </w:tc>
        <w:tc>
          <w:tcPr>
            <w:tcW w:w="14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14"/>
                <w:szCs w:val="14"/>
                <w:b w:val="1"/>
                <w:bCs w:val="1"/>
                <w:color w:val="auto"/>
              </w:rPr>
              <w:t>Paid in</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6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tcPr>
          <w:p>
            <w:pPr>
              <w:spacing w:after="0"/>
              <w:rPr>
                <w:sz w:val="24"/>
                <w:szCs w:val="24"/>
                <w:color w:val="auto"/>
              </w:rPr>
            </w:pPr>
          </w:p>
        </w:tc>
      </w:tr>
      <w:tr>
        <w:trPr>
          <w:trHeight w:val="169"/>
        </w:trPr>
        <w:tc>
          <w:tcPr>
            <w:tcW w:w="446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40" w:type="dxa"/>
            <w:vAlign w:val="bottom"/>
          </w:tcPr>
          <w:p>
            <w:pPr>
              <w:jc w:val="right"/>
              <w:ind w:right="20"/>
              <w:spacing w:after="0"/>
              <w:rPr>
                <w:sz w:val="20"/>
                <w:szCs w:val="20"/>
                <w:color w:val="auto"/>
              </w:rPr>
            </w:pPr>
            <w:r>
              <w:rPr>
                <w:rFonts w:ascii="Arial" w:cs="Arial" w:eastAsia="Arial" w:hAnsi="Arial"/>
                <w:sz w:val="14"/>
                <w:szCs w:val="14"/>
                <w:b w:val="1"/>
                <w:bCs w:val="1"/>
                <w:color w:val="auto"/>
              </w:rPr>
              <w:t>Capital</w:t>
            </w: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0" w:type="dxa"/>
            <w:vAlign w:val="bottom"/>
          </w:tcPr>
          <w:p>
            <w:pPr>
              <w:jc w:val="right"/>
              <w:ind w:right="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r>
      <w:tr>
        <w:trPr>
          <w:trHeight w:val="183"/>
        </w:trPr>
        <w:tc>
          <w:tcPr>
            <w:tcW w:w="44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Balances — February 1, 2020</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15,907,666</w:t>
            </w:r>
          </w:p>
        </w:tc>
        <w:tc>
          <w:tcPr>
            <w:tcW w:w="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157</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$ 93,180</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$ 186,772</w:t>
            </w:r>
          </w:p>
        </w:tc>
        <w:tc>
          <w:tcPr>
            <w:tcW w:w="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5,073,532</w:t>
            </w:r>
          </w:p>
        </w:tc>
        <w:tc>
          <w:tcPr>
            <w:tcW w:w="16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(109,065)$ 171,044</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Vesting of nonvested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 under incentive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86,025</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(8,872)</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00" w:type="dxa"/>
            <w:vAlign w:val="bottom"/>
          </w:tcPr>
          <w:p>
            <w:pPr>
              <w:jc w:val="right"/>
              <w:spacing w:after="0"/>
              <w:rPr>
                <w:sz w:val="20"/>
                <w:szCs w:val="20"/>
                <w:color w:val="auto"/>
              </w:rPr>
            </w:pPr>
            <w:r>
              <w:rPr>
                <w:rFonts w:ascii="Arial" w:cs="Arial" w:eastAsia="Arial" w:hAnsi="Arial"/>
                <w:sz w:val="16"/>
                <w:szCs w:val="16"/>
                <w:color w:val="auto"/>
              </w:rPr>
              <w:t>(34,487)</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(479)</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Repurchase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260,254</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Dividends to stockholders ($0.08 per common share)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(831)</w:t>
            </w:r>
          </w:p>
        </w:tc>
        <w:tc>
          <w:tcPr>
            <w:tcW w:w="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(831)</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(20,892)</w:t>
            </w:r>
          </w:p>
        </w:tc>
        <w:tc>
          <w:tcPr>
            <w:tcW w:w="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(20,892)</w:t>
            </w:r>
          </w:p>
        </w:tc>
      </w:tr>
      <w:tr>
        <w:trPr>
          <w:trHeight w:val="223"/>
        </w:trPr>
        <w:tc>
          <w:tcPr>
            <w:tcW w:w="446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Balances — May 2, 2020</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15,950,332</w:t>
            </w:r>
          </w:p>
        </w:tc>
        <w:tc>
          <w:tcPr>
            <w:tcW w:w="1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158</w:t>
            </w:r>
          </w:p>
        </w:tc>
        <w:tc>
          <w:tcPr>
            <w:tcW w:w="7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color w:val="auto"/>
              </w:rPr>
              <w:t>$ 93,170</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$ 165,049</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5,333,786</w:t>
            </w:r>
          </w:p>
        </w:tc>
        <w:tc>
          <w:tcPr>
            <w:tcW w:w="16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(115,319)</w:t>
            </w:r>
            <w:r>
              <w:rPr>
                <w:rFonts w:ascii="Arial" w:cs="Arial" w:eastAsia="Arial" w:hAnsi="Arial"/>
                <w:sz w:val="16"/>
                <w:szCs w:val="16"/>
                <w:color w:val="auto"/>
              </w:rPr>
              <w:t>$ 143,058</w:t>
            </w:r>
          </w:p>
        </w:tc>
      </w:tr>
      <w:tr>
        <w:trPr>
          <w:trHeight w:val="170"/>
        </w:trPr>
        <w:tc>
          <w:tcPr>
            <w:tcW w:w="446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rPr>
              <w:t>Issuance of nonvested shares under incentive plan</w:t>
            </w: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17,808</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20"/>
              <w:spacing w:after="0" w:line="170"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6"/>
                <w:szCs w:val="16"/>
                <w:color w:val="auto"/>
              </w:rPr>
              <w:t>—</w:t>
            </w:r>
          </w:p>
        </w:tc>
      </w:tr>
      <w:tr>
        <w:trPr>
          <w:trHeight w:val="189"/>
        </w:trPr>
        <w:tc>
          <w:tcPr>
            <w:tcW w:w="446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536</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189"/>
        </w:trPr>
        <w:tc>
          <w:tcPr>
            <w:tcW w:w="446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44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19,867</w:t>
            </w:r>
          </w:p>
        </w:tc>
        <w:tc>
          <w:tcPr>
            <w:tcW w:w="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19,867</w:t>
            </w:r>
          </w:p>
        </w:tc>
      </w:tr>
      <w:tr>
        <w:trPr>
          <w:trHeight w:val="183"/>
        </w:trPr>
        <w:tc>
          <w:tcPr>
            <w:tcW w:w="44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August 1, 2020</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15,967,948</w:t>
            </w: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w:t>
            </w:r>
          </w:p>
        </w:tc>
        <w:tc>
          <w:tcPr>
            <w:tcW w:w="720" w:type="dxa"/>
            <w:vAlign w:val="bottom"/>
            <w:tcBorders>
              <w:bottom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$ 93,702</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$ 184,916</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5,333,786</w:t>
            </w:r>
          </w:p>
        </w:tc>
        <w:tc>
          <w:tcPr>
            <w:tcW w:w="16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(115,319)</w:t>
            </w:r>
            <w:r>
              <w:rPr>
                <w:rFonts w:ascii="Arial" w:cs="Arial" w:eastAsia="Arial" w:hAnsi="Arial"/>
                <w:sz w:val="16"/>
                <w:szCs w:val="16"/>
                <w:color w:val="auto"/>
              </w:rPr>
              <w:t>$ 163,457</w:t>
            </w:r>
          </w:p>
        </w:tc>
      </w:tr>
      <w:tr>
        <w:trPr>
          <w:trHeight w:val="20"/>
        </w:trPr>
        <w:tc>
          <w:tcPr>
            <w:tcW w:w="4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July 31, 2021</w:t>
      </w:r>
    </w:p>
    <w:p>
      <w:pPr>
        <w:spacing w:after="0" w:line="30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Citi Trends, Inc. and its subsidiary (the “Company”) is a growing specialty value retailer of apparel, accessories and home trends primarily for African American and Latinx families. As of July 31, 2021, the Company operated 589 stores in urban, suburban and rural markets in 33 states.</w:t>
      </w:r>
    </w:p>
    <w:p>
      <w:pPr>
        <w:spacing w:after="0" w:line="26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30, 2021 is derived from the audited financial statements in the Company’s Annual Report on Form 10-K for the fiscal year ended January 30, 2021 (the “2020 Form 10-K”). These condensed consolidated financial statements should be read in conjunction with the audited consolidated financial statements and notes thereto included in the 2020 Form 10-K. Operating results for the second quarter of 2021 are not necessarily indicative of the results that may be expected for the fiscal year as a result of the seasonality of the business and current uncertainty surrounding the economic impact of the novel coronavirus (“COVID-19”) pandemic and the duration and extent of any economic stimulus programs.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6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following contains references to fiscal years 2021 and 2020, which represent fiscal years ending or ended on January 29, 2022 and January 30, 2021, respectively. Fiscal 2021 and 2020 both have 52-week accounting periods.</w:t>
      </w:r>
    </w:p>
    <w:p>
      <w:pPr>
        <w:spacing w:after="0" w:line="276"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COVID-19 Pandemic</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In March 2020, the World Health Organization declared the spread of the coronavirus (“COVID-19”) a global pandemic.</w:t>
      </w:r>
    </w:p>
    <w:p>
      <w:pPr>
        <w:spacing w:after="0" w:line="28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pandemic has resulted in periods of disruption for the Company, including the temporary closure of stores and limited store operating hours, reduced customer traffic and consumer spending, and delays in the manufacturing and shipping of products. The Company saw improvement in its financial results and positive trends during the latter half of 2020 and into the first half of 2021 as certain governments began to ease restrictions and provide economic stimulus and vaccine distribution accelerated, leading to an increase in spending and increased customer demand.</w:t>
      </w:r>
    </w:p>
    <w:p>
      <w:pPr>
        <w:spacing w:after="0" w:line="27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expects continued uncertainty in its business and the global economy due to the COVID-19 pandemic, including potential volatility in employment trends and consumer confidence, current or future restrictive actions that may be imposed by governments or public health authorities, the duration and extent of any economic stimulus programs, supply chain interruptions, increased distribution and transportation costs, increased payroll expenses, and increased costs to maintain safe work and shopping environments. The impacts of the pandemic have had, and may continue to have, an adverse impact on the Company’s financial condition, results of operations and liquidity. The Company will continue to monitor the effects of COVID-19 and take the necessary actions to serve our associates, customers, communities and shareholders.</w:t>
      </w:r>
    </w:p>
    <w:p>
      <w:pPr>
        <w:spacing w:after="0" w:line="28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8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8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89"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 w:name="page8"/>
    <w:bookmarkEnd w:id="7"/>
    <w:p>
      <w:pPr>
        <w:ind w:right="20"/>
        <w:spacing w:after="0" w:line="249"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thirteen weeks ended July 31, 2021 and August 1, 2020, there were 39,000 and 165,000 shares of nonvested restricted stock, respectively, excluded from the calculation of diluted earnings per share because of antidilution. For the twenty-six weeks ended July 31, 2021 and August 1, 2020, there were 38,000 and 173,000 shares of nonvested restricted stock, respectively, excluded from the calculation of diluted earnings per share because of antidilution.</w:t>
      </w:r>
    </w:p>
    <w:p>
      <w:pPr>
        <w:spacing w:after="0" w:line="272"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64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Thirteen Weeks Ended</w:t>
            </w:r>
          </w:p>
        </w:tc>
      </w:tr>
      <w:tr>
        <w:trPr>
          <w:trHeight w:val="39"/>
        </w:trPr>
        <w:tc>
          <w:tcPr>
            <w:tcW w:w="728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728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2021</w:t>
            </w:r>
          </w:p>
        </w:tc>
        <w:tc>
          <w:tcPr>
            <w:tcW w:w="1220" w:type="dxa"/>
            <w:vAlign w:val="bottom"/>
          </w:tcPr>
          <w:p>
            <w:pPr>
              <w:jc w:val="right"/>
              <w:ind w:right="21"/>
              <w:spacing w:after="0"/>
              <w:rPr>
                <w:sz w:val="20"/>
                <w:szCs w:val="20"/>
                <w:color w:val="auto"/>
              </w:rPr>
            </w:pPr>
            <w:r>
              <w:rPr>
                <w:rFonts w:ascii="Arial" w:cs="Arial" w:eastAsia="Arial" w:hAnsi="Arial"/>
                <w:sz w:val="14"/>
                <w:szCs w:val="14"/>
                <w:b w:val="1"/>
                <w:bCs w:val="1"/>
                <w:color w:val="auto"/>
              </w:rPr>
              <w:t>August 1, 2020</w:t>
            </w:r>
          </w:p>
        </w:tc>
      </w:tr>
      <w:tr>
        <w:trPr>
          <w:trHeight w:val="26"/>
        </w:trPr>
        <w:tc>
          <w:tcPr>
            <w:tcW w:w="7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9,087,709</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10,451,194</w:t>
            </w:r>
          </w:p>
        </w:tc>
      </w:tr>
      <w:tr>
        <w:trPr>
          <w:trHeight w:val="197"/>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Pr>
          <w:p>
            <w:pPr>
              <w:jc w:val="right"/>
              <w:spacing w:after="0"/>
              <w:rPr>
                <w:sz w:val="20"/>
                <w:szCs w:val="20"/>
                <w:color w:val="auto"/>
              </w:rPr>
            </w:pPr>
            <w:r>
              <w:rPr>
                <w:rFonts w:ascii="Arial" w:cs="Arial" w:eastAsia="Arial" w:hAnsi="Arial"/>
                <w:sz w:val="16"/>
                <w:szCs w:val="16"/>
                <w:color w:val="auto"/>
              </w:rPr>
              <w:t>90,263</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6,842</w:t>
            </w:r>
          </w:p>
        </w:tc>
      </w:tr>
      <w:tr>
        <w:trPr>
          <w:trHeight w:val="47"/>
        </w:trPr>
        <w:tc>
          <w:tcPr>
            <w:tcW w:w="72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1"/>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9,177,972</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10,458,036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387"/>
        </w:trPr>
        <w:tc>
          <w:tcPr>
            <w:tcW w:w="7280" w:type="dxa"/>
            <w:vAlign w:val="bottom"/>
          </w:tcPr>
          <w:p>
            <w:pPr>
              <w:spacing w:after="0"/>
              <w:rPr>
                <w:sz w:val="24"/>
                <w:szCs w:val="24"/>
                <w:color w:val="auto"/>
              </w:rPr>
            </w:pPr>
          </w:p>
        </w:tc>
        <w:tc>
          <w:tcPr>
            <w:tcW w:w="26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Twenty-Six Weeks Ended</w:t>
            </w:r>
          </w:p>
        </w:tc>
      </w:tr>
      <w:tr>
        <w:trPr>
          <w:trHeight w:val="39"/>
        </w:trPr>
        <w:tc>
          <w:tcPr>
            <w:tcW w:w="728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7280" w:type="dxa"/>
            <w:vAlign w:val="bottom"/>
          </w:tcPr>
          <w:p>
            <w:pPr>
              <w:spacing w:after="0"/>
              <w:rPr>
                <w:sz w:val="15"/>
                <w:szCs w:val="15"/>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31, 2021</w:t>
            </w:r>
          </w:p>
        </w:tc>
        <w:tc>
          <w:tcPr>
            <w:tcW w:w="1220" w:type="dxa"/>
            <w:vAlign w:val="bottom"/>
          </w:tcPr>
          <w:p>
            <w:pPr>
              <w:jc w:val="right"/>
              <w:ind w:right="21"/>
              <w:spacing w:after="0"/>
              <w:rPr>
                <w:sz w:val="20"/>
                <w:szCs w:val="20"/>
                <w:color w:val="auto"/>
              </w:rPr>
            </w:pPr>
            <w:r>
              <w:rPr>
                <w:rFonts w:ascii="Arial" w:cs="Arial" w:eastAsia="Arial" w:hAnsi="Arial"/>
                <w:sz w:val="14"/>
                <w:szCs w:val="14"/>
                <w:b w:val="1"/>
                <w:bCs w:val="1"/>
                <w:color w:val="auto"/>
              </w:rPr>
              <w:t>August 1, 2020</w:t>
            </w:r>
          </w:p>
        </w:tc>
      </w:tr>
      <w:tr>
        <w:trPr>
          <w:trHeight w:val="26"/>
        </w:trPr>
        <w:tc>
          <w:tcPr>
            <w:tcW w:w="7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9,268,751</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10,446,915</w:t>
            </w:r>
          </w:p>
        </w:tc>
      </w:tr>
      <w:tr>
        <w:trPr>
          <w:trHeight w:val="197"/>
        </w:trPr>
        <w:tc>
          <w:tcPr>
            <w:tcW w:w="7280" w:type="dxa"/>
            <w:vAlign w:val="bottom"/>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200" w:type="dxa"/>
            <w:vAlign w:val="bottom"/>
          </w:tcPr>
          <w:p>
            <w:pPr>
              <w:jc w:val="right"/>
              <w:spacing w:after="0"/>
              <w:rPr>
                <w:sz w:val="20"/>
                <w:szCs w:val="20"/>
                <w:color w:val="auto"/>
              </w:rPr>
            </w:pPr>
            <w:r>
              <w:rPr>
                <w:rFonts w:ascii="Arial" w:cs="Arial" w:eastAsia="Arial" w:hAnsi="Arial"/>
                <w:sz w:val="16"/>
                <w:szCs w:val="16"/>
                <w:color w:val="auto"/>
              </w:rPr>
              <w:t>105,653</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
        </w:trPr>
        <w:tc>
          <w:tcPr>
            <w:tcW w:w="72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2"/>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9,374,404</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10,446,915</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Fair Value Measurement</w:t>
      </w:r>
    </w:p>
    <w:p>
      <w:pPr>
        <w:spacing w:after="0" w:line="289"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270" w:lineRule="exact"/>
        <w:rPr>
          <w:sz w:val="20"/>
          <w:szCs w:val="20"/>
          <w:color w:val="auto"/>
        </w:rPr>
      </w:pPr>
    </w:p>
    <w:p>
      <w:pPr>
        <w:ind w:left="660" w:right="40"/>
        <w:spacing w:after="0" w:line="260" w:lineRule="auto"/>
        <w:rPr>
          <w:sz w:val="20"/>
          <w:szCs w:val="20"/>
          <w:color w:val="auto"/>
        </w:rPr>
      </w:pPr>
      <w:r>
        <w:rPr>
          <w:rFonts w:ascii="Arial" w:cs="Arial" w:eastAsia="Arial" w:hAnsi="Arial"/>
          <w:sz w:val="16"/>
          <w:szCs w:val="16"/>
          <w:color w:val="auto"/>
        </w:rPr>
        <w:t>Level 1: Unadjusted quoted prices in active markets that are accessible at the measurement date for assets or liabilities. The fair value hierarchy gives the highest priority to Level 1 inputs.</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Level 2: Observable prices that are based on inputs not quoted on active markets, but corroborated by market data.</w:t>
      </w:r>
    </w:p>
    <w:p>
      <w:pPr>
        <w:spacing w:after="0" w:line="289" w:lineRule="exact"/>
        <w:rPr>
          <w:sz w:val="20"/>
          <w:szCs w:val="20"/>
          <w:color w:val="auto"/>
        </w:rPr>
      </w:pPr>
    </w:p>
    <w:p>
      <w:pPr>
        <w:ind w:left="660" w:right="240" w:firstLine="1"/>
        <w:spacing w:after="0" w:line="260" w:lineRule="auto"/>
        <w:rPr>
          <w:sz w:val="20"/>
          <w:szCs w:val="20"/>
          <w:color w:val="auto"/>
        </w:rPr>
      </w:pPr>
      <w:r>
        <w:rPr>
          <w:rFonts w:ascii="Arial" w:cs="Arial" w:eastAsia="Arial" w:hAnsi="Arial"/>
          <w:sz w:val="16"/>
          <w:szCs w:val="16"/>
          <w:color w:val="auto"/>
        </w:rPr>
        <w:t>Level 3: Unobservable inputs are used when little or no market data is available. Level 3 inputs are given the lowest priority in the fair value hierarchy.</w:t>
      </w:r>
    </w:p>
    <w:p>
      <w:pPr>
        <w:spacing w:after="0" w:line="26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of July 31, 2021,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center"/>
              <w:ind w:right="83"/>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8"/>
                <w:szCs w:val="18"/>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 Market</w:t>
            </w:r>
          </w:p>
        </w:tc>
      </w:tr>
      <w:tr>
        <w:trPr>
          <w:trHeight w:val="216"/>
        </w:trPr>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16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center"/>
              <w:ind w:right="63"/>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39"/>
        </w:trPr>
        <w:tc>
          <w:tcPr>
            <w:tcW w:w="49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r>
      <w:tr>
        <w:trPr>
          <w:trHeight w:val="230"/>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17"/>
        </w:trPr>
        <w:tc>
          <w:tcPr>
            <w:tcW w:w="4920" w:type="dxa"/>
            <w:vAlign w:val="bottom"/>
          </w:tcPr>
          <w:p>
            <w:pPr>
              <w:ind w:left="220"/>
              <w:spacing w:after="0"/>
              <w:rPr>
                <w:sz w:val="20"/>
                <w:szCs w:val="20"/>
                <w:color w:val="auto"/>
              </w:rPr>
            </w:pPr>
            <w:r>
              <w:rPr>
                <w:rFonts w:ascii="Arial" w:cs="Arial" w:eastAsia="Arial" w:hAnsi="Arial"/>
                <w:sz w:val="16"/>
                <w:szCs w:val="16"/>
                <w:color w:val="auto"/>
              </w:rPr>
              <w:t>Corporate debt securities (Level 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17,746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17,726</w:t>
            </w:r>
          </w:p>
        </w:tc>
        <w:tc>
          <w:tcPr>
            <w:tcW w:w="60" w:type="dxa"/>
            <w:vAlign w:val="bottom"/>
          </w:tcPr>
          <w:p>
            <w:pPr>
              <w:spacing w:after="0"/>
              <w:rPr>
                <w:sz w:val="18"/>
                <w:szCs w:val="18"/>
                <w:color w:val="auto"/>
              </w:rPr>
            </w:pPr>
          </w:p>
        </w:tc>
      </w:tr>
      <w:tr>
        <w:trPr>
          <w:trHeight w:val="40"/>
        </w:trPr>
        <w:tc>
          <w:tcPr>
            <w:tcW w:w="4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Obligations of states and municipalities (Level 2)</w:t>
            </w:r>
          </w:p>
        </w:tc>
        <w:tc>
          <w:tcPr>
            <w:tcW w:w="1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6,857</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6,855</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10"/>
        </w:trPr>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24,603</w:t>
            </w: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24,581</w:t>
            </w:r>
          </w:p>
        </w:tc>
        <w:tc>
          <w:tcPr>
            <w:tcW w:w="60" w:type="dxa"/>
            <w:vAlign w:val="bottom"/>
          </w:tcPr>
          <w:p>
            <w:pPr>
              <w:spacing w:after="0"/>
              <w:rPr>
                <w:sz w:val="18"/>
                <w:szCs w:val="18"/>
                <w:color w:val="auto"/>
              </w:rPr>
            </w:pPr>
          </w:p>
        </w:tc>
      </w:tr>
      <w:tr>
        <w:trPr>
          <w:trHeight w:val="40"/>
        </w:trPr>
        <w:tc>
          <w:tcPr>
            <w:tcW w:w="4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0"/>
        </w:trPr>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amortized cost and fair market value of investment securities as of July 31, 2021 by contractual maturity are as follows (in thousands):</w:t>
      </w:r>
    </w:p>
    <w:p>
      <w:pPr>
        <w:spacing w:after="0" w:line="84"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Fair</w:t>
      </w:r>
    </w:p>
    <w:p>
      <w:pPr>
        <w:spacing w:after="0" w:line="82" w:lineRule="exact"/>
        <w:rPr>
          <w:sz w:val="20"/>
          <w:szCs w:val="20"/>
          <w:color w:val="auto"/>
        </w:rPr>
      </w:pPr>
    </w:p>
    <w:p>
      <w:pPr>
        <w:ind w:left="7620"/>
        <w:spacing w:after="0"/>
        <w:tabs>
          <w:tab w:leader="none" w:pos="9060" w:val="left"/>
        </w:tabs>
        <w:rPr>
          <w:sz w:val="20"/>
          <w:szCs w:val="20"/>
          <w:color w:val="auto"/>
        </w:rPr>
      </w:pPr>
      <w:r>
        <w:rPr>
          <w:rFonts w:ascii="Arial" w:cs="Arial" w:eastAsia="Arial" w:hAnsi="Arial"/>
          <w:sz w:val="14"/>
          <w:szCs w:val="14"/>
          <w:b w:val="1"/>
          <w:bCs w:val="1"/>
          <w:color w:val="auto"/>
        </w:rPr>
        <w:t>Amortized</w:t>
      </w:r>
      <w:r>
        <w:rPr>
          <w:sz w:val="20"/>
          <w:szCs w:val="20"/>
          <w:color w:val="auto"/>
        </w:rPr>
        <w:tab/>
      </w:r>
      <w:r>
        <w:rPr>
          <w:rFonts w:ascii="Arial" w:cs="Arial" w:eastAsia="Arial" w:hAnsi="Arial"/>
          <w:sz w:val="14"/>
          <w:szCs w:val="14"/>
          <w:b w:val="1"/>
          <w:bCs w:val="1"/>
          <w:color w:val="auto"/>
        </w:rPr>
        <w:t>Market</w:t>
      </w:r>
    </w:p>
    <w:p>
      <w:pPr>
        <w:spacing w:after="0" w:line="82" w:lineRule="exact"/>
        <w:rPr>
          <w:sz w:val="20"/>
          <w:szCs w:val="20"/>
          <w:color w:val="auto"/>
        </w:rPr>
      </w:pPr>
    </w:p>
    <w:p>
      <w:pPr>
        <w:ind w:left="7820"/>
        <w:spacing w:after="0"/>
        <w:tabs>
          <w:tab w:leader="none" w:pos="9100" w:val="left"/>
        </w:tabs>
        <w:rPr>
          <w:sz w:val="20"/>
          <w:szCs w:val="20"/>
          <w:color w:val="auto"/>
        </w:rPr>
      </w:pPr>
      <w:r>
        <w:rPr>
          <w:rFonts w:ascii="Arial" w:cs="Arial" w:eastAsia="Arial" w:hAnsi="Arial"/>
          <w:sz w:val="14"/>
          <w:szCs w:val="14"/>
          <w:b w:val="1"/>
          <w:bCs w:val="1"/>
          <w:color w:val="auto"/>
        </w:rPr>
        <w:t>Cost</w:t>
      </w:r>
      <w:r>
        <w:rPr>
          <w:sz w:val="20"/>
          <w:szCs w:val="20"/>
          <w:color w:val="auto"/>
        </w:rPr>
        <w:tab/>
      </w:r>
      <w:r>
        <w:rPr>
          <w:rFonts w:ascii="Arial" w:cs="Arial" w:eastAsia="Arial" w:hAnsi="Arial"/>
          <w:sz w:val="14"/>
          <w:szCs w:val="14"/>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63195"/>
                    </a:xfrm>
                    <a:prstGeom prst="rect">
                      <a:avLst/>
                    </a:prstGeom>
                    <a:noFill/>
                  </pic:spPr>
                </pic:pic>
              </a:graphicData>
            </a:graphic>
          </wp:anchor>
        </w:drawing>
      </w:r>
    </w:p>
    <w:p>
      <w:pPr>
        <w:spacing w:after="0" w:line="64" w:lineRule="exact"/>
        <w:rPr>
          <w:sz w:val="20"/>
          <w:szCs w:val="20"/>
          <w:color w:val="auto"/>
        </w:rPr>
      </w:pPr>
    </w:p>
    <w:p>
      <w:pPr>
        <w:spacing w:after="0"/>
        <w:tabs>
          <w:tab w:leader="none" w:pos="7400" w:val="left"/>
          <w:tab w:leader="none" w:pos="7980" w:val="left"/>
          <w:tab w:leader="none" w:pos="8720" w:val="left"/>
          <w:tab w:leader="none" w:pos="9300" w:val="left"/>
        </w:tabs>
        <w:rPr>
          <w:sz w:val="20"/>
          <w:szCs w:val="20"/>
          <w:color w:val="auto"/>
        </w:rPr>
      </w:pPr>
      <w:r>
        <w:rPr>
          <w:rFonts w:ascii="Arial" w:cs="Arial" w:eastAsia="Arial" w:hAnsi="Arial"/>
          <w:sz w:val="16"/>
          <w:szCs w:val="16"/>
          <w:color w:val="auto"/>
        </w:rPr>
        <w:t>Mature in one year or less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24,603</w:t>
        <w:tab/>
        <w:t>$</w:t>
      </w:r>
      <w:r>
        <w:rPr>
          <w:sz w:val="20"/>
          <w:szCs w:val="20"/>
          <w:color w:val="auto"/>
        </w:rPr>
        <w:tab/>
      </w:r>
      <w:r>
        <w:rPr>
          <w:rFonts w:ascii="Arial" w:cs="Arial" w:eastAsia="Arial" w:hAnsi="Arial"/>
          <w:sz w:val="16"/>
          <w:szCs w:val="16"/>
          <w:color w:val="auto"/>
        </w:rPr>
        <w:t>24,581</w:t>
      </w:r>
    </w:p>
    <w:p>
      <w:pPr>
        <w:spacing w:after="0" w:line="37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Impairment of Assets</w:t>
      </w:r>
    </w:p>
    <w:p>
      <w:pPr>
        <w:spacing w:after="0" w:line="28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There was no impairment expense recorded in the first half of 2021. In the first half of 2020, non-cash impairment charges related to an underperforming store totaled $0.3 million, comprised of $0.2 million for an operating lease right-of-use asset and $0.1 million for leasehold improvements and fixtures and equipment.</w:t>
      </w:r>
    </w:p>
    <w:p>
      <w:pPr>
        <w:spacing w:after="0" w:line="326"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8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 The Company had no borrowings under the credit facility as of July 31, 2021.</w:t>
      </w:r>
    </w:p>
    <w:p>
      <w:pPr>
        <w:spacing w:after="0" w:line="29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8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2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For the first half of 2021, the Company utilized the annual effective tax rate method to calculate income taxes. For the first half of 2020, the Company utilized the discrete effective tax rate method based on the determination that the full-year tax rate was not reliably predictable. The tax rate was 21.5% for the first half of 2021, compared to 27.6% (benefit) for the first half of 2020. The difference in the tax rate was primarily due to pretax income in the current year compared to a pretax loss in the same period of 2020.</w:t>
      </w:r>
    </w:p>
    <w:p>
      <w:pPr>
        <w:spacing w:after="0" w:line="283"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8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9" w:name="page10"/>
    <w:bookmarkEnd w:id="9"/>
    <w:p>
      <w:pPr>
        <w:ind w:left="280" w:hanging="272"/>
        <w:spacing w:after="0"/>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Repurchases of Common Stock</w:t>
      </w:r>
    </w:p>
    <w:p>
      <w:pPr>
        <w:spacing w:after="0" w:line="7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November 2019, the Company’s board of directors approved a stock repurchase program that authorized the repurchase of up to $25 million of the Company’s common stock. In the first quarter of 2020, the Company repurchased 260,254 shares of its common stock at an aggregate cost of $6.3 million.</w:t>
      </w:r>
    </w:p>
    <w:p>
      <w:pPr>
        <w:spacing w:after="0" w:line="269"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In March 2020, the Company’s board of directors approved another $30 million stock repurchase program. Shortly thereafter, due to the economic uncertainty stemming from the COVID-19 pandemic, the Company suspended its stock repurchase program until September 2020 when the program was reinstated. In December 2020, the Company announced that its board of directors approved an additional $30 million stock repurchase program. In June 2021, the Company announced that its board of directors authorized another $30 million stock repurchase program.</w:t>
      </w:r>
    </w:p>
    <w:p>
      <w:pPr>
        <w:spacing w:after="0" w:line="27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the first half of 2021, the Company repurchased 502,257 shares of its common stock under its repurchase programs at an aggregate cost of $42.5 million. In addition, the Company completed a block repurchase of 250,000 shares of its common stock at an aggregate cost of $21.9 million.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As of July 31, 2021, the Company had approximately $20.9 million available under its previously announced stock repurchase program.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On August 24, 2021, the Company announced that its board of directors authorized another $30 million stock repurchase program.</w:t>
      </w:r>
    </w:p>
    <w:p>
      <w:pPr>
        <w:spacing w:after="0" w:line="302"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62"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Company’s primary source of revenue is derived from the sale of apparel, accessories and home trends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62"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The Company allows customers to return merchandise for up to thirty days after the date of sale. Expected refunds to customers are recorded based on estimated margin using historical return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7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27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the following table, the Company’s revenue is disaggregated by “CITI” or major merchandise category. The percentage of net sales for each CITI within the merchandise assortment was approximately:</w:t>
      </w:r>
    </w:p>
    <w:p>
      <w:pPr>
        <w:spacing w:after="0" w:line="315"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Twenty-Six Weeks Ended</w:t>
            </w:r>
          </w:p>
        </w:tc>
        <w:tc>
          <w:tcPr>
            <w:tcW w:w="80" w:type="dxa"/>
            <w:vAlign w:val="bottom"/>
          </w:tcPr>
          <w:p>
            <w:pPr>
              <w:spacing w:after="0"/>
              <w:rPr>
                <w:sz w:val="15"/>
                <w:szCs w:val="15"/>
                <w:color w:val="auto"/>
              </w:rPr>
            </w:pPr>
          </w:p>
        </w:tc>
      </w:tr>
      <w:tr>
        <w:trPr>
          <w:trHeight w:val="211"/>
        </w:trPr>
        <w:tc>
          <w:tcPr>
            <w:tcW w:w="420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31,</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August 1,</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1,</w:t>
            </w:r>
          </w:p>
        </w:tc>
      </w:tr>
      <w:tr>
        <w:trPr>
          <w:trHeight w:val="201"/>
        </w:trPr>
        <w:tc>
          <w:tcPr>
            <w:tcW w:w="42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r>
      <w:tr>
        <w:trPr>
          <w:trHeight w:val="183"/>
        </w:trPr>
        <w:tc>
          <w:tcPr>
            <w:tcW w:w="4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Women</w:t>
            </w: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28 %</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27 %</w:t>
            </w: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29 %</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5"/>
                <w:szCs w:val="15"/>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720" w:type="dxa"/>
            <w:vAlign w:val="bottom"/>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21 %</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6"/>
                <w:szCs w:val="16"/>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Men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80" w:type="dxa"/>
            <w:vAlign w:val="bottom"/>
            <w:shd w:val="clear" w:color="auto" w:fill="CCEEFF"/>
          </w:tcPr>
          <w:p>
            <w:pPr>
              <w:spacing w:after="0"/>
              <w:rPr>
                <w:sz w:val="16"/>
                <w:szCs w:val="16"/>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7"/>
                <w:szCs w:val="17"/>
                <w:color w:val="auto"/>
              </w:rPr>
              <w:t>Beauty &amp; Accessories</w:t>
            </w:r>
          </w:p>
        </w:tc>
        <w:tc>
          <w:tcPr>
            <w:tcW w:w="720" w:type="dxa"/>
            <w:vAlign w:val="bottom"/>
          </w:tcPr>
          <w:p>
            <w:pPr>
              <w:jc w:val="right"/>
              <w:spacing w:after="0"/>
              <w:rPr>
                <w:sz w:val="20"/>
                <w:szCs w:val="20"/>
                <w:color w:val="auto"/>
              </w:rPr>
            </w:pPr>
            <w:r>
              <w:rPr>
                <w:rFonts w:ascii="Arial" w:cs="Arial" w:eastAsia="Arial" w:hAnsi="Arial"/>
                <w:sz w:val="16"/>
                <w:szCs w:val="16"/>
                <w:color w:val="auto"/>
              </w:rPr>
              <w:t>18 %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15 %</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17 %</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6"/>
                <w:szCs w:val="16"/>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80" w:type="dxa"/>
            <w:vAlign w:val="bottom"/>
            <w:shd w:val="clear" w:color="auto" w:fill="CCEEFF"/>
          </w:tcPr>
          <w:p>
            <w:pPr>
              <w:spacing w:after="0"/>
              <w:rPr>
                <w:sz w:val="16"/>
                <w:szCs w:val="16"/>
                <w:color w:val="auto"/>
              </w:rPr>
            </w:pPr>
          </w:p>
        </w:tc>
      </w:tr>
      <w:tr>
        <w:trPr>
          <w:trHeight w:val="205"/>
        </w:trPr>
        <w:tc>
          <w:tcPr>
            <w:tcW w:w="4200" w:type="dxa"/>
            <w:vAlign w:val="bottom"/>
          </w:tcPr>
          <w:p>
            <w:pPr>
              <w:spacing w:after="0"/>
              <w:rPr>
                <w:sz w:val="20"/>
                <w:szCs w:val="20"/>
                <w:color w:val="auto"/>
              </w:rPr>
            </w:pPr>
            <w:r>
              <w:rPr>
                <w:rFonts w:ascii="Arial" w:cs="Arial" w:eastAsia="Arial" w:hAnsi="Arial"/>
                <w:sz w:val="17"/>
                <w:szCs w:val="17"/>
                <w:color w:val="auto"/>
              </w:rPr>
              <w:t>Footwear</w:t>
            </w:r>
          </w:p>
        </w:tc>
        <w:tc>
          <w:tcPr>
            <w:tcW w:w="720" w:type="dxa"/>
            <w:vAlign w:val="bottom"/>
          </w:tcPr>
          <w:p>
            <w:pPr>
              <w:jc w:val="right"/>
              <w:spacing w:after="0"/>
              <w:rPr>
                <w:sz w:val="20"/>
                <w:szCs w:val="20"/>
                <w:color w:val="auto"/>
              </w:rPr>
            </w:pPr>
            <w:r>
              <w:rPr>
                <w:rFonts w:ascii="Arial" w:cs="Arial" w:eastAsia="Arial" w:hAnsi="Arial"/>
                <w:sz w:val="16"/>
                <w:szCs w:val="16"/>
                <w:color w:val="auto"/>
              </w:rPr>
              <w:t>8 %</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9 %</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8 %</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41" w:right="1019" w:bottom="1440" w:gutter="0" w:footer="0" w:header="0"/>
        </w:sectPr>
      </w:pPr>
    </w:p>
    <w:bookmarkStart w:id="10" w:name="page11"/>
    <w:bookmarkEnd w:id="10"/>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8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270" w:lineRule="exact"/>
        <w:rPr>
          <w:sz w:val="20"/>
          <w:szCs w:val="20"/>
          <w:color w:val="auto"/>
        </w:rPr>
      </w:pPr>
    </w:p>
    <w:p>
      <w:pPr>
        <w:jc w:val="both"/>
        <w:ind w:right="480"/>
        <w:spacing w:after="0" w:line="253"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361"/>
              <w:spacing w:after="0"/>
              <w:rPr>
                <w:sz w:val="20"/>
                <w:szCs w:val="20"/>
                <w:color w:val="auto"/>
              </w:rPr>
            </w:pPr>
            <w:r>
              <w:rPr>
                <w:rFonts w:ascii="Arial" w:cs="Arial" w:eastAsia="Arial" w:hAnsi="Arial"/>
                <w:sz w:val="14"/>
                <w:szCs w:val="14"/>
                <w:b w:val="1"/>
                <w:bCs w:val="1"/>
                <w:color w:val="auto"/>
              </w:rPr>
              <w:t>Twenty-Six Weeks Ended</w:t>
            </w:r>
          </w:p>
        </w:tc>
      </w:tr>
      <w:tr>
        <w:trPr>
          <w:trHeight w:val="39"/>
        </w:trPr>
        <w:tc>
          <w:tcPr>
            <w:tcW w:w="30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4"/>
        </w:trPr>
        <w:tc>
          <w:tcPr>
            <w:tcW w:w="3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42"/>
              <w:spacing w:after="0"/>
              <w:rPr>
                <w:sz w:val="20"/>
                <w:szCs w:val="20"/>
                <w:color w:val="auto"/>
              </w:rPr>
            </w:pPr>
            <w:r>
              <w:rPr>
                <w:rFonts w:ascii="Arial" w:cs="Arial" w:eastAsia="Arial" w:hAnsi="Arial"/>
                <w:sz w:val="14"/>
                <w:szCs w:val="14"/>
                <w:b w:val="1"/>
                <w:bCs w:val="1"/>
                <w:color w:val="auto"/>
              </w:rPr>
              <w:t>July 31, 2021</w:t>
            </w:r>
          </w:p>
        </w:tc>
        <w:tc>
          <w:tcPr>
            <w:tcW w:w="20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August 1, 2020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31, 2021</w:t>
            </w:r>
          </w:p>
        </w:tc>
        <w:tc>
          <w:tcPr>
            <w:tcW w:w="80" w:type="dxa"/>
            <w:vAlign w:val="bottom"/>
          </w:tcPr>
          <w:p>
            <w:pPr>
              <w:spacing w:after="0"/>
              <w:rPr>
                <w:sz w:val="15"/>
                <w:szCs w:val="15"/>
                <w:color w:val="auto"/>
              </w:rPr>
            </w:pPr>
          </w:p>
        </w:tc>
        <w:tc>
          <w:tcPr>
            <w:tcW w:w="1120" w:type="dxa"/>
            <w:vAlign w:val="bottom"/>
          </w:tcPr>
          <w:p>
            <w:pPr>
              <w:jc w:val="right"/>
              <w:ind w:right="21"/>
              <w:spacing w:after="0"/>
              <w:rPr>
                <w:sz w:val="20"/>
                <w:szCs w:val="20"/>
                <w:color w:val="auto"/>
              </w:rPr>
            </w:pPr>
            <w:r>
              <w:rPr>
                <w:rFonts w:ascii="Arial" w:cs="Arial" w:eastAsia="Arial" w:hAnsi="Arial"/>
                <w:sz w:val="14"/>
                <w:szCs w:val="14"/>
                <w:b w:val="1"/>
                <w:bCs w:val="1"/>
                <w:color w:val="auto"/>
              </w:rPr>
              <w:t>August 1, 2020</w:t>
            </w:r>
          </w:p>
        </w:tc>
      </w:tr>
      <w:tr>
        <w:trPr>
          <w:trHeight w:val="26"/>
        </w:trPr>
        <w:tc>
          <w:tcPr>
            <w:tcW w:w="30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13,111</w:t>
            </w:r>
          </w:p>
        </w:tc>
        <w:tc>
          <w:tcPr>
            <w:tcW w:w="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11,912</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26,065</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24,465</w:t>
            </w:r>
          </w:p>
        </w:tc>
      </w:tr>
      <w:tr>
        <w:trPr>
          <w:trHeight w:val="197"/>
        </w:trPr>
        <w:tc>
          <w:tcPr>
            <w:tcW w:w="3060" w:type="dxa"/>
            <w:vAlign w:val="bottom"/>
          </w:tcPr>
          <w:p>
            <w:pPr>
              <w:spacing w:after="0"/>
              <w:rPr>
                <w:sz w:val="20"/>
                <w:szCs w:val="20"/>
                <w:color w:val="auto"/>
              </w:rPr>
            </w:pPr>
            <w:r>
              <w:rPr>
                <w:rFonts w:ascii="Arial" w:cs="Arial" w:eastAsia="Arial" w:hAnsi="Arial"/>
                <w:sz w:val="16"/>
                <w:szCs w:val="16"/>
                <w:color w:val="auto"/>
              </w:rPr>
              <w:t>Variable lease cost</w:t>
            </w: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5,579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4,125</w:t>
            </w:r>
          </w:p>
        </w:tc>
      </w:tr>
      <w:tr>
        <w:trPr>
          <w:trHeight w:val="47"/>
        </w:trPr>
        <w:tc>
          <w:tcPr>
            <w:tcW w:w="30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23"/>
        </w:trPr>
        <w:tc>
          <w:tcPr>
            <w:tcW w:w="3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0"/>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04"/>
        </w:trPr>
        <w:tc>
          <w:tcPr>
            <w:tcW w:w="3060" w:type="dxa"/>
            <w:vAlign w:val="bottom"/>
          </w:tcPr>
          <w:p>
            <w:pPr>
              <w:spacing w:after="0"/>
              <w:rPr>
                <w:sz w:val="20"/>
                <w:szCs w:val="20"/>
                <w:color w:val="auto"/>
              </w:rPr>
            </w:pPr>
            <w:r>
              <w:rPr>
                <w:rFonts w:ascii="Arial" w:cs="Arial" w:eastAsia="Arial" w:hAnsi="Arial"/>
                <w:sz w:val="16"/>
                <w:szCs w:val="16"/>
                <w:color w:val="auto"/>
              </w:rPr>
              <w:t>Total lease cost</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15,955</w:t>
            </w:r>
          </w:p>
        </w:tc>
        <w:tc>
          <w:tcPr>
            <w:tcW w:w="560" w:type="dxa"/>
            <w:vAlign w:val="bottom"/>
            <w:gridSpan w:val="2"/>
          </w:tcPr>
          <w:p>
            <w:pPr>
              <w:jc w:val="right"/>
              <w:ind w:right="188"/>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14,697</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32,205</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29,407</w:t>
            </w:r>
          </w:p>
        </w:tc>
      </w:tr>
      <w:tr>
        <w:trPr>
          <w:trHeight w:val="33"/>
        </w:trPr>
        <w:tc>
          <w:tcPr>
            <w:tcW w:w="3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3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response to the impact of the COVID-19 pandemic on the Company’s operations, the Company suspended certain lease payments in 2020 under its existing lease agreements. During the suspension of payments, the Company continued to recognize expenses and liabilities for lease obligations and corresponding right-of-use assets on the balance sheet in accordance with the applicable accounting guidance. The Company continues to engage in discussions with landlords regarding the potential restructuring of lease payments and rent concessions. As of July 31, 2021, the Company negotiated contractual rent concessions on many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$0.1 million and $0.6 million during the second quarter of 2021 and 2020,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July 31, 2021 are as follows (in thousands):</w:t>
      </w:r>
    </w:p>
    <w:p>
      <w:pPr>
        <w:spacing w:after="0" w:line="341"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Lease Costs</w:t>
            </w:r>
          </w:p>
        </w:tc>
        <w:tc>
          <w:tcPr>
            <w:tcW w:w="0" w:type="dxa"/>
            <w:vAlign w:val="bottom"/>
          </w:tcPr>
          <w:p>
            <w:pPr>
              <w:spacing w:after="0"/>
              <w:rPr>
                <w:sz w:val="1"/>
                <w:szCs w:val="1"/>
                <w:color w:val="auto"/>
              </w:rPr>
            </w:pPr>
          </w:p>
        </w:tc>
      </w:tr>
      <w:tr>
        <w:trPr>
          <w:trHeight w:val="39"/>
        </w:trPr>
        <w:tc>
          <w:tcPr>
            <w:tcW w:w="622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Remainder of 2021</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25,561</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20"/>
                <w:szCs w:val="20"/>
                <w:color w:val="auto"/>
              </w:rPr>
            </w:pPr>
            <w:r>
              <w:rPr>
                <w:rFonts w:ascii="Arial" w:cs="Arial" w:eastAsia="Arial" w:hAnsi="Arial"/>
                <w:sz w:val="16"/>
                <w:szCs w:val="16"/>
                <w:color w:val="auto"/>
              </w:rPr>
              <w:t>2022</w:t>
            </w:r>
          </w:p>
        </w:tc>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51,595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5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5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43,846</w:t>
            </w:r>
          </w:p>
        </w:tc>
        <w:tc>
          <w:tcPr>
            <w:tcW w:w="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40" w:type="dxa"/>
            <w:vAlign w:val="bottom"/>
          </w:tcPr>
          <w:p>
            <w:pPr>
              <w:spacing w:after="0"/>
              <w:rPr>
                <w:sz w:val="20"/>
                <w:szCs w:val="20"/>
                <w:color w:val="auto"/>
              </w:rPr>
            </w:pPr>
            <w:r>
              <w:rPr>
                <w:rFonts w:ascii="Arial" w:cs="Arial" w:eastAsia="Arial" w:hAnsi="Arial"/>
                <w:sz w:val="16"/>
                <w:szCs w:val="16"/>
                <w:color w:val="auto"/>
              </w:rPr>
              <w:t>2024</w:t>
            </w:r>
          </w:p>
        </w:tc>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35,397</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540" w:type="dxa"/>
            <w:vAlign w:val="bottom"/>
          </w:tcPr>
          <w:p>
            <w:pPr>
              <w:spacing w:after="0"/>
              <w:rPr>
                <w:sz w:val="4"/>
                <w:szCs w:val="4"/>
                <w:color w:val="auto"/>
              </w:rPr>
            </w:pPr>
          </w:p>
        </w:tc>
        <w:tc>
          <w:tcPr>
            <w:tcW w:w="5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2025</w:t>
            </w:r>
          </w:p>
        </w:tc>
        <w:tc>
          <w:tcPr>
            <w:tcW w:w="56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25,183</w:t>
            </w:r>
          </w:p>
        </w:tc>
        <w:tc>
          <w:tcPr>
            <w:tcW w:w="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20" w:type="dxa"/>
            <w:vAlign w:val="bottom"/>
            <w:gridSpan w:val="2"/>
          </w:tcPr>
          <w:p>
            <w:pPr>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39,085</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622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220,667</w:t>
            </w:r>
          </w:p>
        </w:tc>
        <w:tc>
          <w:tcPr>
            <w:tcW w:w="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20" w:type="dxa"/>
            <w:vAlign w:val="bottom"/>
            <w:gridSpan w:val="2"/>
          </w:tcPr>
          <w:p>
            <w:pPr>
              <w:spacing w:after="0"/>
              <w:rPr>
                <w:sz w:val="20"/>
                <w:szCs w:val="20"/>
                <w:color w:val="auto"/>
              </w:rPr>
            </w:pPr>
            <w:r>
              <w:rPr>
                <w:rFonts w:ascii="Arial" w:cs="Arial" w:eastAsia="Arial" w:hAnsi="Arial"/>
                <w:sz w:val="16"/>
                <w:szCs w:val="16"/>
                <w:color w:val="auto"/>
              </w:rPr>
              <w:t>Less: imputed interest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 xml:space="preserve">(16,930) </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46"/>
        </w:trPr>
        <w:tc>
          <w:tcPr>
            <w:tcW w:w="6220" w:type="dxa"/>
            <w:vAlign w:val="bottom"/>
            <w:tcBorders>
              <w:bottom w:val="single" w:sz="8" w:color="CCEEFF"/>
            </w:tcBorders>
            <w:gridSpan w:val="2"/>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present value of lease liabilities</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xml:space="preserve">203,737  </w:t>
            </w: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bottom w:val="single" w:sz="8" w:color="CCEEFF"/>
            </w:tcBorders>
            <w:vMerge w:val="restart"/>
          </w:tcPr>
          <w:p>
            <w:pPr>
              <w:ind w:left="300"/>
              <w:spacing w:after="0"/>
              <w:rPr>
                <w:sz w:val="20"/>
                <w:szCs w:val="20"/>
                <w:color w:val="auto"/>
              </w:rPr>
            </w:pPr>
            <w:r>
              <w:rPr>
                <w:rFonts w:ascii="Arial" w:cs="Arial" w:eastAsia="Arial" w:hAnsi="Arial"/>
                <w:sz w:val="13"/>
                <w:szCs w:val="13"/>
                <w:color w:val="auto"/>
              </w:rPr>
              <w:t>(1)</w:t>
            </w:r>
          </w:p>
        </w:tc>
        <w:tc>
          <w:tcPr>
            <w:tcW w:w="56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4"/>
                <w:szCs w:val="14"/>
                <w:color w:val="auto"/>
              </w:rPr>
              <w:t>Calculated using the discount rate for each lease.</w:t>
            </w: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40" w:type="dxa"/>
            <w:vAlign w:val="bottom"/>
            <w:vMerge w:val="continue"/>
          </w:tcPr>
          <w:p>
            <w:pPr>
              <w:spacing w:after="0"/>
              <w:rPr>
                <w:sz w:val="24"/>
                <w:szCs w:val="24"/>
                <w:color w:val="auto"/>
              </w:rPr>
            </w:pPr>
          </w:p>
        </w:tc>
        <w:tc>
          <w:tcPr>
            <w:tcW w:w="5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Pr>
          <w:p>
            <w:pPr>
              <w:ind w:left="300"/>
              <w:spacing w:after="0"/>
              <w:rPr>
                <w:sz w:val="20"/>
                <w:szCs w:val="20"/>
                <w:color w:val="auto"/>
              </w:rPr>
            </w:pPr>
            <w:r>
              <w:rPr>
                <w:rFonts w:ascii="Arial" w:cs="Arial" w:eastAsia="Arial" w:hAnsi="Arial"/>
                <w:sz w:val="13"/>
                <w:szCs w:val="13"/>
                <w:color w:val="auto"/>
              </w:rPr>
              <w:t>(2)</w:t>
            </w:r>
          </w:p>
        </w:tc>
        <w:tc>
          <w:tcPr>
            <w:tcW w:w="5680" w:type="dxa"/>
            <w:vAlign w:val="bottom"/>
          </w:tcPr>
          <w:p>
            <w:pPr>
              <w:ind w:left="80"/>
              <w:spacing w:after="0"/>
              <w:rPr>
                <w:sz w:val="20"/>
                <w:szCs w:val="20"/>
                <w:color w:val="auto"/>
              </w:rPr>
            </w:pPr>
            <w:r>
              <w:rPr>
                <w:rFonts w:ascii="Arial" w:cs="Arial" w:eastAsia="Arial" w:hAnsi="Arial"/>
                <w:sz w:val="14"/>
                <w:szCs w:val="14"/>
                <w:color w:val="auto"/>
              </w:rPr>
              <w:t>Includes short-term and long-term portions of operating lease liabilities.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11" w:name="page12"/>
    <w:bookmarkEnd w:id="11"/>
    <w:p>
      <w:pPr>
        <w:ind w:right="420"/>
        <w:spacing w:after="0" w:line="260"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gridSpan w:val="4"/>
          </w:tcPr>
          <w:p>
            <w:pPr>
              <w:jc w:val="right"/>
              <w:ind w:right="841"/>
              <w:spacing w:after="0"/>
              <w:rPr>
                <w:sz w:val="20"/>
                <w:szCs w:val="20"/>
                <w:color w:val="auto"/>
              </w:rPr>
            </w:pPr>
            <w:r>
              <w:rPr>
                <w:rFonts w:ascii="Arial" w:cs="Arial" w:eastAsia="Arial" w:hAnsi="Arial"/>
                <w:sz w:val="14"/>
                <w:szCs w:val="14"/>
                <w:b w:val="1"/>
                <w:bCs w:val="1"/>
                <w:color w:val="auto"/>
              </w:rPr>
              <w:t>Twenty-Six Weeks Ended</w:t>
            </w:r>
          </w:p>
        </w:tc>
      </w:tr>
      <w:tr>
        <w:trPr>
          <w:trHeight w:val="39"/>
        </w:trPr>
        <w:tc>
          <w:tcPr>
            <w:tcW w:w="5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4"/>
        </w:trPr>
        <w:tc>
          <w:tcPr>
            <w:tcW w:w="5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282"/>
              <w:spacing w:after="0"/>
              <w:rPr>
                <w:sz w:val="20"/>
                <w:szCs w:val="20"/>
                <w:color w:val="auto"/>
              </w:rPr>
            </w:pPr>
            <w:r>
              <w:rPr>
                <w:rFonts w:ascii="Arial" w:cs="Arial" w:eastAsia="Arial" w:hAnsi="Arial"/>
                <w:sz w:val="14"/>
                <w:szCs w:val="14"/>
                <w:b w:val="1"/>
                <w:bCs w:val="1"/>
                <w:color w:val="auto"/>
              </w:rPr>
              <w:t>July 31, 2021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241"/>
              <w:spacing w:after="0"/>
              <w:rPr>
                <w:sz w:val="20"/>
                <w:szCs w:val="20"/>
                <w:color w:val="auto"/>
              </w:rPr>
            </w:pPr>
            <w:r>
              <w:rPr>
                <w:rFonts w:ascii="Arial" w:cs="Arial" w:eastAsia="Arial" w:hAnsi="Arial"/>
                <w:sz w:val="14"/>
                <w:szCs w:val="14"/>
                <w:b w:val="1"/>
                <w:bCs w:val="1"/>
                <w:color w:val="auto"/>
              </w:rPr>
              <w:t>August 1, 2020</w:t>
            </w:r>
          </w:p>
        </w:tc>
      </w:tr>
      <w:tr>
        <w:trPr>
          <w:trHeight w:val="26"/>
        </w:trPr>
        <w:tc>
          <w:tcPr>
            <w:tcW w:w="58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paid for operating leases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27,618</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18,920</w:t>
            </w: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36,247</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27,044</w:t>
            </w:r>
          </w:p>
        </w:tc>
      </w:tr>
      <w:tr>
        <w:trPr>
          <w:trHeight w:val="47"/>
        </w:trPr>
        <w:tc>
          <w:tcPr>
            <w:tcW w:w="5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43"/>
        </w:trPr>
        <w:tc>
          <w:tcPr>
            <w:tcW w:w="5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197"/>
        </w:trPr>
        <w:tc>
          <w:tcPr>
            <w:tcW w:w="586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5.28</w:t>
            </w:r>
          </w:p>
        </w:tc>
      </w:tr>
      <w:tr>
        <w:trPr>
          <w:trHeight w:val="46"/>
        </w:trPr>
        <w:tc>
          <w:tcPr>
            <w:tcW w:w="5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197"/>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r>
      <w:tr>
        <w:trPr>
          <w:trHeight w:val="47"/>
        </w:trPr>
        <w:tc>
          <w:tcPr>
            <w:tcW w:w="58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3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30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7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any deterioration whether caused by acts of war, terrorism, political or social unrest (including any resulting store closures, damage or loss of inventory); the ongoing COVID-19 pandemic and associated containment and remediation efforts; the potential negative impacts of COVID-19 on the global economy and foreign sourcing; the impacts of COVID-19 on the Company’s financial condition, business operations and liquidity, including the re-closure of any or all of the Company’s retail stores and distribution centers; growth risks, consumer spending patterns; competition within the industry; competition in our markets; the ability to anticipate and respond to fashion trends; the duration and extent of any economic stimulus programs;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30, 2021, and in Part II, “Item 1A. Risk Factors” and elsewhere in the Company’s Quarterly Reports on Form 10-Q and any amendments thereto and in the other documents the Company files with the SEC, including reports on Form 8-K.</w:t>
      </w:r>
    </w:p>
    <w:p>
      <w:pPr>
        <w:spacing w:after="0" w:line="25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322"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We are a growing specialty value retailer of apparel, accessories and home trends primarily for African American and Latinx families. Our high-quality and trend-right merchandise offerings at everyday low prices are designed to appeal to the fashion and trend preferences of value-conscious customers. As of July 31, 2021, we operated 589 stores in urban, suburban and rural markets in 33 states.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41" w:right="9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COVID-19 Pandemic</w:t>
      </w:r>
    </w:p>
    <w:p>
      <w:pPr>
        <w:spacing w:after="0" w:line="30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March 2020, the World Health Organization declared COVID-19 a global pandemic. Since that time, the global economy has been, and continues to be, affected by COVID-19. The pandemic has caused and may continue to cause significant disruptions in the U.S. economy as the virus continues to spread or has a resurgence in certain jurisdictions. In response to the COVID-19 pandemic, effective March 20, 2020, we temporarily closed all of our retail store locations and distribution centers. At the end of April 2020, we started to reopen stores in select states in accordance with government guidelines. As of July 18, 2020, we safely reopened all of our stores. The COVID-19 pandemic has resulted in periods of disruption for our business, including the temporary closure of our stores and limited store operating hours, reduced customer traffic and consumer spending, and delays in the manufacturing and shipping of products. We saw improvement in our financial results and positive trends during the latter half of 2020 and into the first half of 2021 as certain governments began to ease restrictions and provide economic stimulus and vaccine distribution accelerated, leading to an increase in spending and increased customer demand.</w:t>
      </w:r>
    </w:p>
    <w:p>
      <w:pPr>
        <w:spacing w:after="0" w:line="27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expect continued uncertainty in our business and the global economy due to the COVID-19 pandemic, including potential volatility in employment trends and consumer confidence, current or future restrictive actions that may be imposed by governments or public health authorities, the duration and extent of any economic stimulus programs, supply chain interruptions, increased distribution and transportation costs, increased payroll expenses, and increased costs to maintain safe work and shopping environments. Due to the significant uncertainty surrounding the COVID-19 pandemic and its effects, there may be consequences that we do not anticipate at this time or that develop in unexpected ways. The impacts of the pandemic have had, and may continue to have, an adverse impact on the Company’s financial condition, results of operations and liquidity. We will continue to monitor the effects of COVID-19 and take the necessary actions to safely serve our associates, customers, communities and shareholders.</w:t>
      </w:r>
    </w:p>
    <w:p>
      <w:pPr>
        <w:spacing w:after="0" w:line="27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For a further discussion of trends, uncertainties and other factors that could affect our future operating results related to the effects of the COVID-19 pandemic, see the section entitled "ITEM 1A. RISK FACTORS" in the Company’s Annual Report on Form 10-K for the fiscal year ended January 30, 2021.</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Periods</w:t>
      </w:r>
    </w:p>
    <w:p>
      <w:pPr>
        <w:spacing w:after="0" w:line="30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following discussion contains references to fiscal years 2021 and 2020, which represent fiscal years ending or ended on January 29, 2022 and January 30, 2021, respectively. Fiscal 2021 and 2020 both have 52-week accounting periods. This discussion and analysis should be read with the unaudited condensed consolidated financial statements and the notes thereto contained in Part I, Item 1 of this report.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30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fiscal year, particularly in light of the current uncertainty surrounding the economic impact of the COVID-19 pandemic. Furthermore, as a result of the closure of our stores for at least five weeks in 2020 related to the COVID-19 pandemic, comparisons of expense ratios and year-over-year trends are not a meaningful way to evaluate our operating results for the twenty-six weeks ended July 31, 2021.</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30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2020 and fiscal 2021 are not considered comparable stores in fiscal 2021.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Finally, we monitor corporate expenses against budgeted amounts.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July 31, 2021 and August 1, 2020</w:t>
      </w:r>
    </w:p>
    <w:p>
      <w:pPr>
        <w:spacing w:after="0" w:line="29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$21.1 million, or 9.8%, to $237.3 million in the second quarter of 2021 from $216.2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2020. The increase in sales was due to an 8.7% increase in comparable store sales and the opening of 16 new stores since the second quarter of last year, partially offset by the impact of closing six stores. The 8.7% increase in comparable store sales resulted in an increase of $18.4 million in sales, while store opening and closing activity resulted in a net increase of $2.7 million.</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3" w:name="page14"/>
    <w:bookmarkEnd w:id="13"/>
    <w:p>
      <w:pPr>
        <w:ind w:right="40"/>
        <w:spacing w:after="0" w:line="253" w:lineRule="auto"/>
        <w:rPr>
          <w:sz w:val="20"/>
          <w:szCs w:val="20"/>
          <w:color w:val="auto"/>
        </w:rPr>
      </w:pPr>
      <w:r>
        <w:rPr>
          <w:rFonts w:ascii="Arial" w:cs="Arial" w:eastAsia="Arial" w:hAnsi="Arial"/>
          <w:sz w:val="16"/>
          <w:szCs w:val="16"/>
          <w:color w:val="auto"/>
        </w:rPr>
        <w:t>The increase in comparable store sales was reflected in an increase of 5% in customer transactions and an increase of 4% in the average basket size. Comparable store sales changes by “CITI” or major merchandise category were as follows: Beauty &amp; Accessories +31%; Women +11%; Men +8%; Kids +5%; Home &amp; Lifestyle +4%; and Footwear -1%.</w:t>
      </w:r>
    </w:p>
    <w:p>
      <w:pPr>
        <w:spacing w:after="0" w:line="253"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$13.4 million, or 10.5%, to $140.5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second quarter of 2021 from $127.1 million in the second quarter of 2020. Cost of sales as a percentage of sales increased slightly to 59.2% from 58.8% due to an increase of 250 basis points in freight costs, partially offset by an improvement of 130 basis points in the core merchandise margin (initial mark-up, net of markdowns) and an improvement of 80 basis points in shrinkage.</w:t>
      </w:r>
    </w:p>
    <w:p>
      <w:pPr>
        <w:spacing w:after="0" w:line="262"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$17.8 million, or 30.8%, to $75.4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second quarter of 2021 from $57.6 million in last year’s second quarter. The increase was due primarily to significant favorable one-time expense reductions in the second quarter of last year related to COVID-19, including furloughs, store closures and reduced operating hours, abated rents, and other COVID-19 cost credits. Also contributing to the increase was a $4.5 million increase in incentive compensation resulting from favorable operating results in relation to budget, as well as the general impact on expenses of opening 16 new stores since the second quarter of last year. As a percentage of sales, selling, general and administrative expenses increased to 31.8% in the second quarter of 2021 from 26.7% in the second quarter of 2020.</w:t>
      </w:r>
    </w:p>
    <w:p>
      <w:pPr>
        <w:spacing w:after="0" w:line="254"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increased $0.1 million, or 1.2%, to $5.0 million in the second quarter of 2021 from $4.9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2020.</w:t>
      </w:r>
    </w:p>
    <w:p>
      <w:pPr>
        <w:spacing w:after="0" w:line="23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was $3.8 million in the second quarter of 2021 compared to $6.2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2020 due primarily to a decrease in pretax income.</w:t>
      </w:r>
    </w:p>
    <w:p>
      <w:pPr>
        <w:spacing w:after="0" w:line="231"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Net income decreased $7.4 million to $12.5 million in the second quarter of 2021 compared to $19.9 million in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2020 due to the factors discussed above.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Twenty-Six Weeks Ended July 31, 2021 and August 1, 2020</w:t>
      </w:r>
    </w:p>
    <w:p>
      <w:pPr>
        <w:spacing w:after="0" w:line="29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$190.4 million, or 57.3%, to $522.7 million in the first half of 2021 from $332.3 million in the first half of</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increase in sales was due to a 55.5% increase in comparable store sales and the opening of 16 new stores since the end of the second quarter of last year, partially offset by the impact of closing six stores. The year-to-date increase in comparable store sales was primarily due to the temporary closure of all 574 of our stores in the first half of last year as a result of the COVID-19 pandemic.</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increased $92.8 million, or 43.9%, to $304.3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half of 2021 from $211.5 million in the first half of 2020. Cost of sales as a percentage of sales decreased to 58.2% in the first half of 2021 from 63.7% in the same period of 2020 due to an improvement of 580 basis points in the core merchandise margin (initial mark-up, net of markdowns) driven by lower markdowns, along with an improvement of 90 basis points in shrinkage, partially offset by an increase of 120 basis points in freight costs.</w:t>
      </w:r>
    </w:p>
    <w:p>
      <w:pPr>
        <w:spacing w:after="0" w:line="19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$41.6 million, or 37.2%, to $153.3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half of 2021 from $111.7 million in the first half of 2020. The increase was due primarily to significant favorable one-time expense reductions in the first half of last year related to COVID-19, including furloughs, store closures and reduced operating hours, abated rents and other COVID-19 cost credits. Also contributing to the increase was a $13.0 million increase in incentive compensation resulting from favorable operating results in relation to budget, as well as the general impact on expenses of opening 16 new stores since the second quarter of last year. As a percentage of sales, selling, general and administrative expenses decreased to 29.3% in the first half of 2021 from 33.6% in the first half of 2020.</w:t>
      </w:r>
    </w:p>
    <w:p>
      <w:pPr>
        <w:spacing w:after="0" w:line="25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$0.2 million, or 1.9%, to $9.7 million in the first half of 2021 from $9.9 million in the first half</w:t>
      </w:r>
      <w:r>
        <w:rPr>
          <w:rFonts w:ascii="Arial" w:cs="Arial" w:eastAsia="Arial" w:hAnsi="Arial"/>
          <w:sz w:val="16"/>
          <w:szCs w:val="16"/>
          <w:i w:val="1"/>
          <w:iCs w:val="1"/>
          <w:color w:val="auto"/>
        </w:rPr>
        <w:t xml:space="preserve"> </w:t>
      </w:r>
      <w:r>
        <w:rPr>
          <w:rFonts w:ascii="Arial" w:cs="Arial" w:eastAsia="Arial" w:hAnsi="Arial"/>
          <w:sz w:val="16"/>
          <w:szCs w:val="16"/>
          <w:color w:val="auto"/>
        </w:rPr>
        <w:t>of 2020.</w:t>
      </w:r>
    </w:p>
    <w:p>
      <w:pPr>
        <w:spacing w:after="0" w:line="231"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i w:val="1"/>
          <w:iCs w:val="1"/>
          <w:color w:val="auto"/>
        </w:rPr>
        <w:t xml:space="preserve">Asset Impairment. </w:t>
      </w:r>
      <w:r>
        <w:rPr>
          <w:rFonts w:ascii="Arial" w:cs="Arial" w:eastAsia="Arial" w:hAnsi="Arial"/>
          <w:sz w:val="16"/>
          <w:szCs w:val="16"/>
          <w:color w:val="auto"/>
        </w:rPr>
        <w:t>There were no asset impairment charges in the first half of 2021. In the first half of 2020, impairment charges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underperforming store totaled $0.3 million, comprised of $0.2 million for an operating lease right-of-use asset and $0.1 million for leasehold improvements and fixtures and equipment.</w:t>
      </w:r>
    </w:p>
    <w:p>
      <w:pPr>
        <w:spacing w:after="0" w:line="246"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i w:val="1"/>
          <w:iCs w:val="1"/>
          <w:color w:val="auto"/>
        </w:rPr>
        <w:t xml:space="preserve">Income Tax Expense/Benefit. </w:t>
      </w:r>
      <w:r>
        <w:rPr>
          <w:rFonts w:ascii="Arial" w:cs="Arial" w:eastAsia="Arial" w:hAnsi="Arial"/>
          <w:sz w:val="16"/>
          <w:szCs w:val="16"/>
          <w:color w:val="auto"/>
        </w:rPr>
        <w:t>Income tax expense was $11.9 million in the first half of 2021 compared to an income tax benefit of $0.4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half of 2020 due primarily to pretax income this year compared to a pretax loss in the first half of last year.</w:t>
      </w:r>
    </w:p>
    <w:p>
      <w:pPr>
        <w:spacing w:after="0" w:line="177"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i w:val="1"/>
          <w:iCs w:val="1"/>
          <w:color w:val="auto"/>
        </w:rPr>
        <w:t xml:space="preserve">Net Income/Loss. </w:t>
      </w:r>
      <w:r>
        <w:rPr>
          <w:rFonts w:ascii="Arial" w:cs="Arial" w:eastAsia="Arial" w:hAnsi="Arial"/>
          <w:sz w:val="16"/>
          <w:szCs w:val="16"/>
          <w:color w:val="auto"/>
        </w:rPr>
        <w:t>Net income was $43.4 million in the first half of 2021 compared to a loss of $1.0 million in the first half of 2020 due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factors discussed above.</w:t>
      </w:r>
    </w:p>
    <w:p>
      <w:pPr>
        <w:sectPr>
          <w:pgSz w:w="11900" w:h="16838" w:orient="portrait"/>
          <w:cols w:equalWidth="0" w:num="1">
            <w:col w:w="9920"/>
          </w:cols>
          <w:pgMar w:left="980" w:top="38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84"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principal sources of liquidity consist of: (i) cash and cash equivalents (which equaled $76.8 million as of July 31, 2021); (ii) short-term investment securities (which equaled $24.6 million as of July 31, 2021); (iii) short-term trade credit; (iv) cash generated from operations on an ongoing basis as we sell our merchandise inventory; and (v) a revolving credit facility with a $75 million credit commitment (with no borrowings as of July 31, 2021). Trade credit represents a significant source of financing for inventory purchases and arises from customary payment terms and trade practices with our vendors.</w:t>
      </w:r>
    </w:p>
    <w:p>
      <w:pPr>
        <w:spacing w:after="0" w:line="187"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$56.8 million in the first half of 2021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$55.4 million in the first half of 2020. Sources of cash in the first half of 2021 included net income adjusted for insurance proceeds and non-cash expenses such as depreciation, non-cash operating lease costs, loss on disposal of property and equipment, deferred income taxes and stock-based compensation expense, totaling $82.2 million (compared to $33.4 million in the first half of 2020). Other significant sources of cash in the first half of 2021 included a $14.3 million increase in accounts payable (compared to a $2.2 million decrease in the first half of 2020) due to a high volume of merchandise receipts during the final two months of the second quarter of 2021, with nearly all of such purchases still in accounts payable at the end of the quarter.</w:t>
      </w:r>
    </w:p>
    <w:p>
      <w:pPr>
        <w:spacing w:after="0" w:line="203" w:lineRule="exact"/>
        <w:rPr>
          <w:sz w:val="20"/>
          <w:szCs w:val="20"/>
          <w:color w:val="auto"/>
        </w:rPr>
      </w:pPr>
    </w:p>
    <w:p>
      <w:pPr>
        <w:jc w:val="both"/>
        <w:ind w:right="100"/>
        <w:spacing w:after="0" w:line="246" w:lineRule="auto"/>
        <w:rPr>
          <w:sz w:val="20"/>
          <w:szCs w:val="20"/>
          <w:color w:val="auto"/>
        </w:rPr>
      </w:pPr>
      <w:r>
        <w:rPr>
          <w:rFonts w:ascii="Arial" w:cs="Arial" w:eastAsia="Arial" w:hAnsi="Arial"/>
          <w:sz w:val="16"/>
          <w:szCs w:val="16"/>
          <w:color w:val="auto"/>
        </w:rPr>
        <w:t>Significant uses of cash from operating activities in the first half of 2021 were (1) a $22.6 million decrease in accrued expenses and other long-term liabilities (compared to a $13.2 million decrease in the first half of 2020) due primarily to payments of operating lease liabilities;</w:t>
      </w:r>
    </w:p>
    <w:p>
      <w:pPr>
        <w:spacing w:after="0" w:line="1" w:lineRule="exact"/>
        <w:rPr>
          <w:sz w:val="20"/>
          <w:szCs w:val="20"/>
          <w:color w:val="auto"/>
        </w:rPr>
      </w:pPr>
    </w:p>
    <w:p>
      <w:pPr>
        <w:ind w:firstLine="9"/>
        <w:spacing w:after="0" w:line="251"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$9.7 million increase in inventory (compared to a $43.7 million decrease in the first half of 2020) due to replenishing our merchandise in 2021 following robust sales in the fourth quarter of last year; and (3) a $4.8 million decrease in accrued compensation (compared to a $0.1 million increase in the first half of 2020) due to payment in the first quarter of 2021 of incentive compensation accrued in the second half of last year.</w:t>
      </w:r>
    </w:p>
    <w:p>
      <w:pPr>
        <w:spacing w:after="0" w:line="25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in investing activities was $36.4 million in the first half of 2021 compared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of $37.4 million in the first half of 2020. Cash used in the first half of 2021 consisted of $24.6 million for purchases of short-term investment securities and $12.0 million for purchases of property and equipment. Cash provided in the first half of 2020 was primarily from the sales of investment securities due to the pandemic, partially offset by $5.8 million used for purchases of property and equipment.</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$66.8 million in the first half of 2021 compared to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of $34.0 million in the first half of 2020. Cash used in the first half of 2021 consisted primarily of $64.4 million for repurchases of our common stock. Cash provided in the first half of 2020 was the result of a net drawdown of $41.6 million on our credit facility due to the pandemic, partially offset by $7.1 million used for repurchases of our common stock and dividend payments.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w:t>
      </w:r>
    </w:p>
    <w:p>
      <w:pPr>
        <w:spacing w:after="0" w:line="30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cash requirements are primarily for working capital and capital expenditures for stores, distribution infrastructure and information systems. Historically, we have met these cash requirements using cash flow from operations and short-term trade credit. We have also used cash to repurchase shares of our common stock. In the first half of 2021, pursuant to our stock repurchase program, we repurchased 502,257 shares of our common stock at an aggregate cost of $42.5 million. In addition, we repurchased in a block trade 250,000 shares of our common stock at an aggregate cost of $21.9 million.</w:t>
      </w:r>
    </w:p>
    <w:p>
      <w:pPr>
        <w:spacing w:after="0" w:line="27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believe that our existing sources of liquidity will be sufficient to fund our operations for at least the next 12 months as well as the foreseeable future. However, any significant reduction in customer willingness to visit shopping centers or levels of customer spending at our stores, or any future temporary closures of our stores or distribution centers, or any disruptions in the supply chains related to our merchandise could require us to take actions that could include material changes in our operations and seeking additional debt or equity capital. We will continue to monitor the situation and take action as necessary to reduce our expenses and preserve our financial flexibility.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30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See discussion of Recent Accounting Pronouncements in Note 1 to the unaudited condensed consolidated financial statements included in Part I, Item 1 of this report.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309"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 w:name="page16"/>
    <w:bookmarkEnd w:id="15"/>
    <w:p>
      <w:pPr>
        <w:ind w:right="200"/>
        <w:spacing w:after="0" w:line="260" w:lineRule="auto"/>
        <w:rPr>
          <w:sz w:val="20"/>
          <w:szCs w:val="20"/>
          <w:color w:val="auto"/>
        </w:rPr>
      </w:pPr>
      <w:r>
        <w:rPr>
          <w:rFonts w:ascii="Arial" w:cs="Arial" w:eastAsia="Arial" w:hAnsi="Arial"/>
          <w:sz w:val="16"/>
          <w:szCs w:val="16"/>
          <w:color w:val="auto"/>
        </w:rPr>
        <w:t>There have been no material changes to the Critical Accounting Policies outlined in the Company’s Annual Report on Form 10-K for the year ended January 30, 2021.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30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There have been no material changes in our market risk during the twenty-six weeks ended July 31, 2021 compared to the disclosures in Part II, Item 7A of our Annual Report on Form 10-K for the year ended January 30, 2021</w:t>
      </w:r>
      <w:r>
        <w:rPr>
          <w:rFonts w:ascii="Arial" w:cs="Arial" w:eastAsia="Arial" w:hAnsi="Arial"/>
          <w:sz w:val="17"/>
          <w:szCs w:val="17"/>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309"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July 31, 2021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275"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2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 July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41" w:right="10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PART II — OTHER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30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309"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the Company’s Annual Report on Form 10-K for the fiscal year ended January 30, 2021.</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30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number of shares of common stock repurchased by the Company during the second quarter of 2021 and the average price paid per share are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Maximum number (or</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8"/>
                <w:szCs w:val="18"/>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approximate dollar value)</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8"/>
                <w:szCs w:val="18"/>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 shares that may yet be</w:t>
            </w:r>
          </w:p>
        </w:tc>
      </w:tr>
      <w:tr>
        <w:trPr>
          <w:trHeight w:val="216"/>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Average price paid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160" w:type="dxa"/>
            <w:vAlign w:val="bottom"/>
          </w:tcPr>
          <w:p>
            <w:pPr>
              <w:spacing w:after="0"/>
              <w:rPr>
                <w:sz w:val="18"/>
                <w:szCs w:val="18"/>
                <w:color w:val="auto"/>
              </w:rPr>
            </w:pPr>
          </w:p>
        </w:tc>
        <w:tc>
          <w:tcPr>
            <w:tcW w:w="19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purchased under the plans</w:t>
            </w:r>
          </w:p>
        </w:tc>
      </w:tr>
      <w:tr>
        <w:trPr>
          <w:trHeight w:val="216"/>
        </w:trPr>
        <w:tc>
          <w:tcPr>
            <w:tcW w:w="33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2"/>
                <w:szCs w:val="12"/>
                <w:b w:val="1"/>
                <w:bCs w:val="1"/>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12"/>
                <w:szCs w:val="12"/>
                <w:b w:val="1"/>
                <w:bCs w:val="1"/>
                <w:color w:val="auto"/>
              </w:rPr>
              <w:t>(2)</w:t>
            </w:r>
          </w:p>
        </w:tc>
      </w:tr>
      <w:tr>
        <w:trPr>
          <w:trHeight w:val="39"/>
        </w:trPr>
        <w:tc>
          <w:tcPr>
            <w:tcW w:w="31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r>
      <w:tr>
        <w:trPr>
          <w:trHeight w:val="217"/>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May (5/2/21 - 5/29/21)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85,083</w:t>
            </w:r>
          </w:p>
        </w:tc>
        <w:tc>
          <w:tcPr>
            <w:tcW w:w="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1,687,300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96"/>
        </w:trPr>
        <w:tc>
          <w:tcPr>
            <w:tcW w:w="3320" w:type="dxa"/>
            <w:vAlign w:val="bottom"/>
            <w:gridSpan w:val="2"/>
          </w:tcPr>
          <w:p>
            <w:pPr>
              <w:spacing w:after="0"/>
              <w:rPr>
                <w:sz w:val="20"/>
                <w:szCs w:val="20"/>
                <w:color w:val="auto"/>
              </w:rPr>
            </w:pPr>
            <w:r>
              <w:rPr>
                <w:rFonts w:ascii="Arial" w:cs="Arial" w:eastAsia="Arial" w:hAnsi="Arial"/>
                <w:sz w:val="16"/>
                <w:szCs w:val="16"/>
                <w:color w:val="auto"/>
              </w:rPr>
              <w:t>June (5/30/21 - 7/3/21)</w:t>
            </w:r>
          </w:p>
        </w:tc>
        <w:tc>
          <w:tcPr>
            <w:tcW w:w="1260" w:type="dxa"/>
            <w:vAlign w:val="bottom"/>
          </w:tcPr>
          <w:p>
            <w:pPr>
              <w:jc w:val="right"/>
              <w:spacing w:after="0"/>
              <w:rPr>
                <w:sz w:val="20"/>
                <w:szCs w:val="20"/>
                <w:color w:val="auto"/>
              </w:rPr>
            </w:pPr>
            <w:r>
              <w:rPr>
                <w:rFonts w:ascii="Arial" w:cs="Arial" w:eastAsia="Arial" w:hAnsi="Arial"/>
                <w:sz w:val="16"/>
                <w:szCs w:val="16"/>
                <w:color w:val="auto"/>
              </w:rPr>
              <w:t>68,864</w:t>
            </w:r>
          </w:p>
        </w:tc>
        <w:tc>
          <w:tcPr>
            <w:tcW w:w="3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83.62</w:t>
            </w: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68,864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25,930,297</w:t>
            </w:r>
          </w:p>
        </w:tc>
        <w:tc>
          <w:tcPr>
            <w:tcW w:w="40" w:type="dxa"/>
            <w:vAlign w:val="bottom"/>
          </w:tcPr>
          <w:p>
            <w:pPr>
              <w:spacing w:after="0"/>
              <w:rPr>
                <w:sz w:val="17"/>
                <w:szCs w:val="17"/>
                <w:color w:val="auto"/>
              </w:rPr>
            </w:pPr>
          </w:p>
        </w:tc>
      </w:tr>
      <w:tr>
        <w:trPr>
          <w:trHeight w:val="46"/>
        </w:trPr>
        <w:tc>
          <w:tcPr>
            <w:tcW w:w="3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43"/>
        </w:trPr>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July (7/4/21 - 7/31/21)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60,814</w:t>
            </w:r>
          </w:p>
        </w:tc>
        <w:tc>
          <w:tcPr>
            <w:tcW w:w="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82.73</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60,814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20,900,331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04"/>
        </w:trPr>
        <w:tc>
          <w:tcPr>
            <w:tcW w:w="332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214,761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3"/>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520" w:hanging="255"/>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55" w:lineRule="exact"/>
        <w:rPr>
          <w:rFonts w:ascii="Arial" w:cs="Arial" w:eastAsia="Arial" w:hAnsi="Arial"/>
          <w:sz w:val="14"/>
          <w:szCs w:val="14"/>
          <w:color w:val="auto"/>
        </w:rPr>
      </w:pPr>
    </w:p>
    <w:p>
      <w:pPr>
        <w:ind w:left="520" w:right="40" w:hanging="255"/>
        <w:spacing w:after="0" w:line="249"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March 13, 2020, the Company announced that its board of directors approved a $30 million stock repurchase program. On December 22, 2020, the Company announced that its board of directors approved an additional $30 million stock repurchase program. On June 2, 2021, the Company announced that its board of directors authorized another $30 million for stock repurchases. The programs do not have expiration dates.</w:t>
      </w:r>
    </w:p>
    <w:p>
      <w:pPr>
        <w:spacing w:after="0" w:line="252"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August 24, 2021, the Company announced that its board of directors approved another stock repurchase program that authorized the repurchase of up to $30 million in shares of the Company’s common stock.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Item 6.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8960" w:type="dxa"/>
            <w:vAlign w:val="bottom"/>
            <w:gridSpan w:val="10"/>
          </w:tcPr>
          <w:p>
            <w:pPr>
              <w:spacing w:after="0"/>
              <w:rPr>
                <w:rFonts w:ascii="Arial" w:cs="Arial" w:eastAsia="Arial" w:hAnsi="Arial"/>
                <w:sz w:val="16"/>
                <w:szCs w:val="16"/>
                <w:color w:val="0000EE"/>
              </w:rPr>
            </w:pPr>
            <w:hyperlink r:id="rId30">
              <w:r>
                <w:rPr>
                  <w:rFonts w:ascii="Arial" w:cs="Arial" w:eastAsia="Arial" w:hAnsi="Arial"/>
                  <w:sz w:val="16"/>
                  <w:szCs w:val="16"/>
                  <w:color w:val="0000EE"/>
                </w:rPr>
                <w:t>Third Amended and Restated Certificate of Incorporation (incorporated by reference to Exhibit 3.1 to the Company’s Current</w:t>
              </w:r>
            </w:hyperlink>
          </w:p>
        </w:tc>
      </w:tr>
      <w:tr>
        <w:trPr>
          <w:trHeight w:val="196"/>
        </w:trPr>
        <w:tc>
          <w:tcPr>
            <w:tcW w:w="920" w:type="dxa"/>
            <w:vAlign w:val="bottom"/>
          </w:tcPr>
          <w:p>
            <w:pPr>
              <w:spacing w:after="0"/>
              <w:rPr>
                <w:sz w:val="17"/>
                <w:szCs w:val="17"/>
                <w:color w:val="auto"/>
              </w:rPr>
            </w:pPr>
          </w:p>
        </w:tc>
        <w:tc>
          <w:tcPr>
            <w:tcW w:w="8860" w:type="dxa"/>
            <w:vAlign w:val="bottom"/>
            <w:tcBorders>
              <w:top w:val="single" w:sz="8" w:color="0000EE"/>
            </w:tcBorders>
            <w:gridSpan w:val="9"/>
          </w:tcPr>
          <w:p>
            <w:pPr>
              <w:spacing w:after="0"/>
              <w:rPr>
                <w:rFonts w:ascii="Arial" w:cs="Arial" w:eastAsia="Arial" w:hAnsi="Arial"/>
                <w:sz w:val="16"/>
                <w:szCs w:val="16"/>
                <w:color w:val="0000EE"/>
              </w:rPr>
            </w:pPr>
            <w:hyperlink r:id="rId30">
              <w:r>
                <w:rPr>
                  <w:rFonts w:ascii="Arial" w:cs="Arial" w:eastAsia="Arial" w:hAnsi="Arial"/>
                  <w:sz w:val="16"/>
                  <w:szCs w:val="16"/>
                  <w:color w:val="0000EE"/>
                </w:rPr>
                <w:t>Report on Form 8-K filed with the SEC on June 7, 2018)</w:t>
              </w:r>
              <w:r>
                <w:rPr>
                  <w:rFonts w:ascii="Arial" w:cs="Arial" w:eastAsia="Arial" w:hAnsi="Arial"/>
                  <w:sz w:val="16"/>
                  <w:szCs w:val="16"/>
                  <w:color w:val="000000"/>
                </w:rPr>
                <w:t>.</w:t>
              </w:r>
            </w:hyperlink>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8960" w:type="dxa"/>
            <w:vAlign w:val="bottom"/>
            <w:gridSpan w:val="10"/>
          </w:tcPr>
          <w:p>
            <w:pPr>
              <w:spacing w:after="0"/>
              <w:rPr>
                <w:rFonts w:ascii="Arial" w:cs="Arial" w:eastAsia="Arial" w:hAnsi="Arial"/>
                <w:sz w:val="16"/>
                <w:szCs w:val="16"/>
                <w:color w:val="0000EE"/>
              </w:rPr>
            </w:pPr>
            <w:hyperlink r:id="rId31">
              <w:r>
                <w:rPr>
                  <w:rFonts w:ascii="Arial" w:cs="Arial" w:eastAsia="Arial" w:hAnsi="Arial"/>
                  <w:sz w:val="16"/>
                  <w:szCs w:val="16"/>
                  <w:color w:val="0000EE"/>
                </w:rPr>
                <w:t>Citi Trends, Inc. 2021 Incentive Plan (incorporated by reference to Appendix A to the Company’s Definitive Proxy Statement</w:t>
              </w:r>
            </w:hyperlink>
          </w:p>
        </w:tc>
      </w:tr>
      <w:tr>
        <w:trPr>
          <w:trHeight w:val="196"/>
        </w:trPr>
        <w:tc>
          <w:tcPr>
            <w:tcW w:w="920" w:type="dxa"/>
            <w:vAlign w:val="bottom"/>
          </w:tcPr>
          <w:p>
            <w:pPr>
              <w:spacing w:after="0"/>
              <w:rPr>
                <w:sz w:val="17"/>
                <w:szCs w:val="17"/>
                <w:color w:val="auto"/>
              </w:rPr>
            </w:pPr>
          </w:p>
        </w:tc>
        <w:tc>
          <w:tcPr>
            <w:tcW w:w="3920" w:type="dxa"/>
            <w:vAlign w:val="bottom"/>
            <w:tcBorders>
              <w:top w:val="single" w:sz="8" w:color="0000EE"/>
              <w:bottom w:val="single" w:sz="8" w:color="0000EE"/>
            </w:tcBorders>
          </w:tcPr>
          <w:p>
            <w:pPr>
              <w:spacing w:after="0"/>
              <w:rPr>
                <w:rFonts w:ascii="Arial" w:cs="Arial" w:eastAsia="Arial" w:hAnsi="Arial"/>
                <w:sz w:val="16"/>
                <w:szCs w:val="16"/>
                <w:color w:val="0000EE"/>
              </w:rPr>
            </w:pPr>
            <w:hyperlink r:id="rId31">
              <w:r>
                <w:rPr>
                  <w:rFonts w:ascii="Arial" w:cs="Arial" w:eastAsia="Arial" w:hAnsi="Arial"/>
                  <w:sz w:val="16"/>
                  <w:szCs w:val="16"/>
                  <w:color w:val="0000EE"/>
                </w:rPr>
                <w:t>on Schedule 14A filed with the SEC on April 16, 2021).</w:t>
              </w:r>
            </w:hyperlink>
          </w:p>
        </w:tc>
        <w:tc>
          <w:tcPr>
            <w:tcW w:w="492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6"/>
                <w:szCs w:val="16"/>
                <w:color w:val="auto"/>
              </w:rPr>
              <w:t>10.2</w:t>
            </w:r>
          </w:p>
        </w:tc>
        <w:tc>
          <w:tcPr>
            <w:tcW w:w="8960" w:type="dxa"/>
            <w:vAlign w:val="bottom"/>
            <w:gridSpan w:val="10"/>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Form of Restricted Stock Award Agreement for Directors under the Citi Trends, Inc. 2021 Incentive Plan</w:t>
              </w:r>
            </w:hyperlink>
            <w:r>
              <w:rPr>
                <w:rFonts w:ascii="Arial" w:cs="Arial" w:eastAsia="Arial" w:hAnsi="Arial"/>
                <w:sz w:val="16"/>
                <w:szCs w:val="16"/>
                <w:color w:val="000000"/>
              </w:rPr>
              <w:t>.*</w:t>
            </w: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8960" w:type="dxa"/>
            <w:vAlign w:val="bottom"/>
            <w:gridSpan w:val="1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Certification of Principal Executive Officer, Pursuant to Rule 13a-14(a) of the Securities Exchange Act of 1934, Adopted</w:t>
              </w:r>
            </w:hyperlink>
          </w:p>
        </w:tc>
      </w:tr>
      <w:tr>
        <w:trPr>
          <w:trHeight w:val="196"/>
        </w:trPr>
        <w:tc>
          <w:tcPr>
            <w:tcW w:w="920" w:type="dxa"/>
            <w:vAlign w:val="bottom"/>
          </w:tcPr>
          <w:p>
            <w:pPr>
              <w:spacing w:after="0"/>
              <w:rPr>
                <w:sz w:val="17"/>
                <w:szCs w:val="17"/>
                <w:color w:val="auto"/>
              </w:rPr>
            </w:pPr>
          </w:p>
        </w:tc>
        <w:tc>
          <w:tcPr>
            <w:tcW w:w="8520" w:type="dxa"/>
            <w:vAlign w:val="bottom"/>
            <w:tcBorders>
              <w:top w:val="single" w:sz="8" w:color="0000EE"/>
            </w:tcBorders>
            <w:gridSpan w:val="7"/>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Pursuant to Section 302 of the Sarbanes-Oxley Act of 2002</w:t>
              </w:r>
              <w:r>
                <w:rPr>
                  <w:rFonts w:ascii="Arial" w:cs="Arial" w:eastAsia="Arial" w:hAnsi="Arial"/>
                  <w:sz w:val="16"/>
                  <w:szCs w:val="16"/>
                  <w:color w:val="000000"/>
                </w:rPr>
                <w:t>.*</w:t>
              </w:r>
            </w:hyperlink>
          </w:p>
        </w:tc>
        <w:tc>
          <w:tcPr>
            <w:tcW w:w="44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8480" w:type="dxa"/>
            <w:vAlign w:val="bottom"/>
            <w:tcBorders>
              <w:bottom w:val="single" w:sz="8" w:color="0000EE"/>
            </w:tcBorders>
            <w:gridSpan w:val="6"/>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Certification of Principal Financial Officer, Pursuant to Rule 13a-14(a) of the Securities Exchange Act of 1934, Adopted</w:t>
              </w:r>
            </w:hyperlink>
          </w:p>
        </w:tc>
        <w:tc>
          <w:tcPr>
            <w:tcW w:w="48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360" w:type="dxa"/>
            <w:vAlign w:val="bottom"/>
            <w:tcBorders>
              <w:bottom w:val="single" w:sz="8" w:color="0000EE"/>
            </w:tcBorders>
            <w:gridSpan w:val="4"/>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Pursuant to Section 302 of the Sarbanes-Oxley Act of 2002.*</w:t>
              </w:r>
            </w:hyperlink>
          </w:p>
        </w:tc>
        <w:tc>
          <w:tcPr>
            <w:tcW w:w="4600" w:type="dxa"/>
            <w:vAlign w:val="bottom"/>
            <w:gridSpan w:val="6"/>
          </w:tcPr>
          <w:p>
            <w:pPr>
              <w:spacing w:after="0"/>
              <w:rPr>
                <w:sz w:val="17"/>
                <w:szCs w:val="17"/>
                <w:color w:val="auto"/>
              </w:rPr>
            </w:pPr>
          </w:p>
        </w:tc>
      </w:tr>
      <w:tr>
        <w:trPr>
          <w:trHeight w:val="520"/>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8960" w:type="dxa"/>
            <w:vAlign w:val="bottom"/>
            <w:tcBorders>
              <w:bottom w:val="single" w:sz="8" w:color="0000EE"/>
            </w:tcBorders>
            <w:gridSpan w:val="10"/>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Certifications Pursuant to 18 U.S.C. Section 1350, as adopted pursuant to Section 906 of the Sarbanes-Oxley Act of 2002.* †</w:t>
              </w:r>
            </w:hyperlink>
          </w:p>
        </w:tc>
      </w:tr>
    </w:tbl>
    <w:p>
      <w:pPr>
        <w:spacing w:after="0" w:line="366" w:lineRule="exact"/>
        <w:rPr>
          <w:sz w:val="20"/>
          <w:szCs w:val="20"/>
          <w:color w:val="auto"/>
        </w:rPr>
      </w:pPr>
    </w:p>
    <w:p>
      <w:pPr>
        <w:ind w:left="920" w:right="240" w:hanging="911"/>
        <w:spacing w:after="0" w:line="295"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304" w:lineRule="exact"/>
        <w:rPr>
          <w:sz w:val="20"/>
          <w:szCs w:val="20"/>
          <w:color w:val="auto"/>
        </w:rPr>
      </w:pPr>
    </w:p>
    <w:p>
      <w:pPr>
        <w:ind w:left="920" w:right="320" w:hanging="911"/>
        <w:spacing w:after="0" w:line="295" w:lineRule="auto"/>
        <w:tabs>
          <w:tab w:leader="none" w:pos="9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6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1568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69"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w:t>
      </w:r>
    </w:p>
    <w:p>
      <w:pPr>
        <w:spacing w:after="0" w:line="5" w:lineRule="exact"/>
        <w:rPr>
          <w:rFonts w:ascii="Arial" w:cs="Arial" w:eastAsia="Arial" w:hAnsi="Arial"/>
          <w:sz w:val="16"/>
          <w:szCs w:val="16"/>
          <w:color w:val="auto"/>
        </w:rPr>
      </w:pPr>
    </w:p>
    <w:p>
      <w:pPr>
        <w:spacing w:after="0" w:line="251" w:lineRule="auto"/>
        <w:rPr>
          <w:rFonts w:ascii="Arial" w:cs="Arial" w:eastAsia="Arial" w:hAnsi="Arial"/>
          <w:sz w:val="16"/>
          <w:szCs w:val="16"/>
          <w:color w:val="auto"/>
        </w:rPr>
      </w:pPr>
      <w:r>
        <w:rPr>
          <w:rFonts w:ascii="Arial" w:cs="Arial" w:eastAsia="Arial" w:hAnsi="Arial"/>
          <w:sz w:val="16"/>
          <w:szCs w:val="16"/>
          <w:color w:val="auto"/>
        </w:rPr>
        <w:t>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SIGNATURES</w:t>
      </w:r>
    </w:p>
    <w:p>
      <w:pPr>
        <w:spacing w:after="0" w:line="309"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Chief Financial Officer (Principal Financial Officer).</w:t>
      </w:r>
    </w:p>
    <w:p>
      <w:pPr>
        <w:spacing w:after="0" w:line="296"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CITI TRENDS, INC.</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2021</w:t>
      </w:r>
    </w:p>
    <w:p>
      <w:pPr>
        <w:spacing w:after="0" w:line="356" w:lineRule="exact"/>
        <w:rPr>
          <w:sz w:val="20"/>
          <w:szCs w:val="20"/>
          <w:color w:val="auto"/>
        </w:rPr>
      </w:pPr>
    </w:p>
    <w:tbl>
      <w:tblPr>
        <w:tblLayout w:type="fixed"/>
        <w:tblInd w:w="498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spacing w:after="0"/>
              <w:rPr>
                <w:sz w:val="20"/>
                <w:szCs w:val="20"/>
                <w:color w:val="auto"/>
              </w:rPr>
            </w:pPr>
            <w:r>
              <w:rPr>
                <w:rFonts w:ascii="Arial" w:cs="Arial" w:eastAsia="Arial" w:hAnsi="Arial"/>
                <w:sz w:val="16"/>
                <w:szCs w:val="16"/>
                <w:color w:val="auto"/>
              </w:rPr>
              <w:t>/s/ Pamela J. Edwards</w:t>
            </w:r>
          </w:p>
        </w:tc>
        <w:tc>
          <w:tcPr>
            <w:tcW w:w="0" w:type="dxa"/>
            <w:vAlign w:val="bottom"/>
          </w:tcPr>
          <w:p>
            <w:pPr>
              <w:spacing w:after="0"/>
              <w:rPr>
                <w:sz w:val="1"/>
                <w:szCs w:val="1"/>
                <w:color w:val="auto"/>
              </w:rPr>
            </w:pPr>
          </w:p>
        </w:tc>
      </w:tr>
      <w:tr>
        <w:trPr>
          <w:trHeight w:val="60"/>
        </w:trPr>
        <w:tc>
          <w:tcPr>
            <w:tcW w:w="72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4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20" w:type="dxa"/>
            <w:vAlign w:val="bottom"/>
            <w:vMerge w:val="continue"/>
          </w:tcPr>
          <w:p>
            <w:pPr>
              <w:spacing w:after="0"/>
              <w:rPr>
                <w:sz w:val="17"/>
                <w:szCs w:val="17"/>
                <w:color w:val="auto"/>
              </w:rPr>
            </w:pPr>
          </w:p>
        </w:tc>
        <w:tc>
          <w:tcPr>
            <w:tcW w:w="4220" w:type="dxa"/>
            <w:vAlign w:val="bottom"/>
          </w:tcPr>
          <w:p>
            <w:pPr>
              <w:spacing w:after="0"/>
              <w:rPr>
                <w:sz w:val="20"/>
                <w:szCs w:val="20"/>
                <w:color w:val="auto"/>
              </w:rPr>
            </w:pPr>
            <w:r>
              <w:rPr>
                <w:rFonts w:ascii="Arial" w:cs="Arial" w:eastAsia="Arial" w:hAnsi="Arial"/>
                <w:sz w:val="16"/>
                <w:szCs w:val="16"/>
                <w:color w:val="auto"/>
              </w:rPr>
              <w:t>Pamela J. Edwards</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Arial" w:cs="Arial" w:eastAsia="Arial" w:hAnsi="Arial"/>
                <w:sz w:val="16"/>
                <w:szCs w:val="16"/>
                <w:color w:val="auto"/>
              </w:rPr>
              <w:t>Title:</w:t>
            </w:r>
          </w:p>
        </w:tc>
        <w:tc>
          <w:tcPr>
            <w:tcW w:w="422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9" w:name="page20"/>
    <w:bookmarkEnd w:id="19"/>
    <w:p>
      <w:pPr>
        <w:jc w:val="center"/>
        <w:spacing w:after="0"/>
        <w:rPr>
          <w:sz w:val="20"/>
          <w:szCs w:val="20"/>
          <w:color w:val="auto"/>
        </w:rPr>
      </w:pPr>
      <w:r>
        <w:rPr>
          <w:rFonts w:ascii="Arial" w:cs="Arial" w:eastAsia="Arial" w:hAnsi="Arial"/>
          <w:sz w:val="29"/>
          <w:szCs w:val="29"/>
          <w:b w:val="1"/>
          <w:bCs w:val="1"/>
          <w:color w:val="auto"/>
        </w:rPr>
        <w:t>RESTRICTED STOCK AWARD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Non-transferable Grant to</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(“Grantee”)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Citi Trends, Inc. (the “Company”) of</w:t>
      </w:r>
    </w:p>
    <w:p>
      <w:pPr>
        <w:spacing w:after="0" w:line="229" w:lineRule="exact"/>
        <w:rPr>
          <w:sz w:val="20"/>
          <w:szCs w:val="20"/>
          <w:color w:val="auto"/>
        </w:rPr>
      </w:pPr>
    </w:p>
    <w:p>
      <w:pPr>
        <w:ind w:left="2160"/>
        <w:spacing w:after="0"/>
        <w:rPr>
          <w:sz w:val="20"/>
          <w:szCs w:val="20"/>
          <w:color w:val="auto"/>
        </w:rPr>
      </w:pPr>
      <w:r>
        <w:rPr>
          <w:rFonts w:ascii="Arial" w:cs="Arial" w:eastAsia="Arial" w:hAnsi="Arial"/>
          <w:sz w:val="20"/>
          <w:szCs w:val="20"/>
          <w:color w:val="auto"/>
        </w:rPr>
        <w:t>______ shares of its common stock, $0.01 par value (the “Shares”)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pursuant to and subject to the provisions of the Citi Trends, Inc. 2021 Incentive Plan (the “Plan”) and to the terms and conditions set forth on the following page (the “Terms and Conditions”). By accepting the Shares, Grantee shall be deemed to have agreed to the terms and conditions set forth in this Agreement and the Plan. Capitalized terms used herein and not otherwise defined shall have the meanings assigned to such terms in the Plan.</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Shares will vest (become non-forfeitable) on the earlier of (i) the first anniversary of the Grant Date or (ii) the date of the annual meeting of the Company’s stockholders in 2022, provided that Grantee is a director of the Company as of such date.</w:t>
      </w:r>
    </w:p>
    <w:p>
      <w:pPr>
        <w:spacing w:after="0" w:line="200" w:lineRule="exact"/>
        <w:rPr>
          <w:sz w:val="20"/>
          <w:szCs w:val="20"/>
          <w:color w:val="auto"/>
        </w:rPr>
      </w:pPr>
    </w:p>
    <w:p>
      <w:pPr>
        <w:spacing w:after="0" w:line="229" w:lineRule="exact"/>
        <w:rPr>
          <w:sz w:val="20"/>
          <w:szCs w:val="20"/>
          <w:color w:val="auto"/>
        </w:rPr>
      </w:pPr>
    </w:p>
    <w:p>
      <w:pPr>
        <w:ind w:right="320" w:firstLine="492"/>
        <w:spacing w:after="0" w:line="260" w:lineRule="auto"/>
        <w:rPr>
          <w:sz w:val="20"/>
          <w:szCs w:val="20"/>
          <w:color w:val="auto"/>
        </w:rPr>
      </w:pPr>
      <w:r>
        <w:rPr>
          <w:rFonts w:ascii="Arial" w:cs="Arial" w:eastAsia="Arial" w:hAnsi="Arial"/>
          <w:sz w:val="20"/>
          <w:szCs w:val="20"/>
          <w:color w:val="auto"/>
        </w:rPr>
        <w:t>IN WITNESS WHEREOF, Citi Trends, Inc., acting by and through its duly authorized officers, has caused this Agreement to be duly executed.</w:t>
      </w:r>
    </w:p>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CITI TRENDS, INC.</w:t>
      </w:r>
    </w:p>
    <w:p>
      <w:pPr>
        <w:spacing w:after="0" w:line="351" w:lineRule="exact"/>
        <w:rPr>
          <w:sz w:val="20"/>
          <w:szCs w:val="20"/>
          <w:color w:val="auto"/>
        </w:rPr>
      </w:pPr>
    </w:p>
    <w:p>
      <w:pPr>
        <w:ind w:left="260"/>
        <w:spacing w:after="0"/>
        <w:tabs>
          <w:tab w:leader="none" w:pos="4880" w:val="left"/>
          <w:tab w:leader="none" w:pos="59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Grant Date:</w:t>
      </w:r>
      <w:r>
        <w:rPr>
          <w:sz w:val="20"/>
          <w:szCs w:val="20"/>
          <w:color w:val="auto"/>
        </w:rPr>
        <w:tab/>
      </w:r>
      <w:r>
        <w:rPr>
          <w:rFonts w:ascii="Arial" w:cs="Arial" w:eastAsia="Arial" w:hAnsi="Arial"/>
          <w:sz w:val="16"/>
          <w:szCs w:val="16"/>
          <w:color w:val="auto"/>
        </w:rPr>
        <w:t>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10160</wp:posOffset>
            </wp:positionV>
            <wp:extent cx="49377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937760" cy="8890"/>
                    </a:xfrm>
                    <a:prstGeom prst="rect">
                      <a:avLst/>
                    </a:prstGeom>
                    <a:noFill/>
                  </pic:spPr>
                </pic:pic>
              </a:graphicData>
            </a:graphic>
          </wp:anchor>
        </w:drawing>
      </w:r>
    </w:p>
    <w:p>
      <w:pPr>
        <w:spacing w:after="0" w:line="2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353060</wp:posOffset>
            </wp:positionV>
            <wp:extent cx="60947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094730" cy="17145"/>
                    </a:xfrm>
                    <a:prstGeom prst="rect">
                      <a:avLst/>
                    </a:prstGeom>
                    <a:noFill/>
                  </pic:spPr>
                </pic:pic>
              </a:graphicData>
            </a:graphic>
          </wp:anchor>
        </w:drawing>
      </w:r>
    </w:p>
    <w:p>
      <w:pPr>
        <w:sectPr>
          <w:pgSz w:w="11900" w:h="16838" w:orient="portrait"/>
          <w:cols w:equalWidth="0" w:num="1">
            <w:col w:w="9600"/>
          </w:cols>
          <w:pgMar w:left="1140" w:top="674" w:right="1159" w:bottom="1440" w:gutter="0" w:footer="0" w:header="0"/>
        </w:sectPr>
      </w:pPr>
    </w:p>
    <w:bookmarkStart w:id="20" w:name="page21"/>
    <w:bookmarkEnd w:id="20"/>
    <w:p>
      <w:pPr>
        <w:ind w:left="3"/>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jc w:val="both"/>
        <w:ind w:left="3" w:hanging="3"/>
        <w:spacing w:after="0" w:line="266" w:lineRule="auto"/>
        <w:tabs>
          <w:tab w:leader="none" w:pos="18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service as a director of the Company or any Subsidiary terminates for any reason, then Grantee shall forfeit all of Grantee’s right, title and interest in and to the Restricted Shares as of the date of such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 with any merger, reorganization, consolidation, recapitalization, stock dividend or other change in corporate structure affecting the Stock of the Company.</w:t>
      </w:r>
    </w:p>
    <w:p>
      <w:pPr>
        <w:spacing w:after="0" w:line="73" w:lineRule="exact"/>
        <w:rPr>
          <w:rFonts w:ascii="Arial" w:cs="Arial" w:eastAsia="Arial" w:hAnsi="Arial"/>
          <w:sz w:val="16"/>
          <w:szCs w:val="16"/>
          <w:color w:val="auto"/>
        </w:rPr>
      </w:pPr>
    </w:p>
    <w:p>
      <w:pPr>
        <w:jc w:val="both"/>
        <w:ind w:left="3" w:hanging="3"/>
        <w:spacing w:after="0"/>
        <w:tabs>
          <w:tab w:leader="none" w:pos="18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Expiration and Termination of Restrictions</w:t>
      </w:r>
      <w:r>
        <w:rPr>
          <w:rFonts w:ascii="Arial" w:cs="Arial" w:eastAsia="Arial" w:hAnsi="Arial"/>
          <w:sz w:val="18"/>
          <w:szCs w:val="18"/>
          <w:color w:val="auto"/>
        </w:rPr>
        <w:t>. The restrictions imposed under Section 1 will expire on the earliest to occur of the following (the period prior to such expiration being referred to herein as the “Restricted Period”):</w:t>
      </w:r>
    </w:p>
    <w:p>
      <w:pPr>
        <w:spacing w:after="0" w:line="81" w:lineRule="exact"/>
        <w:rPr>
          <w:rFonts w:ascii="Arial" w:cs="Arial" w:eastAsia="Arial" w:hAnsi="Arial"/>
          <w:sz w:val="18"/>
          <w:szCs w:val="18"/>
          <w:color w:val="auto"/>
        </w:rPr>
      </w:pPr>
    </w:p>
    <w:p>
      <w:pPr>
        <w:jc w:val="both"/>
        <w:ind w:left="3" w:firstLine="321"/>
        <w:spacing w:after="0" w:line="250" w:lineRule="auto"/>
        <w:tabs>
          <w:tab w:leader="none" w:pos="813" w:val="left"/>
        </w:tabs>
        <w:numPr>
          <w:ilvl w:val="1"/>
          <w:numId w:val="20"/>
        </w:numPr>
        <w:rPr>
          <w:rFonts w:ascii="Arial" w:cs="Arial" w:eastAsia="Arial" w:hAnsi="Arial"/>
          <w:sz w:val="18"/>
          <w:szCs w:val="18"/>
          <w:color w:val="auto"/>
        </w:rPr>
      </w:pPr>
      <w:r>
        <w:rPr>
          <w:rFonts w:ascii="Arial" w:cs="Arial" w:eastAsia="Arial" w:hAnsi="Arial"/>
          <w:sz w:val="18"/>
          <w:szCs w:val="18"/>
          <w:color w:val="auto"/>
        </w:rPr>
        <w:t xml:space="preserve">on the earlier of (i) the first anniversary of the Grant Date </w:t>
      </w:r>
      <w:r>
        <w:rPr>
          <w:rFonts w:ascii="Arial" w:cs="Arial" w:eastAsia="Arial" w:hAnsi="Arial"/>
          <w:sz w:val="19"/>
          <w:szCs w:val="19"/>
          <w:color w:val="auto"/>
        </w:rPr>
        <w:t>or (ii) the date</w:t>
      </w:r>
      <w:r>
        <w:rPr>
          <w:rFonts w:ascii="Arial" w:cs="Arial" w:eastAsia="Arial" w:hAnsi="Arial"/>
          <w:sz w:val="18"/>
          <w:szCs w:val="18"/>
          <w:color w:val="auto"/>
        </w:rPr>
        <w:t xml:space="preserve"> </w:t>
      </w:r>
      <w:r>
        <w:rPr>
          <w:rFonts w:ascii="Arial" w:cs="Arial" w:eastAsia="Arial" w:hAnsi="Arial"/>
          <w:sz w:val="19"/>
          <w:szCs w:val="19"/>
          <w:color w:val="auto"/>
        </w:rPr>
        <w:t>of the annual meeting of the Company’s stockholders in 2022</w:t>
      </w:r>
      <w:r>
        <w:rPr>
          <w:rFonts w:ascii="Arial" w:cs="Arial" w:eastAsia="Arial" w:hAnsi="Arial"/>
          <w:sz w:val="17"/>
          <w:szCs w:val="17"/>
          <w:color w:val="auto"/>
        </w:rPr>
        <w:t>; provided Grantee is</w:t>
      </w:r>
      <w:r>
        <w:rPr>
          <w:rFonts w:ascii="Arial" w:cs="Arial" w:eastAsia="Arial" w:hAnsi="Arial"/>
          <w:sz w:val="19"/>
          <w:szCs w:val="19"/>
          <w:color w:val="auto"/>
        </w:rPr>
        <w:t xml:space="preserve"> </w:t>
      </w:r>
      <w:r>
        <w:rPr>
          <w:rFonts w:ascii="Arial" w:cs="Arial" w:eastAsia="Arial" w:hAnsi="Arial"/>
          <w:sz w:val="17"/>
          <w:szCs w:val="17"/>
          <w:color w:val="auto"/>
        </w:rPr>
        <w:t>then a member of the Board of Directors of the Company</w:t>
      </w:r>
    </w:p>
    <w:p>
      <w:pPr>
        <w:spacing w:after="0" w:line="74" w:lineRule="exact"/>
        <w:rPr>
          <w:rFonts w:ascii="Arial" w:cs="Arial" w:eastAsia="Arial" w:hAnsi="Arial"/>
          <w:sz w:val="18"/>
          <w:szCs w:val="18"/>
          <w:color w:val="auto"/>
        </w:rPr>
      </w:pPr>
    </w:p>
    <w:p>
      <w:pPr>
        <w:jc w:val="both"/>
        <w:ind w:left="3" w:firstLine="321"/>
        <w:spacing w:after="0" w:line="257" w:lineRule="auto"/>
        <w:tabs>
          <w:tab w:leader="none" w:pos="813" w:val="left"/>
        </w:tabs>
        <w:numPr>
          <w:ilvl w:val="1"/>
          <w:numId w:val="20"/>
        </w:numPr>
        <w:rPr>
          <w:rFonts w:ascii="Arial" w:cs="Arial" w:eastAsia="Arial" w:hAnsi="Arial"/>
          <w:sz w:val="17"/>
          <w:szCs w:val="17"/>
          <w:color w:val="auto"/>
        </w:rPr>
      </w:pPr>
      <w:r>
        <w:rPr>
          <w:rFonts w:ascii="Arial" w:cs="Arial" w:eastAsia="Arial" w:hAnsi="Arial"/>
          <w:sz w:val="17"/>
          <w:szCs w:val="17"/>
          <w:color w:val="auto"/>
        </w:rPr>
        <w:t>upon Grantee’s Disability or death, but only with respect to the number of Shares that would otherwise have vested within the 12 months following the Disability or death based on Grantee’s continued service with the Company; or</w:t>
      </w:r>
    </w:p>
    <w:p>
      <w:pPr>
        <w:spacing w:after="0" w:line="67" w:lineRule="exact"/>
        <w:rPr>
          <w:rFonts w:ascii="Arial" w:cs="Arial" w:eastAsia="Arial" w:hAnsi="Arial"/>
          <w:sz w:val="17"/>
          <w:szCs w:val="17"/>
          <w:color w:val="auto"/>
        </w:rPr>
      </w:pPr>
    </w:p>
    <w:p>
      <w:pPr>
        <w:ind w:left="803" w:hanging="479"/>
        <w:spacing w:after="0"/>
        <w:tabs>
          <w:tab w:leader="none" w:pos="803" w:val="left"/>
        </w:tabs>
        <w:numPr>
          <w:ilvl w:val="1"/>
          <w:numId w:val="20"/>
        </w:numPr>
        <w:rPr>
          <w:rFonts w:ascii="Arial" w:cs="Arial" w:eastAsia="Arial" w:hAnsi="Arial"/>
          <w:sz w:val="17"/>
          <w:szCs w:val="17"/>
          <w:color w:val="auto"/>
        </w:rPr>
      </w:pPr>
      <w:r>
        <w:rPr>
          <w:rFonts w:ascii="Arial" w:cs="Arial" w:eastAsia="Arial" w:hAnsi="Arial"/>
          <w:sz w:val="17"/>
          <w:szCs w:val="17"/>
          <w:color w:val="auto"/>
        </w:rPr>
        <w:t>upon a Change of Control of the</w:t>
      </w:r>
    </w:p>
    <w:p>
      <w:pPr>
        <w:spacing w:after="0" w:line="23"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87" w:lineRule="exact"/>
        <w:rPr>
          <w:rFonts w:ascii="Arial" w:cs="Arial" w:eastAsia="Arial" w:hAnsi="Arial"/>
          <w:sz w:val="17"/>
          <w:szCs w:val="17"/>
          <w:color w:val="auto"/>
        </w:rPr>
      </w:pPr>
    </w:p>
    <w:p>
      <w:pPr>
        <w:jc w:val="both"/>
        <w:ind w:left="3" w:hanging="3"/>
        <w:spacing w:after="0" w:line="268" w:lineRule="auto"/>
        <w:tabs>
          <w:tab w:leader="none" w:pos="22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 the terms and conditions (including forfeiture and restrictions against</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Arial" w:cs="Arial" w:eastAsia="Arial" w:hAnsi="Arial"/>
          <w:sz w:val="16"/>
          <w:szCs w:val="16"/>
          <w:color w:val="auto"/>
        </w:rPr>
        <w:t>transfer) contained in a Restricted Stock Agreement between the registered owner of the shares represented hereby and Citi Trends, Inc. Release from such terms and conditions shall be made only in accordance with the provisions of such Agreement, copies of which are on file in the offices of Citi Trends,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62" w:lineRule="exact"/>
        <w:rPr>
          <w:sz w:val="20"/>
          <w:szCs w:val="20"/>
          <w:color w:val="auto"/>
        </w:rPr>
      </w:pPr>
    </w:p>
    <w:p>
      <w:pPr>
        <w:jc w:val="both"/>
        <w:ind w:firstLine="2"/>
        <w:spacing w:after="0" w:line="243"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Grantee, as beneficial owner of the Shares, shall have full voting rights with respect to the Shares during and after the Restricted Period.</w:t>
      </w:r>
    </w:p>
    <w:p>
      <w:pPr>
        <w:spacing w:after="0" w:line="79" w:lineRule="exact"/>
        <w:rPr>
          <w:rFonts w:ascii="Arial" w:cs="Arial" w:eastAsia="Arial" w:hAnsi="Arial"/>
          <w:sz w:val="18"/>
          <w:szCs w:val="18"/>
          <w:color w:val="auto"/>
        </w:rPr>
      </w:pPr>
    </w:p>
    <w:p>
      <w:pPr>
        <w:jc w:val="both"/>
        <w:ind w:firstLine="2"/>
        <w:spacing w:after="0" w:line="251"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1 as the Restricted Shares to which they relate. Accrued dividends deferred and held pursuant to the foregoing provision shall be paid by the Company to the Grantee promptly upon the expiration of the Restricted Period (and in any event within 30 days of the date of such expiration).</w:t>
      </w:r>
    </w:p>
    <w:p>
      <w:pPr>
        <w:spacing w:after="0" w:line="75" w:lineRule="exact"/>
        <w:rPr>
          <w:rFonts w:ascii="Arial" w:cs="Arial" w:eastAsia="Arial" w:hAnsi="Arial"/>
          <w:sz w:val="17"/>
          <w:szCs w:val="17"/>
          <w:color w:val="auto"/>
        </w:rPr>
      </w:pPr>
    </w:p>
    <w:p>
      <w:pPr>
        <w:ind w:left="180" w:hanging="178"/>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firstLine="326"/>
        <w:spacing w:after="0" w:line="253" w:lineRule="auto"/>
        <w:tabs>
          <w:tab w:leader="none" w:pos="8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Upon issuance of the Shares hereunder, Grantee may make an election to be taxed upon such award under Section 83(b) of the Internal Revenue Code. To effect such election, Grantee may file an appropriate election with Internal Revenue Service within thirty (30) days after award of the Shares and otherwise in accordance with applicable Treasury Regulations.</w:t>
      </w:r>
    </w:p>
    <w:p>
      <w:pPr>
        <w:spacing w:after="0" w:line="75" w:lineRule="exact"/>
        <w:rPr>
          <w:rFonts w:ascii="Arial" w:cs="Arial" w:eastAsia="Arial" w:hAnsi="Arial"/>
          <w:sz w:val="17"/>
          <w:szCs w:val="17"/>
          <w:color w:val="auto"/>
        </w:rPr>
      </w:pPr>
    </w:p>
    <w:p>
      <w:pPr>
        <w:jc w:val="both"/>
        <w:ind w:firstLine="326"/>
        <w:spacing w:after="0" w:line="255" w:lineRule="auto"/>
        <w:tabs>
          <w:tab w:leader="none" w:pos="810" w:val="left"/>
        </w:tabs>
        <w:numPr>
          <w:ilvl w:val="1"/>
          <w:numId w:val="21"/>
        </w:numPr>
        <w:rPr>
          <w:rFonts w:ascii="Arial" w:cs="Arial" w:eastAsia="Arial" w:hAnsi="Arial"/>
          <w:sz w:val="17"/>
          <w:szCs w:val="17"/>
          <w:color w:val="auto"/>
        </w:rPr>
      </w:pPr>
      <w:r>
        <w:rPr>
          <w:rFonts w:ascii="Arial" w:cs="Arial" w:eastAsia="Arial" w:hAnsi="Arial"/>
          <w:sz w:val="17"/>
          <w:szCs w:val="17"/>
          <w:color w:val="auto"/>
        </w:rPr>
        <w:t>Grantee will, no later than the date as of which any amount related to the Shares first becomes includable in Grantee’s gross income for federal income tax purposes, pay to the Company, or make other arrangements satisfactory to the Committee regarding payment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808990</wp:posOffset>
            </wp:positionV>
            <wp:extent cx="661797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61797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Arial" w:cs="Arial" w:eastAsia="Arial" w:hAnsi="Arial"/>
          <w:sz w:val="17"/>
          <w:szCs w:val="17"/>
          <w:color w:val="auto"/>
        </w:rPr>
        <w:t>federal, state and local taxes of any kind required by law to be withheld with respect to such amount, including without limitation the surrender of shares of Stock to the Company. The obligations of the Company under this Agreement will be conditional on such payment or arrangements, and the Company will, to the extent permitted by law, have the right to deduct any such taxes from the award or any payment of any kind otherwise due to Grantee.</w:t>
      </w:r>
    </w:p>
    <w:p>
      <w:pPr>
        <w:spacing w:after="0" w:line="78" w:lineRule="exact"/>
        <w:rPr>
          <w:sz w:val="20"/>
          <w:szCs w:val="20"/>
          <w:color w:val="auto"/>
        </w:rPr>
      </w:pPr>
    </w:p>
    <w:p>
      <w:pPr>
        <w:jc w:val="both"/>
        <w:ind w:firstLine="6"/>
        <w:spacing w:after="0" w:line="253" w:lineRule="auto"/>
        <w:tabs>
          <w:tab w:leader="none" w:pos="19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Plan Controls</w:t>
      </w:r>
      <w:r>
        <w:rPr>
          <w:rFonts w:ascii="Arial" w:cs="Arial" w:eastAsia="Arial" w:hAnsi="Arial"/>
          <w:sz w:val="17"/>
          <w:szCs w:val="17"/>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75" w:lineRule="exact"/>
        <w:rPr>
          <w:rFonts w:ascii="Arial" w:cs="Arial" w:eastAsia="Arial" w:hAnsi="Arial"/>
          <w:sz w:val="17"/>
          <w:szCs w:val="17"/>
          <w:color w:val="auto"/>
        </w:rPr>
      </w:pPr>
    </w:p>
    <w:p>
      <w:pPr>
        <w:jc w:val="both"/>
        <w:ind w:firstLine="6"/>
        <w:spacing w:after="0" w:line="243" w:lineRule="auto"/>
        <w:tabs>
          <w:tab w:leader="none" w:pos="33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shall be binding upon any successor of the Company, in accordance with the terms of this Agreement and the Plan.</w:t>
      </w:r>
    </w:p>
    <w:p>
      <w:pPr>
        <w:spacing w:after="0" w:line="79" w:lineRule="exact"/>
        <w:rPr>
          <w:rFonts w:ascii="Arial" w:cs="Arial" w:eastAsia="Arial" w:hAnsi="Arial"/>
          <w:sz w:val="18"/>
          <w:szCs w:val="18"/>
          <w:color w:val="auto"/>
        </w:rPr>
      </w:pPr>
    </w:p>
    <w:p>
      <w:pPr>
        <w:jc w:val="both"/>
        <w:ind w:firstLine="6"/>
        <w:spacing w:after="0" w:line="239" w:lineRule="auto"/>
        <w:tabs>
          <w:tab w:leader="none" w:pos="279"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82" w:lineRule="exact"/>
        <w:rPr>
          <w:rFonts w:ascii="Arial" w:cs="Arial" w:eastAsia="Arial" w:hAnsi="Arial"/>
          <w:sz w:val="18"/>
          <w:szCs w:val="18"/>
          <w:color w:val="auto"/>
        </w:rPr>
      </w:pPr>
    </w:p>
    <w:p>
      <w:pPr>
        <w:jc w:val="both"/>
        <w:ind w:firstLine="6"/>
        <w:spacing w:after="0" w:line="268" w:lineRule="auto"/>
        <w:tabs>
          <w:tab w:leader="none" w:pos="36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Notices and communications under this Agreement must be in writing and either personally delivered or sent by registered or certified U.S. mail, return receipt requested, postage prepaid. Notices to the Company must be addressed to Citi Trends, Inc., 104 Coleman Boulevard,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323" w:space="220"/>
            <w:col w:w="3320" w:space="220"/>
            <w:col w:w="3320"/>
          </w:cols>
          <w:pgMar w:left="737" w:top="121" w:right="75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David N. Makuen, certify that:</w:t>
      </w:r>
    </w:p>
    <w:p>
      <w:pPr>
        <w:spacing w:after="0" w:line="19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31, 2021 of Citi Trends, Inc.;</w:t>
      </w:r>
    </w:p>
    <w:p>
      <w:pPr>
        <w:spacing w:after="0" w:line="194" w:lineRule="exact"/>
        <w:rPr>
          <w:rFonts w:ascii="Arial" w:cs="Arial" w:eastAsia="Arial" w:hAnsi="Arial"/>
          <w:sz w:val="16"/>
          <w:szCs w:val="16"/>
          <w:color w:val="auto"/>
        </w:rPr>
      </w:pPr>
    </w:p>
    <w:p>
      <w:pPr>
        <w:ind w:left="660" w:right="140" w:hanging="652"/>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660" w:right="460" w:hanging="652"/>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1300" w:right="160" w:hanging="644"/>
        <w:spacing w:after="0" w:line="251"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ind w:left="1300" w:right="160" w:hanging="644"/>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4"/>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300" w:hanging="644"/>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jc w:val="both"/>
        <w:ind w:left="1300" w:right="80" w:hanging="644"/>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300" w:right="380" w:hanging="644"/>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3775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231F20"/>
        </w:rPr>
        <w:t>David N. Makuen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Pamela J. Edwards, certify that:</w:t>
      </w:r>
    </w:p>
    <w:p>
      <w:pPr>
        <w:spacing w:after="0" w:line="194"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July 31, 2021 of Citi Trends, Inc.;</w:t>
      </w:r>
    </w:p>
    <w:p>
      <w:pPr>
        <w:spacing w:after="0" w:line="194" w:lineRule="exact"/>
        <w:rPr>
          <w:rFonts w:ascii="Arial" w:cs="Arial" w:eastAsia="Arial" w:hAnsi="Arial"/>
          <w:sz w:val="16"/>
          <w:szCs w:val="16"/>
          <w:color w:val="auto"/>
        </w:rPr>
      </w:pPr>
    </w:p>
    <w:p>
      <w:pPr>
        <w:ind w:left="660" w:right="140" w:hanging="652"/>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660" w:right="460" w:hanging="652"/>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1300" w:right="160" w:hanging="644"/>
        <w:spacing w:after="0" w:line="251"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6"/>
          <w:szCs w:val="16"/>
          <w:color w:val="auto"/>
        </w:rPr>
      </w:pPr>
    </w:p>
    <w:p>
      <w:pPr>
        <w:ind w:left="1300" w:right="160" w:hanging="644"/>
        <w:spacing w:after="0" w:line="25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1300" w:right="240" w:hanging="644"/>
        <w:spacing w:after="0" w:line="25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6"/>
          <w:szCs w:val="16"/>
          <w:color w:val="auto"/>
        </w:rPr>
      </w:pPr>
    </w:p>
    <w:p>
      <w:pPr>
        <w:ind w:left="1300" w:hanging="644"/>
        <w:spacing w:after="0" w:line="25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left="660" w:right="40" w:hanging="652"/>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6"/>
          <w:szCs w:val="16"/>
          <w:color w:val="auto"/>
        </w:rPr>
      </w:pPr>
    </w:p>
    <w:p>
      <w:pPr>
        <w:jc w:val="both"/>
        <w:ind w:left="1300" w:right="80" w:hanging="644"/>
        <w:spacing w:after="0" w:line="253"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6"/>
          <w:szCs w:val="16"/>
          <w:color w:val="auto"/>
        </w:rPr>
      </w:pPr>
    </w:p>
    <w:p>
      <w:pPr>
        <w:ind w:left="1300" w:right="380" w:hanging="644"/>
        <w:spacing w:after="0" w:line="260" w:lineRule="auto"/>
        <w:tabs>
          <w:tab w:leader="none" w:pos="13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8,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33775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Pamela J. Edwards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jc w:val="right"/>
        <w:ind w:right="59"/>
        <w:spacing w:after="0"/>
        <w:rPr>
          <w:sz w:val="20"/>
          <w:szCs w:val="20"/>
          <w:color w:val="auto"/>
        </w:rPr>
      </w:pPr>
      <w:r>
        <w:rPr>
          <w:rFonts w:ascii="Arial" w:cs="Arial" w:eastAsia="Arial" w:hAnsi="Arial"/>
          <w:sz w:val="16"/>
          <w:szCs w:val="16"/>
          <w:b w:val="1"/>
          <w:bCs w:val="1"/>
          <w:color w:val="auto"/>
        </w:rPr>
        <w:t>Exhibit 32.1</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Certifications pursuant to Section 906 of the Sarbanes-Oxley Act of 2002 (18 U.S.C. § 1350, as adopted).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David N. Makuen, Chief Executive Officer of Citi Trends, Inc.,</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and</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Pamela J. Edwards, Chief Financial officer of Citi Trends, Inc., certify that:</w:t>
      </w:r>
    </w:p>
    <w:p>
      <w:pPr>
        <w:spacing w:after="0" w:line="194" w:lineRule="exact"/>
        <w:rPr>
          <w:sz w:val="20"/>
          <w:szCs w:val="20"/>
          <w:color w:val="auto"/>
        </w:rPr>
      </w:pPr>
    </w:p>
    <w:p>
      <w:pPr>
        <w:ind w:left="220" w:hanging="176"/>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reviewed this quarterly report on Form 10-Q of Citi Trends, Inc. for the period ended July 31, 2021;</w:t>
      </w:r>
    </w:p>
    <w:p>
      <w:pPr>
        <w:spacing w:after="0" w:line="194" w:lineRule="exact"/>
        <w:rPr>
          <w:rFonts w:ascii="Arial" w:cs="Arial" w:eastAsia="Arial" w:hAnsi="Arial"/>
          <w:sz w:val="16"/>
          <w:szCs w:val="16"/>
          <w:color w:val="auto"/>
        </w:rPr>
      </w:pPr>
    </w:p>
    <w:p>
      <w:pPr>
        <w:ind w:left="40" w:right="79" w:firstLine="4"/>
        <w:spacing w:after="0" w:line="260"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our knowledge, this quarterly report fully complies with the requirements of Section 13(a) or Section 15(d) of the Securities Exchange Act of 1934, as amended; and</w:t>
      </w:r>
    </w:p>
    <w:p>
      <w:pPr>
        <w:spacing w:after="0" w:line="168" w:lineRule="exact"/>
        <w:rPr>
          <w:rFonts w:ascii="Arial" w:cs="Arial" w:eastAsia="Arial" w:hAnsi="Arial"/>
          <w:sz w:val="16"/>
          <w:szCs w:val="16"/>
          <w:color w:val="auto"/>
        </w:rPr>
      </w:pPr>
    </w:p>
    <w:p>
      <w:pPr>
        <w:jc w:val="both"/>
        <w:ind w:left="40" w:right="139" w:firstLine="4"/>
        <w:spacing w:after="0" w:line="253" w:lineRule="auto"/>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8, 2021</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10795</wp:posOffset>
            </wp:positionV>
            <wp:extent cx="2983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David N. Makuen</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Executive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Executive Officer)</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color w:val="231F20"/>
        </w:rPr>
        <w:t>Date: September 8, 2021</w:t>
      </w:r>
    </w:p>
    <w:p>
      <w:pPr>
        <w:spacing w:after="0" w:line="397"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 xml:space="preserve">/s/ </w:t>
      </w:r>
      <w:r>
        <w:rPr>
          <w:rFonts w:ascii="Arial" w:cs="Arial" w:eastAsia="Arial" w:hAnsi="Arial"/>
          <w:sz w:val="16"/>
          <w:szCs w:val="16"/>
          <w:color w:val="000000"/>
        </w:rPr>
        <w:t>Pamela J.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10795</wp:posOffset>
            </wp:positionV>
            <wp:extent cx="2983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2"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Pamela J. Edwards</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Chief Financial Officer</w:t>
      </w:r>
    </w:p>
    <w:p>
      <w:pPr>
        <w:spacing w:after="0" w:line="19" w:lineRule="exact"/>
        <w:rPr>
          <w:sz w:val="20"/>
          <w:szCs w:val="20"/>
          <w:color w:val="auto"/>
        </w:rPr>
      </w:pPr>
    </w:p>
    <w:p>
      <w:pPr>
        <w:ind w:left="4260"/>
        <w:spacing w:after="0"/>
        <w:rPr>
          <w:sz w:val="20"/>
          <w:szCs w:val="20"/>
          <w:color w:val="auto"/>
        </w:rPr>
      </w:pPr>
      <w:r>
        <w:rPr>
          <w:rFonts w:ascii="Arial" w:cs="Arial" w:eastAsia="Arial" w:hAnsi="Arial"/>
          <w:sz w:val="16"/>
          <w:szCs w:val="16"/>
          <w:color w:val="231F20"/>
        </w:rPr>
        <w:t>(Principal Financial Officer)</w:t>
      </w:r>
    </w:p>
    <w:p>
      <w:pPr>
        <w:spacing w:after="0" w:line="397" w:lineRule="exact"/>
        <w:rPr>
          <w:sz w:val="20"/>
          <w:szCs w:val="20"/>
          <w:color w:val="auto"/>
        </w:rPr>
      </w:pPr>
    </w:p>
    <w:p>
      <w:pPr>
        <w:ind w:left="40" w:right="99"/>
        <w:spacing w:after="0" w:line="260"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decimal"/>
      <w:start w:val="2"/>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01"/>
    </w:lvl>
  </w:abstractNum>
  <w:abstractNum w:abstractNumId="17">
    <w:nsid w:val="333AB105"/>
    <w:multiLevelType w:val="hybridMultilevel"/>
    <w:lvl w:ilvl="0">
      <w:lvlJc w:val="left"/>
      <w:lvlText w:val="*"/>
      <w:numFmt w:val="bullet"/>
      <w:start w:val="1"/>
    </w:lvl>
    <w:lvl w:ilvl="1">
      <w:lvlJc w:val="left"/>
      <w:lvlText w:val="%2"/>
      <w:numFmt w:val="decimal"/>
      <w:start w:val="104"/>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4"/>
    </w:lvl>
    <w:lvl w:ilvl="1">
      <w:lvlJc w:val="left"/>
      <w:lvlText w:val="(%2)"/>
      <w:numFmt w:val="lowerLetter"/>
      <w:start w:val="1"/>
    </w:lvl>
  </w:abstractNum>
  <w:abstractNum w:abstractNumId="21">
    <w:nsid w:val="6763845E"/>
    <w:multiLevelType w:val="hybridMultilevel"/>
    <w:lvl w:ilvl="0">
      <w:lvlJc w:val="left"/>
      <w:lvlText w:val="%1."/>
      <w:numFmt w:val="decimal"/>
      <w:start w:val="7"/>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0" Type="http://schemas.openxmlformats.org/officeDocument/2006/relationships/hyperlink" Target="http://www.sec.gov/Archives/edgar/data/1318484/000110465918038871/a18-15022_1ex3d1.htm" TargetMode="External"/><Relationship Id="rId31" Type="http://schemas.openxmlformats.org/officeDocument/2006/relationships/hyperlink" Target="https://www.sec.gov/Archives/edgar/data/0001318484/000155837021004393/tmb-20210602xdef14a.htm#AppendixA_180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2021-09-08T09:57:58Z</dcterms:created>
  <dcterms:modified xsi:type="dcterms:W3CDTF">2021-09-08T09:57:58Z</dcterms:modified>
</cp:coreProperties>
</file>