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2E74B5"/>
        </w:rPr>
      </w:pPr>
      <w:hyperlink w:anchor="page2">
        <w:r>
          <w:rPr>
            <w:rFonts w:ascii="Arial" w:cs="Arial" w:eastAsia="Arial" w:hAnsi="Arial"/>
            <w:sz w:val="20"/>
            <w:szCs w:val="20"/>
            <w:u w:val="single" w:color="auto"/>
            <w:color w:val="2E74B5"/>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379095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8" w:lineRule="exact"/>
        <w:rPr>
          <w:sz w:val="24"/>
          <w:szCs w:val="24"/>
          <w:color w:val="auto"/>
        </w:rPr>
      </w:pPr>
    </w:p>
    <w:p>
      <w:pPr>
        <w:ind w:left="3240" w:right="260" w:hanging="2980"/>
        <w:spacing w:after="0" w:line="391" w:lineRule="auto"/>
        <w:tabs>
          <w:tab w:leader="none" w:pos="67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August 3, 2019</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347" w:lineRule="exact"/>
        <w:rPr>
          <w:sz w:val="24"/>
          <w:szCs w:val="24"/>
          <w:color w:val="auto"/>
        </w:rPr>
      </w:pPr>
    </w:p>
    <w:p>
      <w:pPr>
        <w:ind w:left="3620" w:right="240" w:hanging="3360"/>
        <w:spacing w:after="0" w:line="391" w:lineRule="auto"/>
        <w:tabs>
          <w:tab w:leader="none" w:pos="68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000-51315</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42" w:lineRule="exact"/>
        <w:rPr>
          <w:sz w:val="24"/>
          <w:szCs w:val="24"/>
          <w:color w:val="auto"/>
        </w:rPr>
      </w:pPr>
    </w:p>
    <w:tbl>
      <w:tblPr>
        <w:tblLayout w:type="fixed"/>
        <w:tblInd w:w="1040" w:type="dxa"/>
        <w:tblCellMar>
          <w:top w:w="0" w:type="dxa"/>
          <w:left w:w="0" w:type="dxa"/>
          <w:bottom w:w="0" w:type="dxa"/>
          <w:right w:w="0" w:type="dxa"/>
        </w:tblCellMar>
      </w:tblPr>
      <w:tr>
        <w:trPr>
          <w:trHeight w:val="220"/>
        </w:trPr>
        <w:tc>
          <w:tcPr>
            <w:tcW w:w="43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8"/>
              </w:rPr>
              <w:t>DELAWARE</w:t>
            </w:r>
          </w:p>
        </w:tc>
        <w:tc>
          <w:tcPr>
            <w:tcW w:w="2840" w:type="dxa"/>
            <w:vAlign w:val="bottom"/>
          </w:tcPr>
          <w:p>
            <w:pPr>
              <w:jc w:val="right"/>
              <w:ind w:right="130"/>
              <w:spacing w:after="0"/>
              <w:rPr>
                <w:sz w:val="20"/>
                <w:szCs w:val="20"/>
                <w:color w:val="auto"/>
              </w:rPr>
            </w:pPr>
            <w:r>
              <w:rPr>
                <w:rFonts w:ascii="Arial" w:cs="Arial" w:eastAsia="Arial" w:hAnsi="Arial"/>
                <w:sz w:val="18"/>
                <w:szCs w:val="18"/>
                <w:b w:val="1"/>
                <w:bCs w:val="1"/>
                <w:color w:val="auto"/>
              </w:rPr>
              <w:t>52-2150697</w:t>
            </w:r>
          </w:p>
        </w:tc>
      </w:tr>
      <w:tr>
        <w:trPr>
          <w:trHeight w:val="216"/>
        </w:trPr>
        <w:tc>
          <w:tcPr>
            <w:tcW w:w="4380" w:type="dxa"/>
            <w:vAlign w:val="bottom"/>
          </w:tcPr>
          <w:p>
            <w:pPr>
              <w:jc w:val="center"/>
              <w:ind w:right="1410"/>
              <w:spacing w:after="0"/>
              <w:rPr>
                <w:sz w:val="20"/>
                <w:szCs w:val="20"/>
                <w:color w:val="auto"/>
              </w:rPr>
            </w:pPr>
            <w:r>
              <w:rPr>
                <w:rFonts w:ascii="Arial" w:cs="Arial" w:eastAsia="Arial" w:hAnsi="Arial"/>
                <w:sz w:val="18"/>
                <w:szCs w:val="18"/>
                <w:color w:val="auto"/>
                <w:w w:val="92"/>
              </w:rPr>
              <w:t>(State or other jurisdiction of</w:t>
            </w:r>
          </w:p>
        </w:tc>
        <w:tc>
          <w:tcPr>
            <w:tcW w:w="2840" w:type="dxa"/>
            <w:vAlign w:val="bottom"/>
          </w:tcPr>
          <w:p>
            <w:pPr>
              <w:jc w:val="center"/>
              <w:ind w:left="1430"/>
              <w:spacing w:after="0"/>
              <w:rPr>
                <w:sz w:val="20"/>
                <w:szCs w:val="20"/>
                <w:color w:val="auto"/>
              </w:rPr>
            </w:pPr>
            <w:r>
              <w:rPr>
                <w:rFonts w:ascii="Arial" w:cs="Arial" w:eastAsia="Arial" w:hAnsi="Arial"/>
                <w:sz w:val="18"/>
                <w:szCs w:val="18"/>
                <w:color w:val="auto"/>
                <w:w w:val="93"/>
              </w:rPr>
              <w:t>(I.R.S. Employer</w:t>
            </w:r>
          </w:p>
        </w:tc>
      </w:tr>
      <w:tr>
        <w:trPr>
          <w:trHeight w:val="230"/>
        </w:trPr>
        <w:tc>
          <w:tcPr>
            <w:tcW w:w="4380" w:type="dxa"/>
            <w:vAlign w:val="bottom"/>
          </w:tcPr>
          <w:p>
            <w:pPr>
              <w:jc w:val="center"/>
              <w:ind w:right="1410"/>
              <w:spacing w:after="0"/>
              <w:rPr>
                <w:sz w:val="20"/>
                <w:szCs w:val="20"/>
                <w:color w:val="auto"/>
              </w:rPr>
            </w:pPr>
            <w:r>
              <w:rPr>
                <w:rFonts w:ascii="Arial" w:cs="Arial" w:eastAsia="Arial" w:hAnsi="Arial"/>
                <w:sz w:val="18"/>
                <w:szCs w:val="18"/>
                <w:color w:val="auto"/>
                <w:w w:val="92"/>
              </w:rPr>
              <w:t>incorporation or organization)</w:t>
            </w:r>
          </w:p>
        </w:tc>
        <w:tc>
          <w:tcPr>
            <w:tcW w:w="2840" w:type="dxa"/>
            <w:vAlign w:val="bottom"/>
          </w:tcPr>
          <w:p>
            <w:pPr>
              <w:jc w:val="center"/>
              <w:ind w:left="1430"/>
              <w:spacing w:after="0"/>
              <w:rPr>
                <w:sz w:val="20"/>
                <w:szCs w:val="20"/>
                <w:color w:val="auto"/>
              </w:rPr>
            </w:pPr>
            <w:r>
              <w:rPr>
                <w:rFonts w:ascii="Arial" w:cs="Arial" w:eastAsia="Arial" w:hAnsi="Arial"/>
                <w:sz w:val="18"/>
                <w:szCs w:val="18"/>
                <w:color w:val="auto"/>
                <w:w w:val="94"/>
              </w:rPr>
              <w:t>Identification No.)</w:t>
            </w:r>
          </w:p>
        </w:tc>
      </w:tr>
      <w:tr>
        <w:trPr>
          <w:trHeight w:val="414"/>
        </w:trPr>
        <w:tc>
          <w:tcPr>
            <w:tcW w:w="43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104 Coleman Boulevard</w:t>
            </w:r>
          </w:p>
        </w:tc>
        <w:tc>
          <w:tcPr>
            <w:tcW w:w="2840" w:type="dxa"/>
            <w:vAlign w:val="bottom"/>
          </w:tcPr>
          <w:p>
            <w:pPr>
              <w:spacing w:after="0"/>
              <w:rPr>
                <w:sz w:val="24"/>
                <w:szCs w:val="24"/>
                <w:color w:val="auto"/>
              </w:rPr>
            </w:pPr>
          </w:p>
        </w:tc>
      </w:tr>
      <w:tr>
        <w:trPr>
          <w:trHeight w:val="220"/>
        </w:trPr>
        <w:tc>
          <w:tcPr>
            <w:tcW w:w="4380" w:type="dxa"/>
            <w:vAlign w:val="bottom"/>
          </w:tcPr>
          <w:p>
            <w:pPr>
              <w:jc w:val="center"/>
              <w:ind w:right="1430"/>
              <w:spacing w:after="0"/>
              <w:rPr>
                <w:sz w:val="20"/>
                <w:szCs w:val="20"/>
                <w:color w:val="auto"/>
              </w:rPr>
            </w:pPr>
            <w:r>
              <w:rPr>
                <w:rFonts w:ascii="Arial" w:cs="Arial" w:eastAsia="Arial" w:hAnsi="Arial"/>
                <w:sz w:val="18"/>
                <w:szCs w:val="18"/>
                <w:b w:val="1"/>
                <w:bCs w:val="1"/>
                <w:color w:val="auto"/>
                <w:w w:val="89"/>
              </w:rPr>
              <w:t>Savannah, Georgia</w:t>
            </w:r>
          </w:p>
        </w:tc>
        <w:tc>
          <w:tcPr>
            <w:tcW w:w="2840" w:type="dxa"/>
            <w:vAlign w:val="bottom"/>
          </w:tcPr>
          <w:p>
            <w:pPr>
              <w:jc w:val="right"/>
              <w:ind w:right="350"/>
              <w:spacing w:after="0"/>
              <w:rPr>
                <w:sz w:val="20"/>
                <w:szCs w:val="20"/>
                <w:color w:val="auto"/>
              </w:rPr>
            </w:pPr>
            <w:r>
              <w:rPr>
                <w:rFonts w:ascii="Arial" w:cs="Arial" w:eastAsia="Arial" w:hAnsi="Arial"/>
                <w:sz w:val="18"/>
                <w:szCs w:val="18"/>
                <w:b w:val="1"/>
                <w:bCs w:val="1"/>
                <w:color w:val="auto"/>
              </w:rPr>
              <w:t>31408</w:t>
            </w:r>
          </w:p>
        </w:tc>
      </w:tr>
      <w:tr>
        <w:trPr>
          <w:trHeight w:val="230"/>
        </w:trPr>
        <w:tc>
          <w:tcPr>
            <w:tcW w:w="4380" w:type="dxa"/>
            <w:vAlign w:val="bottom"/>
          </w:tcPr>
          <w:p>
            <w:pPr>
              <w:jc w:val="center"/>
              <w:ind w:right="1430"/>
              <w:spacing w:after="0"/>
              <w:rPr>
                <w:sz w:val="20"/>
                <w:szCs w:val="20"/>
                <w:color w:val="auto"/>
              </w:rPr>
            </w:pPr>
            <w:r>
              <w:rPr>
                <w:rFonts w:ascii="Arial" w:cs="Arial" w:eastAsia="Arial" w:hAnsi="Arial"/>
                <w:sz w:val="18"/>
                <w:szCs w:val="18"/>
                <w:color w:val="auto"/>
                <w:w w:val="92"/>
              </w:rPr>
              <w:t>(Address of principal executive offices)</w:t>
            </w:r>
          </w:p>
        </w:tc>
        <w:tc>
          <w:tcPr>
            <w:tcW w:w="284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ind w:left="260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912) 236-1561</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6"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280" w:type="dxa"/>
            <w:vAlign w:val="bottom"/>
            <w:tcBorders>
              <w:top w:val="single" w:sz="8" w:color="auto"/>
              <w:left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87"/>
              </w:rPr>
              <w:t>Title of each class</w:t>
            </w:r>
          </w:p>
        </w:tc>
        <w:tc>
          <w:tcPr>
            <w:tcW w:w="278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0"/>
              </w:rPr>
              <w:t>Trading symbol</w:t>
            </w:r>
          </w:p>
        </w:tc>
        <w:tc>
          <w:tcPr>
            <w:tcW w:w="4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2820" w:type="dxa"/>
            <w:vAlign w:val="bottom"/>
            <w:tcBorders>
              <w:top w:val="single" w:sz="8" w:color="auto"/>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460" w:type="dxa"/>
            <w:vAlign w:val="bottom"/>
            <w:tcBorders>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CTRN</w:t>
            </w:r>
          </w:p>
        </w:tc>
        <w:tc>
          <w:tcPr>
            <w:tcW w:w="460" w:type="dxa"/>
            <w:vAlign w:val="bottom"/>
            <w:tcBorders>
              <w:bottom w:val="single" w:sz="8" w:color="auto"/>
            </w:tcBorders>
          </w:tcPr>
          <w:p>
            <w:pPr>
              <w:spacing w:after="0"/>
              <w:rPr>
                <w:sz w:val="18"/>
                <w:szCs w:val="18"/>
                <w:color w:val="auto"/>
              </w:rPr>
            </w:pPr>
          </w:p>
        </w:tc>
        <w:tc>
          <w:tcPr>
            <w:tcW w:w="4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NASDAQ Stock Market</w:t>
            </w:r>
          </w:p>
        </w:tc>
      </w:tr>
    </w:tbl>
    <w:p>
      <w:pPr>
        <w:spacing w:after="0" w:line="107"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080"/>
          </w:cols>
          <w:pgMar w:left="920" w:top="231" w:right="899" w:bottom="1440" w:gutter="0" w:footer="0" w:header="0"/>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16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2980" w:space="720"/>
            <w:col w:w="2220" w:space="720"/>
            <w:col w:w="3440"/>
          </w:cols>
          <w:pgMar w:left="920" w:top="231" w:right="89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sectPr>
          <w:pgSz w:w="11900" w:h="16838" w:orient="portrait"/>
          <w:cols w:equalWidth="0" w:num="2">
            <w:col w:w="5920" w:space="720"/>
            <w:col w:w="3440"/>
          </w:cols>
          <w:pgMar w:left="920" w:top="231" w:right="899" w:bottom="1440" w:gutter="0" w:footer="0" w:header="0"/>
          <w:type w:val="continuous"/>
        </w:sectPr>
      </w:pPr>
    </w:p>
    <w:p>
      <w:pPr>
        <w:ind w:right="2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5" w:lineRule="exact"/>
        <w:rPr>
          <w:sz w:val="24"/>
          <w:szCs w:val="24"/>
          <w:color w:val="auto"/>
        </w:rPr>
      </w:pPr>
    </w:p>
    <w:p>
      <w:pPr>
        <w:ind w:right="780"/>
        <w:spacing w:after="0" w:line="30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19, 2019 the registrant had 11,910,406 outstanding shares of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274955</wp:posOffset>
            </wp:positionV>
            <wp:extent cx="6388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300990</wp:posOffset>
            </wp:positionV>
            <wp:extent cx="6388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652780</wp:posOffset>
            </wp:positionV>
            <wp:extent cx="638873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231" w:right="899" w:bottom="1440" w:gutter="0" w:footer="0" w:header="0"/>
          <w:type w:val="continuous"/>
        </w:sectPr>
      </w:pPr>
    </w:p>
    <w:bookmarkStart w:id="1" w:name="page2"/>
    <w:bookmarkEnd w:id="1"/>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u w:val="single" w:color="auto"/>
          <w:color w:val="auto"/>
        </w:rPr>
        <w:t>CITI TRENDS, INC.</w:t>
      </w:r>
    </w:p>
    <w:p>
      <w:pPr>
        <w:spacing w:after="0" w:line="27"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u w:val="single" w:color="auto"/>
          <w:color w:val="auto"/>
        </w:rPr>
        <w:t>FORM 10-Q</w:t>
      </w:r>
    </w:p>
    <w:p>
      <w:pPr>
        <w:spacing w:after="0" w:line="9"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400" w:type="dxa"/>
            <w:vAlign w:val="bottom"/>
            <w:gridSpan w:val="2"/>
          </w:tcPr>
          <w:p>
            <w:pPr>
              <w:spacing w:after="0"/>
              <w:rPr>
                <w:sz w:val="17"/>
                <w:szCs w:val="17"/>
                <w:color w:val="auto"/>
              </w:rPr>
            </w:pPr>
          </w:p>
        </w:tc>
        <w:tc>
          <w:tcPr>
            <w:tcW w:w="818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r>
      <w:tr>
        <w:trPr>
          <w:trHeight w:val="345"/>
        </w:trPr>
        <w:tc>
          <w:tcPr>
            <w:tcW w:w="540" w:type="dxa"/>
            <w:vAlign w:val="bottom"/>
            <w:tcBorders>
              <w:top w:val="single" w:sz="8" w:color="0000EE"/>
            </w:tcBorders>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400" w:type="dxa"/>
            <w:vAlign w:val="bottom"/>
            <w:gridSpan w:val="2"/>
          </w:tcPr>
          <w:p>
            <w:pPr>
              <w:spacing w:after="0"/>
              <w:rPr>
                <w:sz w:val="24"/>
                <w:szCs w:val="24"/>
                <w:color w:val="auto"/>
              </w:rPr>
            </w:pPr>
          </w:p>
        </w:tc>
        <w:tc>
          <w:tcPr>
            <w:tcW w:w="2260" w:type="dxa"/>
            <w:vAlign w:val="bottom"/>
            <w:tcBorders>
              <w:top w:val="single" w:sz="8" w:color="0000EE"/>
            </w:tcBorders>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920" w:type="dxa"/>
            <w:vAlign w:val="bottom"/>
            <w:gridSpan w:val="11"/>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(unaudited) August 3, 2019 and February 2, 2019</w:t>
              </w:r>
            </w:hyperlink>
          </w:p>
        </w:tc>
        <w:tc>
          <w:tcPr>
            <w:tcW w:w="1620" w:type="dxa"/>
            <w:vAlign w:val="bottom"/>
            <w:gridSpan w:val="4"/>
          </w:tcPr>
          <w:p>
            <w:pPr>
              <w:spacing w:after="0"/>
              <w:rPr>
                <w:sz w:val="24"/>
                <w:szCs w:val="24"/>
                <w:color w:val="auto"/>
              </w:rPr>
            </w:pPr>
          </w:p>
        </w:tc>
      </w:tr>
      <w:tr>
        <w:trPr>
          <w:trHeight w:val="34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21"/>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Operations (unaudited) Twenty-six weeks ended August 3, 2019 and</w:t>
              </w:r>
            </w:hyperlink>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August 4, 2018</w:t>
              </w:r>
            </w:hyperlink>
          </w:p>
        </w:tc>
        <w:tc>
          <w:tcPr>
            <w:tcW w:w="6700" w:type="dxa"/>
            <w:vAlign w:val="bottom"/>
            <w:tcBorders>
              <w:top w:val="single" w:sz="8" w:color="0000EE"/>
            </w:tcBorders>
            <w:gridSpan w:val="13"/>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4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(unaudited) Thirteen weeks ended August 3, 2019 and August</w:t>
              </w:r>
            </w:hyperlink>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Borders>
              <w:bottom w:val="single" w:sz="8" w:color="0000EE"/>
            </w:tcBorders>
          </w:tcPr>
          <w:p>
            <w:pPr>
              <w:spacing w:after="0" w:line="182"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4, 2018</w:t>
              </w:r>
            </w:hyperlink>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4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21"/>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Cash Flows (unaudited) Twenty-six weeks ended August 3, 2019 and</w:t>
              </w:r>
            </w:hyperlink>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August 4, 2018</w:t>
              </w:r>
            </w:hyperlink>
          </w:p>
        </w:tc>
        <w:tc>
          <w:tcPr>
            <w:tcW w:w="6760" w:type="dxa"/>
            <w:vAlign w:val="bottom"/>
            <w:tcBorders>
              <w:top w:val="single" w:sz="8" w:color="0000EE"/>
            </w:tcBorders>
            <w:gridSpan w:val="14"/>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4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21"/>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Stockholders’ Equity (unaudited) Twenty-six and Thirteen weeks ended</w:t>
              </w:r>
            </w:hyperlink>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August 3, 2019 and August 4, 2018</w:t>
              </w:r>
            </w:hyperlink>
          </w:p>
        </w:tc>
        <w:tc>
          <w:tcPr>
            <w:tcW w:w="120" w:type="dxa"/>
            <w:vAlign w:val="bottom"/>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 (unaudited)</w:t>
              </w:r>
            </w:hyperlink>
          </w:p>
        </w:tc>
      </w:tr>
      <w:tr>
        <w:trPr>
          <w:trHeight w:val="20"/>
        </w:trPr>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r>
      <w:tr>
        <w:trPr>
          <w:trHeight w:val="358"/>
        </w:trPr>
        <w:tc>
          <w:tcPr>
            <w:tcW w:w="480" w:type="dxa"/>
            <w:vAlign w:val="bottom"/>
            <w:gridSpan w:val="2"/>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Item 2</w:t>
              </w:r>
            </w:hyperlink>
          </w:p>
        </w:tc>
        <w:tc>
          <w:tcPr>
            <w:tcW w:w="460" w:type="dxa"/>
            <w:vAlign w:val="bottom"/>
            <w:gridSpan w:val="3"/>
          </w:tcPr>
          <w:p>
            <w:pPr>
              <w:spacing w:after="0"/>
              <w:rPr>
                <w:sz w:val="24"/>
                <w:szCs w:val="24"/>
                <w:color w:val="auto"/>
              </w:rPr>
            </w:pPr>
          </w:p>
        </w:tc>
        <w:tc>
          <w:tcPr>
            <w:tcW w:w="8180" w:type="dxa"/>
            <w:vAlign w:val="bottom"/>
            <w:gridSpan w:val="2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r>
      <w:tr>
        <w:trPr>
          <w:trHeight w:val="358"/>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3</w:t>
              </w:r>
            </w:hyperlink>
          </w:p>
        </w:tc>
        <w:tc>
          <w:tcPr>
            <w:tcW w:w="460" w:type="dxa"/>
            <w:vAlign w:val="bottom"/>
            <w:gridSpan w:val="3"/>
          </w:tcPr>
          <w:p>
            <w:pPr>
              <w:spacing w:after="0"/>
              <w:rPr>
                <w:sz w:val="24"/>
                <w:szCs w:val="24"/>
                <w:color w:val="auto"/>
              </w:rPr>
            </w:pPr>
          </w:p>
        </w:tc>
        <w:tc>
          <w:tcPr>
            <w:tcW w:w="43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1720" w:type="dxa"/>
            <w:vAlign w:val="bottom"/>
            <w:gridSpan w:val="5"/>
          </w:tcPr>
          <w:p>
            <w:pPr>
              <w:spacing w:after="0"/>
              <w:rPr>
                <w:sz w:val="24"/>
                <w:szCs w:val="24"/>
                <w:color w:val="auto"/>
              </w:rPr>
            </w:pPr>
          </w:p>
        </w:tc>
      </w:tr>
      <w:tr>
        <w:trPr>
          <w:trHeight w:val="358"/>
        </w:trPr>
        <w:tc>
          <w:tcPr>
            <w:tcW w:w="940" w:type="dxa"/>
            <w:vAlign w:val="bottom"/>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4</w:t>
              </w:r>
            </w:hyperlink>
          </w:p>
        </w:tc>
        <w:tc>
          <w:tcPr>
            <w:tcW w:w="8180" w:type="dxa"/>
            <w:vAlign w:val="bottom"/>
            <w:gridSpan w:val="2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820" w:type="dxa"/>
            <w:vAlign w:val="bottom"/>
            <w:gridSpan w:val="8"/>
          </w:tcPr>
          <w:p>
            <w:pPr>
              <w:spacing w:after="0" w:line="20" w:lineRule="exact"/>
              <w:rPr>
                <w:sz w:val="1"/>
                <w:szCs w:val="1"/>
                <w:color w:val="auto"/>
              </w:rPr>
            </w:pPr>
          </w:p>
        </w:tc>
      </w:tr>
      <w:tr>
        <w:trPr>
          <w:trHeight w:val="345"/>
        </w:trPr>
        <w:tc>
          <w:tcPr>
            <w:tcW w:w="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PART II</w:t>
              </w:r>
            </w:hyperlink>
          </w:p>
        </w:tc>
        <w:tc>
          <w:tcPr>
            <w:tcW w:w="340" w:type="dxa"/>
            <w:vAlign w:val="bottom"/>
          </w:tcPr>
          <w:p>
            <w:pPr>
              <w:spacing w:after="0"/>
              <w:rPr>
                <w:sz w:val="24"/>
                <w:szCs w:val="24"/>
                <w:color w:val="auto"/>
              </w:rPr>
            </w:pPr>
          </w:p>
        </w:tc>
        <w:tc>
          <w:tcPr>
            <w:tcW w:w="190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20">
              <w:r>
                <w:rPr>
                  <w:rFonts w:ascii="Arial" w:cs="Arial" w:eastAsia="Arial" w:hAnsi="Arial"/>
                  <w:sz w:val="18"/>
                  <w:szCs w:val="18"/>
                  <w:color w:val="0000EE"/>
                  <w:w w:val="96"/>
                </w:rPr>
                <w:t>OTHER INFORMATION</w:t>
              </w:r>
            </w:hyperlink>
          </w:p>
        </w:tc>
        <w:tc>
          <w:tcPr>
            <w:tcW w:w="6280" w:type="dxa"/>
            <w:vAlign w:val="bottom"/>
            <w:gridSpan w:val="12"/>
          </w:tcPr>
          <w:p>
            <w:pPr>
              <w:spacing w:after="0"/>
              <w:rPr>
                <w:sz w:val="24"/>
                <w:szCs w:val="24"/>
                <w:color w:val="auto"/>
              </w:rPr>
            </w:pPr>
          </w:p>
        </w:tc>
      </w:tr>
      <w:tr>
        <w:trPr>
          <w:trHeight w:val="358"/>
        </w:trPr>
        <w:tc>
          <w:tcPr>
            <w:tcW w:w="480" w:type="dxa"/>
            <w:vAlign w:val="bottom"/>
            <w:gridSpan w:val="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1</w:t>
              </w:r>
            </w:hyperlink>
          </w:p>
        </w:tc>
        <w:tc>
          <w:tcPr>
            <w:tcW w:w="460" w:type="dxa"/>
            <w:vAlign w:val="bottom"/>
            <w:gridSpan w:val="3"/>
          </w:tcPr>
          <w:p>
            <w:pPr>
              <w:spacing w:after="0"/>
              <w:rPr>
                <w:sz w:val="24"/>
                <w:szCs w:val="24"/>
                <w:color w:val="auto"/>
              </w:rPr>
            </w:pPr>
          </w:p>
        </w:tc>
        <w:tc>
          <w:tcPr>
            <w:tcW w:w="8180" w:type="dxa"/>
            <w:vAlign w:val="bottom"/>
            <w:gridSpan w:val="2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820" w:type="dxa"/>
            <w:vAlign w:val="bottom"/>
            <w:gridSpan w:val="8"/>
          </w:tcPr>
          <w:p>
            <w:pPr>
              <w:spacing w:after="0" w:line="20" w:lineRule="exact"/>
              <w:rPr>
                <w:sz w:val="1"/>
                <w:szCs w:val="1"/>
                <w:color w:val="auto"/>
              </w:rPr>
            </w:pPr>
          </w:p>
        </w:tc>
      </w:tr>
      <w:tr>
        <w:trPr>
          <w:trHeight w:val="358"/>
        </w:trPr>
        <w:tc>
          <w:tcPr>
            <w:tcW w:w="6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Item 1A</w:t>
              </w:r>
            </w:hyperlink>
          </w:p>
        </w:tc>
        <w:tc>
          <w:tcPr>
            <w:tcW w:w="34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Risk Factors</w:t>
              </w:r>
            </w:hyperlink>
          </w:p>
        </w:tc>
        <w:tc>
          <w:tcPr>
            <w:tcW w:w="7260" w:type="dxa"/>
            <w:vAlign w:val="bottom"/>
            <w:gridSpan w:val="18"/>
          </w:tcPr>
          <w:p>
            <w:pPr>
              <w:spacing w:after="0"/>
              <w:rPr>
                <w:sz w:val="24"/>
                <w:szCs w:val="24"/>
                <w:color w:val="auto"/>
              </w:rPr>
            </w:pPr>
          </w:p>
        </w:tc>
      </w:tr>
      <w:tr>
        <w:trPr>
          <w:trHeight w:val="358"/>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2</w:t>
              </w:r>
            </w:hyperlink>
          </w:p>
        </w:tc>
        <w:tc>
          <w:tcPr>
            <w:tcW w:w="460" w:type="dxa"/>
            <w:vAlign w:val="bottom"/>
            <w:gridSpan w:val="3"/>
          </w:tcPr>
          <w:p>
            <w:pPr>
              <w:spacing w:after="0"/>
              <w:rPr>
                <w:sz w:val="24"/>
                <w:szCs w:val="24"/>
                <w:color w:val="auto"/>
              </w:rPr>
            </w:pP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Unregistered Sales of Equity Securities and Use of Proceeds</w:t>
              </w:r>
            </w:hyperlink>
          </w:p>
        </w:tc>
        <w:tc>
          <w:tcPr>
            <w:tcW w:w="3820" w:type="dxa"/>
            <w:vAlign w:val="bottom"/>
            <w:gridSpan w:val="8"/>
          </w:tcPr>
          <w:p>
            <w:pPr>
              <w:spacing w:after="0"/>
              <w:rPr>
                <w:sz w:val="24"/>
                <w:szCs w:val="24"/>
                <w:color w:val="auto"/>
              </w:rPr>
            </w:pPr>
          </w:p>
        </w:tc>
      </w:tr>
      <w:tr>
        <w:trPr>
          <w:trHeight w:val="358"/>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3</w:t>
              </w:r>
            </w:hyperlink>
          </w:p>
        </w:tc>
        <w:tc>
          <w:tcPr>
            <w:tcW w:w="460" w:type="dxa"/>
            <w:vAlign w:val="bottom"/>
            <w:gridSpan w:val="3"/>
          </w:tcPr>
          <w:p>
            <w:pPr>
              <w:spacing w:after="0"/>
              <w:rPr>
                <w:sz w:val="24"/>
                <w:szCs w:val="24"/>
                <w:color w:val="auto"/>
              </w:rPr>
            </w:pPr>
          </w:p>
        </w:tc>
        <w:tc>
          <w:tcPr>
            <w:tcW w:w="23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Defaults Upon Senior Securities</w:t>
              </w:r>
            </w:hyperlink>
          </w:p>
        </w:tc>
        <w:tc>
          <w:tcPr>
            <w:tcW w:w="5840" w:type="dxa"/>
            <w:vAlign w:val="bottom"/>
            <w:gridSpan w:val="10"/>
          </w:tcPr>
          <w:p>
            <w:pPr>
              <w:spacing w:after="0"/>
              <w:rPr>
                <w:sz w:val="24"/>
                <w:szCs w:val="24"/>
                <w:color w:val="auto"/>
              </w:rPr>
            </w:pPr>
          </w:p>
        </w:tc>
      </w:tr>
      <w:tr>
        <w:trPr>
          <w:trHeight w:val="358"/>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4</w:t>
              </w:r>
            </w:hyperlink>
          </w:p>
        </w:tc>
        <w:tc>
          <w:tcPr>
            <w:tcW w:w="460" w:type="dxa"/>
            <w:vAlign w:val="bottom"/>
            <w:gridSpan w:val="3"/>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Mine Safety Disclosures</w:t>
              </w:r>
            </w:hyperlink>
          </w:p>
        </w:tc>
        <w:tc>
          <w:tcPr>
            <w:tcW w:w="6400" w:type="dxa"/>
            <w:vAlign w:val="bottom"/>
            <w:gridSpan w:val="13"/>
          </w:tcPr>
          <w:p>
            <w:pPr>
              <w:spacing w:after="0"/>
              <w:rPr>
                <w:sz w:val="24"/>
                <w:szCs w:val="24"/>
                <w:color w:val="auto"/>
              </w:rPr>
            </w:pPr>
          </w:p>
        </w:tc>
      </w:tr>
      <w:tr>
        <w:trPr>
          <w:trHeight w:val="399"/>
        </w:trPr>
        <w:tc>
          <w:tcPr>
            <w:tcW w:w="480" w:type="dxa"/>
            <w:vAlign w:val="bottom"/>
            <w:gridSpan w:val="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5</w:t>
              </w:r>
            </w:hyperlink>
          </w:p>
        </w:tc>
        <w:tc>
          <w:tcPr>
            <w:tcW w:w="460" w:type="dxa"/>
            <w:vAlign w:val="bottom"/>
            <w:gridSpan w:val="3"/>
          </w:tcPr>
          <w:p>
            <w:pPr>
              <w:spacing w:after="0"/>
              <w:rPr>
                <w:sz w:val="24"/>
                <w:szCs w:val="24"/>
                <w:color w:val="auto"/>
              </w:rPr>
            </w:pPr>
          </w:p>
        </w:tc>
        <w:tc>
          <w:tcPr>
            <w:tcW w:w="8180" w:type="dxa"/>
            <w:vAlign w:val="bottom"/>
            <w:gridSpan w:val="2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r>
      <w:tr>
        <w:trPr>
          <w:trHeight w:val="358"/>
        </w:trPr>
        <w:tc>
          <w:tcPr>
            <w:tcW w:w="480" w:type="dxa"/>
            <w:vAlign w:val="bottom"/>
            <w:tcBorders>
              <w:top w:val="single" w:sz="8" w:color="0000EE"/>
            </w:tcBorders>
            <w:gridSpan w:val="2"/>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6</w:t>
              </w:r>
            </w:hyperlink>
          </w:p>
        </w:tc>
        <w:tc>
          <w:tcPr>
            <w:tcW w:w="460" w:type="dxa"/>
            <w:vAlign w:val="bottom"/>
            <w:gridSpan w:val="3"/>
          </w:tcPr>
          <w:p>
            <w:pPr>
              <w:spacing w:after="0"/>
              <w:rPr>
                <w:sz w:val="24"/>
                <w:szCs w:val="24"/>
                <w:color w:val="auto"/>
              </w:rPr>
            </w:pPr>
          </w:p>
        </w:tc>
        <w:tc>
          <w:tcPr>
            <w:tcW w:w="1340" w:type="dxa"/>
            <w:vAlign w:val="bottom"/>
            <w:tcBorders>
              <w:top w:val="single" w:sz="8" w:color="0000EE"/>
            </w:tcBorders>
            <w:gridSpan w:val="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6840" w:type="dxa"/>
            <w:vAlign w:val="bottom"/>
            <w:gridSpan w:val="15"/>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80" w:type="dxa"/>
            <w:vAlign w:val="bottom"/>
            <w:gridSpan w:val="17"/>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8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r>
      <w:tr>
        <w:trPr>
          <w:trHeight w:val="804"/>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Borders>
              <w:top w:val="single" w:sz="8" w:color="0000EE"/>
            </w:tcBorders>
            <w:gridSpan w:val="4"/>
          </w:tcPr>
          <w:p>
            <w:pPr>
              <w:spacing w:after="0"/>
              <w:rPr>
                <w:sz w:val="24"/>
                <w:szCs w:val="24"/>
                <w:color w:val="auto"/>
              </w:rPr>
            </w:pPr>
          </w:p>
        </w:tc>
        <w:tc>
          <w:tcPr>
            <w:tcW w:w="3260" w:type="dxa"/>
            <w:vAlign w:val="bottom"/>
            <w:gridSpan w:val="9"/>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342900</wp:posOffset>
            </wp:positionV>
            <wp:extent cx="638873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line="266" w:lineRule="auto"/>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b w:val="1"/>
          <w:bCs w:val="1"/>
          <w:u w:val="single" w:color="auto"/>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2">
            <w:col w:w="9120" w:space="80"/>
            <w:col w:w="860"/>
          </w:cols>
          <w:pgMar w:left="920" w:top="125" w:right="919" w:bottom="1440" w:gutter="0" w:footer="0" w:header="0"/>
        </w:sectPr>
      </w:pPr>
    </w:p>
    <w:bookmarkStart w:id="2" w:name="page3"/>
    <w:bookmarkEnd w:id="2"/>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3, 2019 and February 2,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August 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ind w:left="340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Short-term investment securities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50,350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139,841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17,544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receivable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214,970</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225,598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Property and equipment, net of accumulated depreciation of $253,708 and $245,958 as of August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 2019 and February 2, 2019, respectively</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56,224</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Operating lease right of use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152,932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investment securities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Deferred tax asset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6,539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447,648</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297,989</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26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71,303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73,391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Income tax payable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Layaway deposits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140,277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102,369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8,195</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260,248</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110,564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tcPr>
          <w:p>
            <w:pPr>
              <w:ind w:left="200"/>
              <w:spacing w:after="0" w:line="201" w:lineRule="exact"/>
              <w:rPr>
                <w:sz w:val="20"/>
                <w:szCs w:val="20"/>
                <w:color w:val="auto"/>
              </w:rPr>
            </w:pPr>
            <w:r>
              <w:rPr>
                <w:rFonts w:ascii="Arial" w:cs="Arial" w:eastAsia="Arial" w:hAnsi="Arial"/>
                <w:sz w:val="18"/>
                <w:szCs w:val="18"/>
                <w:color w:val="auto"/>
                <w:w w:val="93"/>
              </w:rPr>
              <w:t>Common stock, $0.01 par value. Authorized 32,000,000 shares; 15,855,281 shares issued as of</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August 3, 2019 and 15,827,713 shares issued as of February 2, 2019; 11,913,205 shares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w w:val="97"/>
              </w:rPr>
              <w:t>outstanding as of August 3, 2019 and 12,158,237 shares outstanding as of February 2, 2019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 in capital</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91,794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180,287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176,094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Treasury stock, at cost; 3,942,076 shares held as of August 3, 2019 and 3,669,476 shares held as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February 2, 2019</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(85,164)</w:t>
            </w:r>
          </w:p>
        </w:tc>
        <w:tc>
          <w:tcPr>
            <w:tcW w:w="2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(80,620)</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187,400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187,425</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447,648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297,989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 w:name="page4"/>
    <w:bookmarkEnd w:id="3"/>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Twenty-Six Weeks Ended August 3, 2019 and August 4, 2018</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August 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August 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387,862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393,031</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7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(exclusive of depreciation shown separately below)</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(242,850)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(126,436)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(125,290)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Asset impairment</w:t>
            </w:r>
          </w:p>
        </w:tc>
        <w:tc>
          <w:tcPr>
            <w:tcW w:w="3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9,598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8,165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14,532</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73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0.68</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7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11,929</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13,446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11,944</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60" w:type="dxa"/>
            <w:vAlign w:val="bottom"/>
          </w:tcPr>
          <w:p>
            <w:pPr>
              <w:jc w:val="center"/>
              <w:ind w:left="2571"/>
              <w:spacing w:after="0"/>
              <w:rPr>
                <w:sz w:val="20"/>
                <w:szCs w:val="20"/>
                <w:color w:val="auto"/>
              </w:rPr>
            </w:pPr>
            <w:r>
              <w:rPr>
                <w:rFonts w:ascii="Arial" w:cs="Arial" w:eastAsia="Arial" w:hAnsi="Arial"/>
                <w:sz w:val="16"/>
                <w:szCs w:val="16"/>
                <w:b w:val="1"/>
                <w:bCs w:val="1"/>
                <w:color w:val="auto"/>
                <w:w w:val="94"/>
              </w:rPr>
              <w:t>Citi Trends, Inc.</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Pr>
          <w:p>
            <w:pPr>
              <w:jc w:val="center"/>
              <w:ind w:left="2571"/>
              <w:spacing w:after="0"/>
              <w:rPr>
                <w:sz w:val="20"/>
                <w:szCs w:val="20"/>
                <w:color w:val="auto"/>
              </w:rPr>
            </w:pPr>
            <w:r>
              <w:rPr>
                <w:rFonts w:ascii="Arial" w:cs="Arial" w:eastAsia="Arial" w:hAnsi="Arial"/>
                <w:sz w:val="16"/>
                <w:szCs w:val="16"/>
                <w:b w:val="1"/>
                <w:bCs w:val="1"/>
                <w:color w:val="auto"/>
                <w:w w:val="89"/>
              </w:rPr>
              <w:t>Condensed Consolidated Statements of Operations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Pr>
          <w:p>
            <w:pPr>
              <w:jc w:val="center"/>
              <w:ind w:left="2571"/>
              <w:spacing w:after="0"/>
              <w:rPr>
                <w:sz w:val="20"/>
                <w:szCs w:val="20"/>
                <w:color w:val="auto"/>
              </w:rPr>
            </w:pPr>
            <w:r>
              <w:rPr>
                <w:rFonts w:ascii="Arial" w:cs="Arial" w:eastAsia="Arial" w:hAnsi="Arial"/>
                <w:sz w:val="16"/>
                <w:szCs w:val="16"/>
                <w:b w:val="1"/>
                <w:bCs w:val="1"/>
                <w:color w:val="auto"/>
                <w:w w:val="91"/>
              </w:rPr>
              <w:t>Thirteen Weeks Ended August 3, 2019 and August 4, 2018</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Pr>
          <w:p>
            <w:pPr>
              <w:jc w:val="center"/>
              <w:ind w:left="2591"/>
              <w:spacing w:after="0"/>
              <w:rPr>
                <w:sz w:val="20"/>
                <w:szCs w:val="20"/>
                <w:color w:val="auto"/>
              </w:rPr>
            </w:pPr>
            <w:r>
              <w:rPr>
                <w:rFonts w:ascii="Arial" w:cs="Arial" w:eastAsia="Arial" w:hAnsi="Arial"/>
                <w:sz w:val="16"/>
                <w:szCs w:val="16"/>
                <w:b w:val="1"/>
                <w:bCs w:val="1"/>
                <w:color w:val="auto"/>
                <w:w w:val="94"/>
              </w:rPr>
              <w:t>(Unaudited)</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jc w:val="center"/>
              <w:ind w:left="2571"/>
              <w:spacing w:after="0"/>
              <w:rPr>
                <w:sz w:val="20"/>
                <w:szCs w:val="20"/>
                <w:color w:val="auto"/>
              </w:rPr>
            </w:pPr>
            <w:r>
              <w:rPr>
                <w:rFonts w:ascii="Arial" w:cs="Arial" w:eastAsia="Arial" w:hAnsi="Arial"/>
                <w:sz w:val="16"/>
                <w:szCs w:val="16"/>
                <w:b w:val="1"/>
                <w:bCs w:val="1"/>
                <w:color w:val="auto"/>
                <w:w w:val="89"/>
              </w:rPr>
              <w:t>(in thousands, except per share data)</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7"/>
            <w:vMerge w:val="restart"/>
          </w:tcPr>
          <w:p>
            <w:pPr>
              <w:jc w:val="right"/>
              <w:ind w:right="52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August 3,</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August 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7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(exclusive of depreciation shown separately below)</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(62,989)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(62,285)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Asset impairment</w:t>
            </w:r>
          </w:p>
        </w:tc>
        <w:tc>
          <w:tcPr>
            <w:tcW w:w="3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73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5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26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0060"/>
          </w:cols>
          <w:pgMar w:left="920" w:top="125" w:right="919" w:bottom="1440" w:gutter="0" w:footer="0" w:header="0"/>
        </w:sectPr>
      </w:pPr>
    </w:p>
    <w:p>
      <w:pPr>
        <w:spacing w:after="0"/>
        <w:rPr>
          <w:sz w:val="20"/>
          <w:szCs w:val="20"/>
          <w:color w:val="auto"/>
        </w:rPr>
      </w:pPr>
      <w:r>
        <w:rPr>
          <w:rFonts w:ascii="Arial" w:cs="Arial" w:eastAsia="Arial" w:hAnsi="Arial"/>
          <w:sz w:val="18"/>
          <w:szCs w:val="18"/>
          <w:color w:val="auto"/>
        </w:rPr>
        <w:t>Weighted average number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38873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38873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171450"/>
                    </a:xfrm>
                    <a:prstGeom prst="rect">
                      <a:avLst/>
                    </a:prstGeom>
                    <a:noFill/>
                  </pic:spPr>
                </pic:pic>
              </a:graphicData>
            </a:graphic>
          </wp:anchor>
        </w:drawing>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Diluted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11,882</w:t>
      </w:r>
      <w:r>
        <w:rPr>
          <w:sz w:val="20"/>
          <w:szCs w:val="20"/>
          <w:color w:val="auto"/>
        </w:rPr>
        <w:tab/>
      </w:r>
      <w:r>
        <w:rPr>
          <w:rFonts w:ascii="Arial" w:cs="Arial" w:eastAsia="Arial" w:hAnsi="Arial"/>
          <w:sz w:val="16"/>
          <w:szCs w:val="16"/>
          <w:color w:val="auto"/>
        </w:rPr>
        <w:t>13,314</w:t>
      </w:r>
    </w:p>
    <w:p>
      <w:pPr>
        <w:spacing w:after="0" w:line="59"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11,882</w:t>
      </w:r>
      <w:r>
        <w:rPr>
          <w:sz w:val="20"/>
          <w:szCs w:val="20"/>
          <w:color w:val="auto"/>
        </w:rPr>
        <w:tab/>
      </w:r>
      <w:r>
        <w:rPr>
          <w:rFonts w:ascii="Arial" w:cs="Arial" w:eastAsia="Arial" w:hAnsi="Arial"/>
          <w:sz w:val="16"/>
          <w:szCs w:val="16"/>
          <w:color w:val="auto"/>
        </w:rPr>
        <w:t>13,351</w:t>
      </w:r>
    </w:p>
    <w:p>
      <w:pPr>
        <w:spacing w:after="0" w:line="443" w:lineRule="exact"/>
        <w:rPr>
          <w:sz w:val="20"/>
          <w:szCs w:val="20"/>
          <w:color w:val="auto"/>
        </w:rPr>
      </w:pPr>
    </w:p>
    <w:p>
      <w:pPr>
        <w:sectPr>
          <w:pgSz w:w="11900" w:h="16838" w:orient="portrait"/>
          <w:cols w:equalWidth="0" w:num="2">
            <w:col w:w="7520" w:space="720"/>
            <w:col w:w="1820"/>
          </w:cols>
          <w:pgMar w:left="920" w:top="125" w:right="919" w:bottom="1440" w:gutter="0" w:footer="0" w:header="0"/>
          <w:type w:val="continuous"/>
        </w:sect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type w:val="continuous"/>
        </w:sectPr>
      </w:pPr>
    </w:p>
    <w:bookmarkStart w:id="4" w:name="page5"/>
    <w:bookmarkEnd w:id="4"/>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Twenty-Six Weeks Ended August 3, 2019 and August 4,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jc w:val="right"/>
              <w:ind w:right="371"/>
              <w:spacing w:after="0"/>
              <w:rPr>
                <w:sz w:val="20"/>
                <w:szCs w:val="20"/>
                <w:color w:val="auto"/>
              </w:rPr>
            </w:pPr>
            <w:r>
              <w:rPr>
                <w:rFonts w:ascii="Arial" w:cs="Arial" w:eastAsia="Arial" w:hAnsi="Arial"/>
                <w:sz w:val="14"/>
                <w:szCs w:val="14"/>
                <w:b w:val="1"/>
                <w:bCs w:val="1"/>
                <w:color w:val="auto"/>
              </w:rPr>
              <w:t>Twenty-Six Weeks Ended</w:t>
            </w:r>
          </w:p>
        </w:tc>
      </w:tr>
      <w:tr>
        <w:trPr>
          <w:trHeight w:val="119"/>
        </w:trPr>
        <w:tc>
          <w:tcPr>
            <w:tcW w:w="76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August 3,</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11"/>
              <w:spacing w:after="0" w:line="119" w:lineRule="exact"/>
              <w:rPr>
                <w:sz w:val="20"/>
                <w:szCs w:val="20"/>
                <w:color w:val="auto"/>
              </w:rPr>
            </w:pPr>
            <w:r>
              <w:rPr>
                <w:rFonts w:ascii="Arial" w:cs="Arial" w:eastAsia="Arial" w:hAnsi="Arial"/>
                <w:sz w:val="13"/>
                <w:szCs w:val="13"/>
                <w:b w:val="1"/>
                <w:bCs w:val="1"/>
                <w:color w:val="auto"/>
              </w:rPr>
              <w:t>August 4,</w:t>
            </w:r>
          </w:p>
        </w:tc>
      </w:tr>
      <w:tr>
        <w:trPr>
          <w:trHeight w:val="171"/>
        </w:trPr>
        <w:tc>
          <w:tcPr>
            <w:tcW w:w="7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r>
      <w:tr>
        <w:trPr>
          <w:trHeight w:val="216"/>
        </w:trPr>
        <w:tc>
          <w:tcPr>
            <w:tcW w:w="76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8,165</w:t>
            </w:r>
          </w:p>
        </w:tc>
        <w:tc>
          <w:tcPr>
            <w:tcW w:w="12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14,532</w:t>
            </w: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r>
      <w:tr>
        <w:trPr>
          <w:trHeight w:val="216"/>
        </w:trPr>
        <w:tc>
          <w:tcPr>
            <w:tcW w:w="764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9,650</w:t>
            </w:r>
          </w:p>
        </w:tc>
      </w:tr>
      <w:tr>
        <w:trPr>
          <w:trHeight w:val="216"/>
        </w:trPr>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operating lease right of use assets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tcPr>
          <w:p>
            <w:pPr>
              <w:ind w:left="320"/>
              <w:spacing w:after="0"/>
              <w:rPr>
                <w:sz w:val="20"/>
                <w:szCs w:val="20"/>
                <w:color w:val="auto"/>
              </w:rPr>
            </w:pPr>
            <w:r>
              <w:rPr>
                <w:rFonts w:ascii="Arial" w:cs="Arial" w:eastAsia="Arial" w:hAnsi="Arial"/>
                <w:sz w:val="18"/>
                <w:szCs w:val="18"/>
                <w:color w:val="auto"/>
              </w:rPr>
              <w:t>Asset impairment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942</w:t>
            </w:r>
          </w:p>
        </w:tc>
      </w:tr>
      <w:tr>
        <w:trPr>
          <w:trHeight w:val="216"/>
        </w:trPr>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16"/>
        </w:trPr>
        <w:tc>
          <w:tcPr>
            <w:tcW w:w="764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16"/>
        </w:trPr>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Insurance proceeds related to operating activities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w:t>
            </w:r>
          </w:p>
        </w:tc>
      </w:tr>
      <w:tr>
        <w:trPr>
          <w:trHeight w:val="216"/>
        </w:trPr>
        <w:tc>
          <w:tcPr>
            <w:tcW w:w="7640" w:type="dxa"/>
            <w:vAlign w:val="bottom"/>
          </w:tcPr>
          <w:p>
            <w:pPr>
              <w:ind w:left="320"/>
              <w:spacing w:after="0"/>
              <w:rPr>
                <w:sz w:val="20"/>
                <w:szCs w:val="20"/>
                <w:color w:val="auto"/>
              </w:rPr>
            </w:pPr>
            <w:r>
              <w:rPr>
                <w:rFonts w:ascii="Arial" w:cs="Arial" w:eastAsia="Arial" w:hAnsi="Arial"/>
                <w:sz w:val="18"/>
                <w:szCs w:val="18"/>
                <w:color w:val="auto"/>
              </w:rPr>
              <w:t>Noncash stock-based compensation expense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1,130</w:t>
            </w:r>
          </w:p>
        </w:tc>
      </w:tr>
      <w:tr>
        <w:trPr>
          <w:trHeight w:val="216"/>
        </w:trPr>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(1,290)</w:t>
            </w: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Accrued expenses and other long-term liabilities</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(22,566)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229</w:t>
            </w: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Income tax payable/receivable</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(1,617)</w:t>
            </w: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Layaway deposits</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1,174</w:t>
            </w:r>
          </w:p>
        </w:tc>
      </w:tr>
      <w:tr>
        <w:trPr>
          <w:trHeight w:val="210"/>
        </w:trPr>
        <w:tc>
          <w:tcPr>
            <w:tcW w:w="76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14,284</w:t>
            </w: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r>
      <w:tr>
        <w:trPr>
          <w:trHeight w:val="216"/>
        </w:trPr>
        <w:tc>
          <w:tcPr>
            <w:tcW w:w="7640" w:type="dxa"/>
            <w:vAlign w:val="bottom"/>
          </w:tcPr>
          <w:p>
            <w:pPr>
              <w:ind w:left="220"/>
              <w:spacing w:after="0"/>
              <w:rPr>
                <w:sz w:val="20"/>
                <w:szCs w:val="20"/>
                <w:color w:val="auto"/>
              </w:rPr>
            </w:pPr>
            <w:r>
              <w:rPr>
                <w:rFonts w:ascii="Arial" w:cs="Arial" w:eastAsia="Arial" w:hAnsi="Arial"/>
                <w:sz w:val="18"/>
                <w:szCs w:val="18"/>
                <w:color w:val="auto"/>
              </w:rPr>
              <w:t>Sales/redemptions of investment securities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24,139</w:t>
            </w: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investment securities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(16,217)</w:t>
            </w:r>
          </w:p>
        </w:tc>
      </w:tr>
      <w:tr>
        <w:trPr>
          <w:trHeight w:val="216"/>
        </w:trPr>
        <w:tc>
          <w:tcPr>
            <w:tcW w:w="7640" w:type="dxa"/>
            <w:vAlign w:val="bottom"/>
          </w:tcPr>
          <w:p>
            <w:pPr>
              <w:ind w:left="22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(8,374)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(5,715)</w:t>
            </w: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Insurance proceeds related to investing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r>
      <w:tr>
        <w:trPr>
          <w:trHeight w:val="210"/>
        </w:trPr>
        <w:tc>
          <w:tcPr>
            <w:tcW w:w="76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2,402</w:t>
            </w: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r>
      <w:tr>
        <w:trPr>
          <w:trHeight w:val="216"/>
        </w:trPr>
        <w:tc>
          <w:tcPr>
            <w:tcW w:w="7640" w:type="dxa"/>
            <w:vAlign w:val="bottom"/>
          </w:tcPr>
          <w:p>
            <w:pPr>
              <w:ind w:left="220"/>
              <w:spacing w:after="0"/>
              <w:rPr>
                <w:sz w:val="20"/>
                <w:szCs w:val="20"/>
                <w:color w:val="auto"/>
              </w:rPr>
            </w:pPr>
            <w:r>
              <w:rPr>
                <w:rFonts w:ascii="Arial" w:cs="Arial" w:eastAsia="Arial" w:hAnsi="Arial"/>
                <w:sz w:val="18"/>
                <w:szCs w:val="18"/>
                <w:color w:val="auto"/>
              </w:rPr>
              <w:t>Cash used to settle withholding taxes on the vesting of nonvested restricted stock</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(1,005)</w:t>
            </w: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 to stockholders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r>
      <w:tr>
        <w:trPr>
          <w:trHeight w:val="216"/>
        </w:trPr>
        <w:tc>
          <w:tcPr>
            <w:tcW w:w="7640" w:type="dxa"/>
            <w:vAlign w:val="bottom"/>
          </w:tcPr>
          <w:p>
            <w:pPr>
              <w:ind w:left="220"/>
              <w:spacing w:after="0"/>
              <w:rPr>
                <w:sz w:val="20"/>
                <w:szCs w:val="20"/>
                <w:color w:val="auto"/>
              </w:rPr>
            </w:pPr>
            <w:r>
              <w:rPr>
                <w:rFonts w:ascii="Arial" w:cs="Arial" w:eastAsia="Arial" w:hAnsi="Arial"/>
                <w:sz w:val="18"/>
                <w:szCs w:val="18"/>
                <w:color w:val="auto"/>
              </w:rPr>
              <w:t>Repurchase of common stock</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(20,974)</w:t>
            </w:r>
          </w:p>
        </w:tc>
      </w:tr>
      <w:tr>
        <w:trPr>
          <w:trHeight w:val="210"/>
        </w:trPr>
        <w:tc>
          <w:tcPr>
            <w:tcW w:w="764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(24,145)</w:t>
            </w:r>
          </w:p>
        </w:tc>
      </w:tr>
      <w:tr>
        <w:trPr>
          <w:trHeight w:val="210"/>
        </w:trPr>
        <w:tc>
          <w:tcPr>
            <w:tcW w:w="7640" w:type="dxa"/>
            <w:vAlign w:val="bottom"/>
          </w:tcPr>
          <w:p>
            <w:pPr>
              <w:ind w:left="66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(7,459)</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r>
      <w:tr>
        <w:trPr>
          <w:trHeight w:val="216"/>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Beginning of period</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48,451</w:t>
            </w:r>
          </w:p>
        </w:tc>
      </w:tr>
      <w:tr>
        <w:trPr>
          <w:trHeight w:val="217"/>
        </w:trPr>
        <w:tc>
          <w:tcPr>
            <w:tcW w:w="7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End of period</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40,992</w:t>
            </w:r>
          </w:p>
        </w:tc>
      </w:tr>
      <w:tr>
        <w:trPr>
          <w:trHeight w:val="149"/>
        </w:trPr>
        <w:tc>
          <w:tcPr>
            <w:tcW w:w="7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r>
      <w:tr>
        <w:trPr>
          <w:trHeight w:val="223"/>
        </w:trPr>
        <w:tc>
          <w:tcPr>
            <w:tcW w:w="7640" w:type="dxa"/>
            <w:vAlign w:val="bottom"/>
          </w:tcPr>
          <w:p>
            <w:pPr>
              <w:ind w:left="660"/>
              <w:spacing w:after="0"/>
              <w:rPr>
                <w:sz w:val="20"/>
                <w:szCs w:val="20"/>
                <w:color w:val="auto"/>
              </w:rPr>
            </w:pPr>
            <w:r>
              <w:rPr>
                <w:rFonts w:ascii="Arial" w:cs="Arial" w:eastAsia="Arial" w:hAnsi="Arial"/>
                <w:sz w:val="18"/>
                <w:szCs w:val="18"/>
                <w:color w:val="auto"/>
              </w:rPr>
              <w:t>Cash paid for interest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36"/>
        </w:trPr>
        <w:tc>
          <w:tcPr>
            <w:tcW w:w="764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Cash payments of income taxes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5,614</w:t>
            </w:r>
          </w:p>
        </w:tc>
      </w:tr>
      <w:tr>
        <w:trPr>
          <w:trHeight w:val="203"/>
        </w:trPr>
        <w:tc>
          <w:tcPr>
            <w:tcW w:w="7640" w:type="dxa"/>
            <w:vAlign w:val="bottom"/>
          </w:tcPr>
          <w:p>
            <w:pPr>
              <w:spacing w:after="0" w:line="203" w:lineRule="exact"/>
              <w:rPr>
                <w:sz w:val="20"/>
                <w:szCs w:val="20"/>
                <w:color w:val="auto"/>
              </w:rPr>
            </w:pPr>
            <w:r>
              <w:rPr>
                <w:rFonts w:ascii="Arial" w:cs="Arial" w:eastAsia="Arial" w:hAnsi="Arial"/>
                <w:sz w:val="18"/>
                <w:szCs w:val="18"/>
                <w:color w:val="auto"/>
              </w:rPr>
              <w:t>Supplemental disclosures of noncash investing activities: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Accrual for purchases of property and equipment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w:t>
            </w:r>
          </w:p>
        </w:tc>
      </w:tr>
      <w:tr>
        <w:trPr>
          <w:trHeight w:val="27"/>
        </w:trPr>
        <w:tc>
          <w:tcPr>
            <w:tcW w:w="76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5" w:name="page6"/>
    <w:bookmarkEnd w:id="5"/>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Twenty-Six and Thirteen Weeks Ended August 3, 2019 and August 4,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9"/>
          </w:tcPr>
          <w:p>
            <w:pPr>
              <w:jc w:val="right"/>
              <w:ind w:right="508"/>
              <w:spacing w:after="0"/>
              <w:rPr>
                <w:sz w:val="20"/>
                <w:szCs w:val="20"/>
                <w:color w:val="auto"/>
              </w:rPr>
            </w:pPr>
            <w:r>
              <w:rPr>
                <w:rFonts w:ascii="Arial" w:cs="Arial" w:eastAsia="Arial" w:hAnsi="Arial"/>
                <w:sz w:val="14"/>
                <w:szCs w:val="14"/>
                <w:b w:val="1"/>
                <w:bCs w:val="1"/>
                <w:color w:val="auto"/>
              </w:rPr>
              <w:t>Twenty-Six Weeks Ended August 3, 2019</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1420" w:type="dxa"/>
            <w:vAlign w:val="bottom"/>
            <w:tcBorders>
              <w:bottom w:val="single" w:sz="8" w:color="auto"/>
            </w:tcBorders>
            <w:gridSpan w:val="4"/>
          </w:tcPr>
          <w:p>
            <w:pPr>
              <w:jc w:val="right"/>
              <w:ind w:right="168"/>
              <w:spacing w:after="0" w:line="142"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58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Paid in</w:t>
            </w:r>
          </w:p>
        </w:tc>
        <w:tc>
          <w:tcPr>
            <w:tcW w:w="100" w:type="dxa"/>
            <w:vAlign w:val="bottom"/>
          </w:tcPr>
          <w:p>
            <w:pPr>
              <w:spacing w:after="0"/>
              <w:rPr>
                <w:sz w:val="12"/>
                <w:szCs w:val="12"/>
                <w:color w:val="auto"/>
              </w:rPr>
            </w:pPr>
          </w:p>
        </w:tc>
        <w:tc>
          <w:tcPr>
            <w:tcW w:w="7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Retained</w:t>
            </w:r>
          </w:p>
        </w:tc>
        <w:tc>
          <w:tcPr>
            <w:tcW w:w="1420" w:type="dxa"/>
            <w:vAlign w:val="bottom"/>
            <w:tcBorders>
              <w:bottom w:val="single" w:sz="8" w:color="auto"/>
            </w:tcBorders>
            <w:gridSpan w:val="3"/>
          </w:tcPr>
          <w:p>
            <w:pPr>
              <w:jc w:val="right"/>
              <w:ind w:right="168"/>
              <w:spacing w:after="0" w:line="142" w:lineRule="exact"/>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7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58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7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Earnings</w:t>
            </w:r>
          </w:p>
        </w:tc>
        <w:tc>
          <w:tcPr>
            <w:tcW w:w="68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64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4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Balances —February 2, 2019</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15,827,713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$ 91,794</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$ 176,094</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3,669,476</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(80,620)</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$ 187,425</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Adoption of lease accounting standard (see Note 12)</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(2,060)</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nonvested restricted stock units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r>
      <w:tr>
        <w:trPr>
          <w:trHeight w:val="130"/>
        </w:trPr>
        <w:tc>
          <w:tcPr>
            <w:tcW w:w="4900" w:type="dxa"/>
            <w:vAlign w:val="bottom"/>
          </w:tcPr>
          <w:p>
            <w:pPr>
              <w:spacing w:after="0" w:line="130" w:lineRule="exact"/>
              <w:rPr>
                <w:sz w:val="20"/>
                <w:szCs w:val="20"/>
                <w:color w:val="auto"/>
              </w:rPr>
            </w:pPr>
            <w:r>
              <w:rPr>
                <w:rFonts w:ascii="Arial" w:cs="Arial" w:eastAsia="Arial" w:hAnsi="Arial"/>
                <w:sz w:val="14"/>
                <w:szCs w:val="14"/>
                <w:color w:val="auto"/>
              </w:rPr>
              <w:t>Issuance of nonvested shares to employees and directors</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67"/>
        </w:trPr>
        <w:tc>
          <w:tcPr>
            <w:tcW w:w="4900" w:type="dxa"/>
            <w:vAlign w:val="bottom"/>
          </w:tcPr>
          <w:p>
            <w:pPr>
              <w:spacing w:after="0"/>
              <w:rPr>
                <w:sz w:val="20"/>
                <w:szCs w:val="20"/>
                <w:color w:val="auto"/>
              </w:rPr>
            </w:pPr>
            <w:r>
              <w:rPr>
                <w:rFonts w:ascii="Arial" w:cs="Arial" w:eastAsia="Arial" w:hAnsi="Arial"/>
                <w:sz w:val="14"/>
                <w:szCs w:val="14"/>
                <w:color w:val="auto"/>
              </w:rPr>
              <w:t>under incentive plan</w:t>
            </w:r>
          </w:p>
        </w:tc>
        <w:tc>
          <w:tcPr>
            <w:tcW w:w="760" w:type="dxa"/>
            <w:vAlign w:val="bottom"/>
          </w:tcPr>
          <w:p>
            <w:pPr>
              <w:jc w:val="right"/>
              <w:spacing w:after="0"/>
              <w:rPr>
                <w:sz w:val="20"/>
                <w:szCs w:val="20"/>
                <w:color w:val="auto"/>
              </w:rPr>
            </w:pPr>
            <w:r>
              <w:rPr>
                <w:rFonts w:ascii="Arial" w:cs="Arial" w:eastAsia="Arial" w:hAnsi="Arial"/>
                <w:sz w:val="14"/>
                <w:szCs w:val="14"/>
                <w:color w:val="auto"/>
              </w:rPr>
              <w:t>57,133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706</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Net share settlement of nonvested shares and restricted stock units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(36,237)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(712)</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(713)</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82,312</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(1,640)</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Dividends paid to stockholders ($0.08 per common share)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(958)</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(958)</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7,788</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7,788</w:t>
            </w:r>
          </w:p>
        </w:tc>
      </w:tr>
      <w:tr>
        <w:trPr>
          <w:trHeight w:val="142"/>
        </w:trPr>
        <w:tc>
          <w:tcPr>
            <w:tcW w:w="4900" w:type="dxa"/>
            <w:vAlign w:val="bottom"/>
          </w:tcPr>
          <w:p>
            <w:pPr>
              <w:spacing w:after="0" w:line="142" w:lineRule="exact"/>
              <w:rPr>
                <w:sz w:val="20"/>
                <w:szCs w:val="20"/>
                <w:color w:val="auto"/>
              </w:rPr>
            </w:pPr>
            <w:r>
              <w:rPr>
                <w:rFonts w:ascii="Arial" w:cs="Arial" w:eastAsia="Arial" w:hAnsi="Arial"/>
                <w:sz w:val="14"/>
                <w:szCs w:val="14"/>
                <w:color w:val="auto"/>
              </w:rPr>
              <w:t>Balances —May 4, 2019</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15,848,609</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157</w:t>
            </w:r>
          </w:p>
        </w:tc>
        <w:tc>
          <w:tcPr>
            <w:tcW w:w="12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91,788</w:t>
            </w:r>
          </w:p>
        </w:tc>
        <w:tc>
          <w:tcPr>
            <w:tcW w:w="10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180,864</w:t>
            </w:r>
          </w:p>
        </w:tc>
        <w:tc>
          <w:tcPr>
            <w:tcW w:w="1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3,751,788</w:t>
            </w: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(82,260)</w:t>
            </w:r>
          </w:p>
        </w:tc>
        <w:tc>
          <w:tcPr>
            <w:tcW w:w="1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190,549</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nonvested restricted stock units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4900" w:type="dxa"/>
            <w:vAlign w:val="bottom"/>
          </w:tcPr>
          <w:p>
            <w:pPr>
              <w:spacing w:after="0" w:line="130" w:lineRule="exact"/>
              <w:rPr>
                <w:sz w:val="20"/>
                <w:szCs w:val="20"/>
                <w:color w:val="auto"/>
              </w:rPr>
            </w:pPr>
            <w:r>
              <w:rPr>
                <w:rFonts w:ascii="Arial" w:cs="Arial" w:eastAsia="Arial" w:hAnsi="Arial"/>
                <w:sz w:val="14"/>
                <w:szCs w:val="14"/>
                <w:color w:val="auto"/>
              </w:rPr>
              <w:t>Issuance of nonvested shares to employees and directors</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67"/>
        </w:trPr>
        <w:tc>
          <w:tcPr>
            <w:tcW w:w="4900" w:type="dxa"/>
            <w:vAlign w:val="bottom"/>
          </w:tcPr>
          <w:p>
            <w:pPr>
              <w:spacing w:after="0"/>
              <w:rPr>
                <w:sz w:val="20"/>
                <w:szCs w:val="20"/>
                <w:color w:val="auto"/>
              </w:rPr>
            </w:pPr>
            <w:r>
              <w:rPr>
                <w:rFonts w:ascii="Arial" w:cs="Arial" w:eastAsia="Arial" w:hAnsi="Arial"/>
                <w:sz w:val="14"/>
                <w:szCs w:val="14"/>
                <w:color w:val="auto"/>
              </w:rPr>
              <w:t>under incentive plan</w:t>
            </w:r>
          </w:p>
        </w:tc>
        <w:tc>
          <w:tcPr>
            <w:tcW w:w="760" w:type="dxa"/>
            <w:vAlign w:val="bottom"/>
          </w:tcPr>
          <w:p>
            <w:pPr>
              <w:jc w:val="right"/>
              <w:spacing w:after="0"/>
              <w:rPr>
                <w:sz w:val="20"/>
                <w:szCs w:val="20"/>
                <w:color w:val="auto"/>
              </w:rPr>
            </w:pPr>
            <w:r>
              <w:rPr>
                <w:rFonts w:ascii="Arial" w:cs="Arial" w:eastAsia="Arial" w:hAnsi="Arial"/>
                <w:sz w:val="14"/>
                <w:szCs w:val="14"/>
                <w:color w:val="auto"/>
              </w:rPr>
              <w:t>27,478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Forfeiture of nonvested shares by employees and directors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(19,969)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348</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348</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share settlement of nonvested shares and restricted stock units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190,288</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(2,904)</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(2,904)</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 to stockholders ($0.08 per common share)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(954)</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(954)</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377</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377</w:t>
            </w:r>
          </w:p>
        </w:tc>
      </w:tr>
      <w:tr>
        <w:trPr>
          <w:trHeight w:val="149"/>
        </w:trPr>
        <w:tc>
          <w:tcPr>
            <w:tcW w:w="49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Balances—August 3, 2019</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15,855,281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$ 92,120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$ 180,287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3,942,076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(85,164)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$ 187,400</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9"/>
          </w:tcPr>
          <w:p>
            <w:pPr>
              <w:jc w:val="right"/>
              <w:ind w:right="508"/>
              <w:spacing w:after="0"/>
              <w:rPr>
                <w:sz w:val="20"/>
                <w:szCs w:val="20"/>
                <w:color w:val="auto"/>
              </w:rPr>
            </w:pPr>
            <w:r>
              <w:rPr>
                <w:rFonts w:ascii="Arial" w:cs="Arial" w:eastAsia="Arial" w:hAnsi="Arial"/>
                <w:sz w:val="14"/>
                <w:szCs w:val="14"/>
                <w:b w:val="1"/>
                <w:bCs w:val="1"/>
                <w:color w:val="auto"/>
              </w:rPr>
              <w:t>Twenty-Six Weeks Ended August 4, 2018</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1420" w:type="dxa"/>
            <w:vAlign w:val="bottom"/>
            <w:tcBorders>
              <w:bottom w:val="single" w:sz="8" w:color="auto"/>
            </w:tcBorders>
            <w:gridSpan w:val="4"/>
          </w:tcPr>
          <w:p>
            <w:pPr>
              <w:jc w:val="right"/>
              <w:ind w:right="168"/>
              <w:spacing w:after="0" w:line="142"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58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Paid in</w:t>
            </w:r>
          </w:p>
        </w:tc>
        <w:tc>
          <w:tcPr>
            <w:tcW w:w="100" w:type="dxa"/>
            <w:vAlign w:val="bottom"/>
          </w:tcPr>
          <w:p>
            <w:pPr>
              <w:spacing w:after="0"/>
              <w:rPr>
                <w:sz w:val="12"/>
                <w:szCs w:val="12"/>
                <w:color w:val="auto"/>
              </w:rPr>
            </w:pPr>
          </w:p>
        </w:tc>
        <w:tc>
          <w:tcPr>
            <w:tcW w:w="7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Retained</w:t>
            </w:r>
          </w:p>
        </w:tc>
        <w:tc>
          <w:tcPr>
            <w:tcW w:w="1420" w:type="dxa"/>
            <w:vAlign w:val="bottom"/>
            <w:tcBorders>
              <w:bottom w:val="single" w:sz="8" w:color="auto"/>
            </w:tcBorders>
            <w:gridSpan w:val="3"/>
          </w:tcPr>
          <w:p>
            <w:pPr>
              <w:jc w:val="right"/>
              <w:ind w:right="168"/>
              <w:spacing w:after="0" w:line="142" w:lineRule="exact"/>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7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58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7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Earnings</w:t>
            </w:r>
          </w:p>
        </w:tc>
        <w:tc>
          <w:tcPr>
            <w:tcW w:w="68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64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4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Balances —February 3, 2018</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15,777,946</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$ 90,605</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$ 158,927</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2,034,170</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(40,220)</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$ 209,468</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Vesting of nonvested restricted stock units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10,663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r>
      <w:tr>
        <w:trPr>
          <w:trHeight w:val="130"/>
        </w:trPr>
        <w:tc>
          <w:tcPr>
            <w:tcW w:w="4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nonvested shares to employees and directors</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67"/>
        </w:trPr>
        <w:tc>
          <w:tcPr>
            <w:tcW w:w="4900" w:type="dxa"/>
            <w:vAlign w:val="bottom"/>
            <w:shd w:val="clear" w:color="auto" w:fill="CCEEFF"/>
          </w:tcPr>
          <w:p>
            <w:pPr>
              <w:spacing w:after="0"/>
              <w:rPr>
                <w:sz w:val="20"/>
                <w:szCs w:val="20"/>
                <w:color w:val="auto"/>
              </w:rPr>
            </w:pPr>
            <w:r>
              <w:rPr>
                <w:rFonts w:ascii="Arial" w:cs="Arial" w:eastAsia="Arial" w:hAnsi="Arial"/>
                <w:sz w:val="14"/>
                <w:szCs w:val="14"/>
                <w:color w:val="auto"/>
              </w:rPr>
              <w:t>under incentive plan</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65,663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584</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584</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share settlement of nonvested shares and restricted stock units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(38,421)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(982)</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(982)</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85,537</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(2,672)</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(2,672)</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 to stockholders ($0.08 per common share)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(1,085)</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11,297</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11,297</w:t>
            </w:r>
          </w:p>
        </w:tc>
      </w:tr>
      <w:tr>
        <w:trPr>
          <w:trHeight w:val="142"/>
        </w:trPr>
        <w:tc>
          <w:tcPr>
            <w:tcW w:w="4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Balances—May 5, 2018</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15,815,851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90,207</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169,139</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2,119,707</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(42,892)</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216,611</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Vesting of nonvested restricted stock units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4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nonvested shares to employees and directors</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67"/>
        </w:trPr>
        <w:tc>
          <w:tcPr>
            <w:tcW w:w="4900" w:type="dxa"/>
            <w:vAlign w:val="bottom"/>
            <w:shd w:val="clear" w:color="auto" w:fill="CCEEFF"/>
          </w:tcPr>
          <w:p>
            <w:pPr>
              <w:spacing w:after="0"/>
              <w:rPr>
                <w:sz w:val="20"/>
                <w:szCs w:val="20"/>
                <w:color w:val="auto"/>
              </w:rPr>
            </w:pPr>
            <w:r>
              <w:rPr>
                <w:rFonts w:ascii="Arial" w:cs="Arial" w:eastAsia="Arial" w:hAnsi="Arial"/>
                <w:sz w:val="14"/>
                <w:szCs w:val="14"/>
                <w:color w:val="auto"/>
              </w:rPr>
              <w:t>under incentive plan</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547</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547</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share settlement of nonvested shares and restricted stock units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645,275</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(18,302)</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(18,302)</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 to stockholders ($0.08 per common share)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(1,081)</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(1,081)</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3,235</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3,235</w:t>
            </w:r>
          </w:p>
        </w:tc>
      </w:tr>
      <w:tr>
        <w:trPr>
          <w:trHeight w:val="149"/>
        </w:trPr>
        <w:tc>
          <w:tcPr>
            <w:tcW w:w="49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Balances—August 4, 2018</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15,829,380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$ 90,729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$ 171,293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2,764,982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(61,194)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$ 200,985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 w:name="page7"/>
    <w:bookmarkEnd w:id="6"/>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ind w:left="1"/>
        <w:spacing w:after="0"/>
        <w:rPr>
          <w:sz w:val="20"/>
          <w:szCs w:val="20"/>
          <w:color w:val="auto"/>
        </w:rPr>
      </w:pPr>
      <w:r>
        <w:rPr>
          <w:rFonts w:ascii="Arial" w:cs="Arial" w:eastAsia="Arial" w:hAnsi="Arial"/>
          <w:sz w:val="18"/>
          <w:szCs w:val="18"/>
          <w:b w:val="1"/>
          <w:bCs w:val="1"/>
          <w:u w:val="single" w:color="auto"/>
          <w:color w:val="auto"/>
        </w:rPr>
        <w:t>Citi Trends, Inc.</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8"/>
          <w:szCs w:val="18"/>
          <w:b w:val="1"/>
          <w:bCs w:val="1"/>
          <w:u w:val="single" w:color="auto"/>
          <w:color w:val="auto"/>
        </w:rPr>
        <w:t>Notes to the Condensed Consolidated Financial Statements (unaudited)</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b w:val="1"/>
          <w:bCs w:val="1"/>
          <w:u w:val="single" w:color="auto"/>
          <w:color w:val="auto"/>
        </w:rPr>
        <w:t>August 3, 2019</w:t>
      </w:r>
    </w:p>
    <w:p>
      <w:pPr>
        <w:spacing w:after="0" w:line="211" w:lineRule="exact"/>
        <w:rPr>
          <w:sz w:val="20"/>
          <w:szCs w:val="20"/>
          <w:color w:val="auto"/>
        </w:rPr>
      </w:pPr>
    </w:p>
    <w:p>
      <w:pPr>
        <w:ind w:left="181" w:hanging="181"/>
        <w:spacing w:after="0"/>
        <w:tabs>
          <w:tab w:leader="none" w:pos="181"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ind w:left="1" w:right="400"/>
        <w:spacing w:after="0" w:line="277" w:lineRule="auto"/>
        <w:rPr>
          <w:sz w:val="20"/>
          <w:szCs w:val="20"/>
          <w:color w:val="auto"/>
        </w:rPr>
      </w:pPr>
      <w:r>
        <w:rPr>
          <w:rFonts w:ascii="Arial" w:cs="Arial" w:eastAsia="Arial" w:hAnsi="Arial"/>
          <w:sz w:val="18"/>
          <w:szCs w:val="18"/>
          <w:color w:val="auto"/>
        </w:rPr>
        <w:t>Citi Trends, Inc. and its subsidiary (the “Company”) operate as a value-priced retailer of urban fashion apparel and accessories for the entire family. As of August 3, 2019, the Company operated 562 stores in 32 states.</w:t>
      </w:r>
    </w:p>
    <w:p>
      <w:pPr>
        <w:spacing w:after="0" w:line="170" w:lineRule="exact"/>
        <w:rPr>
          <w:sz w:val="20"/>
          <w:szCs w:val="20"/>
          <w:color w:val="auto"/>
        </w:rPr>
      </w:pPr>
    </w:p>
    <w:p>
      <w:pPr>
        <w:ind w:left="1" w:right="60"/>
        <w:spacing w:after="0" w:line="255" w:lineRule="auto"/>
        <w:rPr>
          <w:sz w:val="20"/>
          <w:szCs w:val="20"/>
          <w:color w:val="auto"/>
        </w:rPr>
      </w:pPr>
      <w:r>
        <w:rPr>
          <w:rFonts w:ascii="Arial" w:cs="Arial" w:eastAsia="Arial" w:hAnsi="Arial"/>
          <w:sz w:val="18"/>
          <w:szCs w:val="18"/>
          <w:color w:val="auto"/>
        </w:rPr>
        <w:t>The condensed consolidated financial statements and notes thereto have been prepared by the Company without audit. The condensed consolidated balance sheet as of February 2, 2019 has been derived from the audited financial statements as of that date, but does not include all required year-end disclosures. In the opinion of management, such statements include all adjustments considered necessary for fair financial statement presentation. These condensed consolidated financial statements should be read in conjunction with the consolidated financial statements and the notes thereto included in the Company’s latest Annual Report on Form 10-K for the year ended February 2, 2019.</w:t>
      </w:r>
    </w:p>
    <w:p>
      <w:pPr>
        <w:spacing w:after="0" w:line="193" w:lineRule="exact"/>
        <w:rPr>
          <w:sz w:val="20"/>
          <w:szCs w:val="20"/>
          <w:color w:val="auto"/>
        </w:rPr>
      </w:pPr>
    </w:p>
    <w:p>
      <w:pPr>
        <w:ind w:left="1" w:right="460"/>
        <w:spacing w:after="0" w:line="257" w:lineRule="auto"/>
        <w:rPr>
          <w:sz w:val="20"/>
          <w:szCs w:val="20"/>
          <w:color w:val="auto"/>
        </w:rPr>
      </w:pPr>
      <w:r>
        <w:rPr>
          <w:rFonts w:ascii="Arial" w:cs="Arial" w:eastAsia="Arial" w:hAnsi="Arial"/>
          <w:sz w:val="18"/>
          <w:szCs w:val="18"/>
          <w:color w:val="auto"/>
        </w:rPr>
        <w:t>The accompanying unaudited condensed consolidated financial statements are prepared in accordance with U.S. generally accepted accounting principles (“U.S. GAAP”) for interim financial information and with the instructions to Form 10-Q and Article 10 of Regulation S-X. Accordingly, they do not include all information and footnotes required by U.S. GAAP for complete financial statements. Operating results for the twenty-six weeks ended August 3, 2019 are not necessarily indicative of the results that may be expected for the fiscal year ending February 1, 2020.</w:t>
      </w:r>
    </w:p>
    <w:p>
      <w:pPr>
        <w:spacing w:after="0" w:line="188" w:lineRule="exact"/>
        <w:rPr>
          <w:sz w:val="20"/>
          <w:szCs w:val="20"/>
          <w:color w:val="auto"/>
        </w:rPr>
      </w:pPr>
    </w:p>
    <w:p>
      <w:pPr>
        <w:ind w:left="1" w:right="320"/>
        <w:spacing w:after="0" w:line="277" w:lineRule="auto"/>
        <w:rPr>
          <w:sz w:val="20"/>
          <w:szCs w:val="20"/>
          <w:color w:val="auto"/>
        </w:rPr>
      </w:pPr>
      <w:r>
        <w:rPr>
          <w:rFonts w:ascii="Arial" w:cs="Arial" w:eastAsia="Arial" w:hAnsi="Arial"/>
          <w:sz w:val="18"/>
          <w:szCs w:val="18"/>
          <w:color w:val="auto"/>
        </w:rPr>
        <w:t>The following contains references to fiscal years 2019 and 2018, which represent fiscal years ending or ended on February 1, 2020 and February 2, 2019, respectively. Fiscal 2019 and 2018 both have 52-week accounting periods.</w:t>
      </w:r>
    </w:p>
    <w:p>
      <w:pPr>
        <w:spacing w:after="0" w:line="170" w:lineRule="exact"/>
        <w:rPr>
          <w:sz w:val="20"/>
          <w:szCs w:val="20"/>
          <w:color w:val="auto"/>
        </w:rPr>
      </w:pPr>
    </w:p>
    <w:p>
      <w:pPr>
        <w:ind w:left="181" w:hanging="181"/>
        <w:spacing w:after="0"/>
        <w:tabs>
          <w:tab w:leader="none" w:pos="181"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ind w:left="1" w:right="100"/>
        <w:spacing w:after="0" w:line="312"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use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7" w:lineRule="exact"/>
        <w:rPr>
          <w:sz w:val="20"/>
          <w:szCs w:val="20"/>
          <w:color w:val="auto"/>
        </w:rPr>
      </w:pPr>
    </w:p>
    <w:p>
      <w:pPr>
        <w:ind w:left="1" w:right="140"/>
        <w:spacing w:after="0" w:line="259" w:lineRule="auto"/>
        <w:rPr>
          <w:sz w:val="20"/>
          <w:szCs w:val="20"/>
          <w:color w:val="auto"/>
        </w:rPr>
      </w:pPr>
      <w:r>
        <w:rPr>
          <w:rFonts w:ascii="Arial" w:cs="Arial" w:eastAsia="Arial" w:hAnsi="Arial"/>
          <w:sz w:val="18"/>
          <w:szCs w:val="18"/>
          <w:color w:val="auto"/>
        </w:rPr>
        <w:t>The most significant estimates made by management include those used in the valuation of inventory, property and equipment, self-insurance liabilities, leases and income taxes.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87" w:lineRule="exact"/>
        <w:rPr>
          <w:sz w:val="20"/>
          <w:szCs w:val="20"/>
          <w:color w:val="auto"/>
        </w:rPr>
      </w:pPr>
    </w:p>
    <w:p>
      <w:pPr>
        <w:ind w:left="181" w:hanging="181"/>
        <w:spacing w:after="0"/>
        <w:tabs>
          <w:tab w:leader="none" w:pos="18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Cash and Cash Equivalents/Concentration of Credit Risk</w:t>
      </w:r>
    </w:p>
    <w:p>
      <w:pPr>
        <w:spacing w:after="0" w:line="225" w:lineRule="exact"/>
        <w:rPr>
          <w:sz w:val="20"/>
          <w:szCs w:val="20"/>
          <w:color w:val="auto"/>
        </w:rPr>
      </w:pPr>
    </w:p>
    <w:p>
      <w:pPr>
        <w:ind w:left="1" w:right="80"/>
        <w:spacing w:after="0" w:line="257" w:lineRule="auto"/>
        <w:rPr>
          <w:sz w:val="20"/>
          <w:szCs w:val="20"/>
          <w:color w:val="auto"/>
        </w:rPr>
      </w:pPr>
      <w:r>
        <w:rPr>
          <w:rFonts w:ascii="Arial" w:cs="Arial" w:eastAsia="Arial" w:hAnsi="Arial"/>
          <w:sz w:val="18"/>
          <w:szCs w:val="18"/>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188" w:lineRule="exact"/>
        <w:rPr>
          <w:sz w:val="20"/>
          <w:szCs w:val="20"/>
          <w:color w:val="auto"/>
        </w:rPr>
      </w:pPr>
    </w:p>
    <w:p>
      <w:pPr>
        <w:ind w:left="181" w:hanging="181"/>
        <w:spacing w:after="0"/>
        <w:tabs>
          <w:tab w:leader="none" w:pos="18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ind w:left="1"/>
        <w:spacing w:after="0" w:line="257" w:lineRule="auto"/>
        <w:rPr>
          <w:sz w:val="20"/>
          <w:szCs w:val="20"/>
          <w:color w:val="auto"/>
        </w:rPr>
      </w:pPr>
      <w:r>
        <w:rPr>
          <w:rFonts w:ascii="Arial" w:cs="Arial" w:eastAsia="Arial" w:hAnsi="Arial"/>
          <w:sz w:val="18"/>
          <w:szCs w:val="18"/>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25" w:right="939" w:bottom="1440" w:gutter="0" w:footer="0" w:header="0"/>
        </w:sectPr>
      </w:pPr>
    </w:p>
    <w:bookmarkStart w:id="7" w:name="page8"/>
    <w:bookmarkEnd w:id="7"/>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dilutive effect of stock-based compensation arrangements is accounted for using the treasury stock method. The Company includes as assumed proceeds the amount of compensation cost attributed to future services and not yet recognized. For the twenty-six weeks ended August 3, 2019 and August 4, 2018, there were 135,000 and 118,000 shares of nonvested restricted stock, respectively, excluded from the calculation of diluted earnings per share because of antidilution. For the thirteen weeks ended August 3, 2019 and August 4, 2018, there were 143,000 and 127,000 shares of nonvested restricted stock, respectively, excluded from the calculation of diluted earnings per share because of antidilution.</w:t>
      </w:r>
    </w:p>
    <w:p>
      <w:pPr>
        <w:spacing w:after="0" w:line="193"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The following table provides a reconciliation of the weighted average number of common shares outstanding used to calculate basic earnings per share to the weighted average number of common shares and common stock equivalents outstanding used in calculating diluted earnings per share for the twenty-six and thirteen week periods ended August 3, 2019 and August 4,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7400" w:type="dxa"/>
            <w:vAlign w:val="bottom"/>
          </w:tcPr>
          <w:p>
            <w:pPr>
              <w:spacing w:after="0"/>
              <w:rPr>
                <w:sz w:val="12"/>
                <w:szCs w:val="12"/>
                <w:color w:val="auto"/>
              </w:rPr>
            </w:pPr>
          </w:p>
        </w:tc>
        <w:tc>
          <w:tcPr>
            <w:tcW w:w="14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August 3, 2019</w:t>
            </w:r>
          </w:p>
        </w:tc>
        <w:tc>
          <w:tcPr>
            <w:tcW w:w="1220" w:type="dxa"/>
            <w:vAlign w:val="bottom"/>
          </w:tcPr>
          <w:p>
            <w:pPr>
              <w:jc w:val="right"/>
              <w:ind w:right="81"/>
              <w:spacing w:after="0" w:line="142" w:lineRule="exact"/>
              <w:rPr>
                <w:sz w:val="20"/>
                <w:szCs w:val="20"/>
                <w:color w:val="auto"/>
              </w:rPr>
            </w:pPr>
            <w:r>
              <w:rPr>
                <w:rFonts w:ascii="Arial" w:cs="Arial" w:eastAsia="Arial" w:hAnsi="Arial"/>
                <w:sz w:val="14"/>
                <w:szCs w:val="14"/>
                <w:b w:val="1"/>
                <w:bCs w:val="1"/>
                <w:color w:val="auto"/>
              </w:rPr>
              <w:t>August 4, 2018</w:t>
            </w:r>
          </w:p>
        </w:tc>
      </w:tr>
      <w:tr>
        <w:trPr>
          <w:trHeight w:val="210"/>
        </w:trPr>
        <w:tc>
          <w:tcPr>
            <w:tcW w:w="7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11,929,019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13,446,285</w:t>
            </w:r>
          </w:p>
        </w:tc>
      </w:tr>
      <w:tr>
        <w:trPr>
          <w:trHeight w:val="216"/>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Incremental shares from assumed vesting of nonvested restricted stock</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15,082</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45,009</w:t>
            </w:r>
          </w:p>
        </w:tc>
      </w:tr>
      <w:tr>
        <w:trPr>
          <w:trHeight w:val="203"/>
        </w:trPr>
        <w:tc>
          <w:tcPr>
            <w:tcW w:w="7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common shares and common stock equivalents outstanding</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11,944,101</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13,491,294</w:t>
            </w:r>
          </w:p>
        </w:tc>
      </w:tr>
      <w:tr>
        <w:trPr>
          <w:trHeight w:val="378"/>
        </w:trPr>
        <w:tc>
          <w:tcPr>
            <w:tcW w:w="7400" w:type="dxa"/>
            <w:vAlign w:val="bottom"/>
          </w:tcPr>
          <w:p>
            <w:pPr>
              <w:spacing w:after="0"/>
              <w:rPr>
                <w:sz w:val="24"/>
                <w:szCs w:val="24"/>
                <w:color w:val="auto"/>
              </w:rPr>
            </w:pPr>
          </w:p>
        </w:tc>
        <w:tc>
          <w:tcPr>
            <w:tcW w:w="266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Thirteen Weeks Ended</w:t>
            </w:r>
          </w:p>
        </w:tc>
      </w:tr>
      <w:tr>
        <w:trPr>
          <w:trHeight w:val="142"/>
        </w:trPr>
        <w:tc>
          <w:tcPr>
            <w:tcW w:w="7400" w:type="dxa"/>
            <w:vAlign w:val="bottom"/>
          </w:tcPr>
          <w:p>
            <w:pPr>
              <w:spacing w:after="0"/>
              <w:rPr>
                <w:sz w:val="12"/>
                <w:szCs w:val="12"/>
                <w:color w:val="auto"/>
              </w:rPr>
            </w:pPr>
          </w:p>
        </w:tc>
        <w:tc>
          <w:tcPr>
            <w:tcW w:w="144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August 3, 2019</w:t>
            </w:r>
          </w:p>
        </w:tc>
        <w:tc>
          <w:tcPr>
            <w:tcW w:w="122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rPr>
              <w:t>August 4, 2018</w:t>
            </w:r>
          </w:p>
        </w:tc>
      </w:tr>
      <w:tr>
        <w:trPr>
          <w:trHeight w:val="210"/>
        </w:trPr>
        <w:tc>
          <w:tcPr>
            <w:tcW w:w="7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11,881,896</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13,314,470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Incremental shares from assumed vesting of nonvested restricted stock</w:t>
            </w: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36,851</w:t>
            </w:r>
          </w:p>
        </w:tc>
      </w:tr>
      <w:tr>
        <w:trPr>
          <w:trHeight w:val="203"/>
        </w:trPr>
        <w:tc>
          <w:tcPr>
            <w:tcW w:w="74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common shares and common stock equivalents outstanding</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11,881,896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13,351,321</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Fair Value Measurement</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in the principal or most advantageous market at the measurement date. Fair value is established according to a hierarchy that prioritizes observable and unobservable inputs used to measure fair value into three broad levels, which are described below:</w:t>
      </w:r>
    </w:p>
    <w:p>
      <w:pPr>
        <w:spacing w:after="0" w:line="147"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color w:val="auto"/>
        </w:rPr>
        <w:t>Level 1: Unadjusted quoted prices in active markets that are accessible at the measurement date for assets or liabilities. The fair value hierarchy gives the highest priority to Level 1 inputs.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225" w:lineRule="exact"/>
        <w:rPr>
          <w:sz w:val="20"/>
          <w:szCs w:val="20"/>
          <w:color w:val="auto"/>
        </w:rPr>
      </w:pPr>
    </w:p>
    <w:p>
      <w:pPr>
        <w:ind w:left="640" w:right="240" w:firstLine="1"/>
        <w:spacing w:after="0" w:line="277" w:lineRule="auto"/>
        <w:rPr>
          <w:sz w:val="20"/>
          <w:szCs w:val="20"/>
          <w:color w:val="auto"/>
        </w:rPr>
      </w:pPr>
      <w:r>
        <w:rPr>
          <w:rFonts w:ascii="Arial" w:cs="Arial" w:eastAsia="Arial" w:hAnsi="Arial"/>
          <w:sz w:val="18"/>
          <w:szCs w:val="18"/>
          <w:color w:val="auto"/>
        </w:rPr>
        <w:t>Level 3: Unobservable inputs are used when little or no market data is available. Level 3 inputs are given the lowest priority in the fair value hierarchy.</w:t>
      </w:r>
    </w:p>
    <w:p>
      <w:pPr>
        <w:spacing w:after="0" w:line="17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August 3, 2019, the Company’s investment securities are classified as held-to-maturity since the Company has the intent and ability to hold the investments to maturity. Such securities are carried at amortized cost plus accrued interest and consist of the following (in thousands):</w:t>
      </w:r>
    </w:p>
    <w:tbl>
      <w:tblPr>
        <w:tblLayout w:type="fixed"/>
        <w:tblInd w:w="0" w:type="dxa"/>
        <w:tblCellMar>
          <w:top w:w="0" w:type="dxa"/>
          <w:left w:w="0" w:type="dxa"/>
          <w:bottom w:w="0" w:type="dxa"/>
          <w:right w:w="0" w:type="dxa"/>
        </w:tblCellMar>
      </w:tblPr>
      <w:tr>
        <w:trPr>
          <w:trHeight w:val="140"/>
        </w:trPr>
        <w:tc>
          <w:tcPr>
            <w:tcW w:w="4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93"/>
              </w:rPr>
              <w:t>Amortized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60"/>
              <w:spacing w:after="0" w:line="140"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76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2"/>
                <w:szCs w:val="12"/>
                <w:color w:val="auto"/>
              </w:rPr>
            </w:pPr>
          </w:p>
        </w:tc>
        <w:tc>
          <w:tcPr>
            <w:tcW w:w="9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21"/>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Short-term:</w:t>
            </w: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6"/>
                <w:szCs w:val="16"/>
                <w:color w:val="auto"/>
                <w:w w:val="91"/>
              </w:rPr>
              <w:t>Obligations of the U.S. Treasury and U.S. government agencies (Level 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30,630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28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30,648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Bank certificates of deposit (Level 2)</w:t>
            </w:r>
          </w:p>
        </w:tc>
        <w:tc>
          <w:tcPr>
            <w:tcW w:w="10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7,146</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37,776</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37,794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w:t>
            </w: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6"/>
                <w:szCs w:val="16"/>
                <w:color w:val="auto"/>
              </w:rPr>
              <w:t>Obligations of the U.S. Treasury (Level 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2,491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Bank certificates of deposit (Level 2)</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16,976</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16,982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4980" w:type="dxa"/>
            <w:vAlign w:val="bottom"/>
          </w:tcPr>
          <w:p>
            <w:pPr>
              <w:spacing w:after="0"/>
              <w:rPr>
                <w:sz w:val="24"/>
                <w:szCs w:val="24"/>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8</w:t>
            </w: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9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25" w:right="919" w:bottom="1440" w:gutter="0" w:footer="0" w:header="0"/>
        </w:sectPr>
      </w:pPr>
    </w:p>
    <w:bookmarkStart w:id="8" w:name="page9"/>
    <w:bookmarkEnd w:id="8"/>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right="800"/>
        <w:spacing w:after="0" w:line="258" w:lineRule="auto"/>
        <w:rPr>
          <w:sz w:val="20"/>
          <w:szCs w:val="20"/>
          <w:color w:val="auto"/>
        </w:rPr>
      </w:pPr>
      <w:r>
        <w:rPr>
          <w:rFonts w:ascii="Arial" w:cs="Arial" w:eastAsia="Arial" w:hAnsi="Arial"/>
          <w:sz w:val="18"/>
          <w:szCs w:val="18"/>
          <w:color w:val="auto"/>
        </w:rPr>
        <w:t>The amortized cost and fair market value of investment securities as of August 3, 2019 by contractual maturity are as follows (in thousands):</w:t>
      </w:r>
    </w:p>
    <w:tbl>
      <w:tblPr>
        <w:tblLayout w:type="fixed"/>
        <w:tblInd w:w="1001"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57"/>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Mature in one year or less</w:t>
            </w: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37,776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Mature after one year through five years</w:t>
            </w:r>
          </w:p>
        </w:tc>
        <w:tc>
          <w:tcPr>
            <w:tcW w:w="1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54,776</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 w:right="640"/>
        <w:spacing w:after="0" w:line="258" w:lineRule="auto"/>
        <w:rPr>
          <w:sz w:val="20"/>
          <w:szCs w:val="20"/>
          <w:color w:val="auto"/>
        </w:rPr>
      </w:pPr>
      <w:r>
        <w:rPr>
          <w:rFonts w:ascii="Arial" w:cs="Arial" w:eastAsia="Arial" w:hAnsi="Arial"/>
          <w:sz w:val="18"/>
          <w:szCs w:val="18"/>
          <w:color w:val="auto"/>
        </w:rPr>
        <w:t>As of February 2, 2019, the Company’s investment securities were classified as held-to-maturity and consisted of the following (in thousands):</w:t>
      </w:r>
    </w:p>
    <w:tbl>
      <w:tblPr>
        <w:tblLayout w:type="fixed"/>
        <w:tblInd w:w="1" w:type="dxa"/>
        <w:tblCellMar>
          <w:top w:w="0" w:type="dxa"/>
          <w:left w:w="0" w:type="dxa"/>
          <w:bottom w:w="0" w:type="dxa"/>
          <w:right w:w="0" w:type="dxa"/>
        </w:tblCellMar>
      </w:tblPr>
      <w:tr>
        <w:trPr>
          <w:trHeight w:val="141"/>
        </w:trPr>
        <w:tc>
          <w:tcPr>
            <w:tcW w:w="5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2"/>
                <w:szCs w:val="12"/>
                <w:color w:val="auto"/>
              </w:rPr>
            </w:pPr>
          </w:p>
        </w:tc>
        <w:tc>
          <w:tcPr>
            <w:tcW w:w="660" w:type="dxa"/>
            <w:vAlign w:val="bottom"/>
          </w:tcPr>
          <w:p>
            <w:pPr>
              <w:jc w:val="right"/>
              <w:ind w:right="161"/>
              <w:spacing w:after="0" w:line="141" w:lineRule="exact"/>
              <w:rPr>
                <w:sz w:val="20"/>
                <w:szCs w:val="20"/>
                <w:color w:val="auto"/>
              </w:rPr>
            </w:pPr>
            <w:r>
              <w:rPr>
                <w:rFonts w:ascii="Arial" w:cs="Arial" w:eastAsia="Arial" w:hAnsi="Arial"/>
                <w:sz w:val="14"/>
                <w:szCs w:val="14"/>
                <w:b w:val="1"/>
                <w:bCs w:val="1"/>
                <w:color w:val="auto"/>
                <w:w w:val="98"/>
              </w:rPr>
              <w:t>Gross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2"/>
                <w:szCs w:val="12"/>
                <w:color w:val="auto"/>
              </w:rPr>
            </w:pPr>
          </w:p>
        </w:tc>
        <w:tc>
          <w:tcPr>
            <w:tcW w:w="9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40" w:type="dxa"/>
            <w:vAlign w:val="bottom"/>
            <w:gridSpan w:val="2"/>
          </w:tcPr>
          <w:p>
            <w:pPr>
              <w:jc w:val="right"/>
              <w:ind w:right="1"/>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660" w:type="dxa"/>
            <w:vAlign w:val="bottom"/>
          </w:tcPr>
          <w:p>
            <w:pPr>
              <w:jc w:val="right"/>
              <w:ind w:right="161"/>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w w:val="94"/>
              </w:rPr>
              <w:t>Obligations of the U.S. Treasury and U.S. government agencies (Level 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38,706</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states and municipalities (Level 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11,549</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11,549</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50,350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50,317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Long-term:</w:t>
            </w: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the U.S. Treasury (Level 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8,867</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 w:right="540"/>
        <w:spacing w:after="0" w:line="258" w:lineRule="auto"/>
        <w:rPr>
          <w:sz w:val="20"/>
          <w:szCs w:val="20"/>
          <w:color w:val="auto"/>
        </w:rPr>
      </w:pPr>
      <w:r>
        <w:rPr>
          <w:rFonts w:ascii="Arial" w:cs="Arial" w:eastAsia="Arial" w:hAnsi="Arial"/>
          <w:sz w:val="18"/>
          <w:szCs w:val="18"/>
          <w:color w:val="auto"/>
        </w:rPr>
        <w:t>The amortized cost and fair market value of investment securities as of February 2, 2019 by contractual maturity were as follows (in thousands):</w:t>
      </w:r>
    </w:p>
    <w:tbl>
      <w:tblPr>
        <w:tblLayout w:type="fixed"/>
        <w:tblInd w:w="1001"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57"/>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Mature in one year or less</w:t>
            </w: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Mature after one year through five years</w:t>
            </w:r>
          </w:p>
        </w:tc>
        <w:tc>
          <w:tcPr>
            <w:tcW w:w="1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59,233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59,184</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There were no changes among the levels in the twenty-six weeks ended August 3, 2019.</w:t>
      </w:r>
    </w:p>
    <w:p>
      <w:pPr>
        <w:spacing w:after="0" w:line="225" w:lineRule="exact"/>
        <w:rPr>
          <w:sz w:val="20"/>
          <w:szCs w:val="20"/>
          <w:color w:val="auto"/>
        </w:rPr>
      </w:pPr>
    </w:p>
    <w:p>
      <w:pPr>
        <w:jc w:val="both"/>
        <w:ind w:left="1" w:right="320"/>
        <w:spacing w:after="0" w:line="312" w:lineRule="auto"/>
        <w:rPr>
          <w:sz w:val="20"/>
          <w:szCs w:val="20"/>
          <w:color w:val="auto"/>
        </w:rPr>
      </w:pPr>
      <w:r>
        <w:rPr>
          <w:rFonts w:ascii="Arial" w:cs="Arial" w:eastAsia="Arial" w:hAnsi="Arial"/>
          <w:sz w:val="16"/>
          <w:szCs w:val="16"/>
          <w:color w:val="auto"/>
        </w:rPr>
        <w:t>Fair market values of Level 2 investments are determined by management with the assistance of a third party pricing service. Because quoted prices in active markets for identical assets are not available, these prices are determined by the third party pricing service using observable market information such as quotes from less active markets and quoted prices of similar securities.</w:t>
      </w:r>
    </w:p>
    <w:p>
      <w:pPr>
        <w:spacing w:after="0" w:line="147" w:lineRule="exact"/>
        <w:rPr>
          <w:sz w:val="20"/>
          <w:szCs w:val="20"/>
          <w:color w:val="auto"/>
        </w:rPr>
      </w:pPr>
    </w:p>
    <w:p>
      <w:pPr>
        <w:ind w:left="181" w:hanging="181"/>
        <w:spacing w:after="0"/>
        <w:tabs>
          <w:tab w:leader="none" w:pos="18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Impairment of Assets</w:t>
      </w:r>
    </w:p>
    <w:p>
      <w:pPr>
        <w:spacing w:after="0" w:line="225" w:lineRule="exact"/>
        <w:rPr>
          <w:sz w:val="20"/>
          <w:szCs w:val="20"/>
          <w:color w:val="auto"/>
        </w:rPr>
      </w:pPr>
    </w:p>
    <w:p>
      <w:pPr>
        <w:ind w:left="1" w:right="40"/>
        <w:spacing w:after="0" w:line="272" w:lineRule="auto"/>
        <w:rPr>
          <w:sz w:val="20"/>
          <w:szCs w:val="20"/>
          <w:color w:val="auto"/>
        </w:rPr>
      </w:pPr>
      <w:r>
        <w:rPr>
          <w:rFonts w:ascii="Arial" w:cs="Arial" w:eastAsia="Arial" w:hAnsi="Arial"/>
          <w:sz w:val="17"/>
          <w:szCs w:val="17"/>
          <w:color w:val="auto"/>
        </w:rPr>
        <w:t>If facts and circumstances indicate that a long-lived asset or operating lease right-of-use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In the twenty-six and thirteen weeks ended August 3, 2019, non-cash impairment expense related to an underperforming store totaled $0.5 million, comprised of $0.3 million for leasehold improvements and fixtures and equipment, and $0.2 million for an operating lease right-of-use asset. In the twenty-six and thirteen weeks ended August 4, 2018, non-cash impairment expense related to underperforming stores totaled $0.9 million, comprised entirely of leasehold improvements and fixtures and equipment.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9" w:name="page10"/>
    <w:bookmarkEnd w:id="9"/>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1" w:hanging="181"/>
        <w:spacing w:after="0"/>
        <w:tabs>
          <w:tab w:leader="none" w:pos="181"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Revolving Line of Credit</w:t>
      </w:r>
    </w:p>
    <w:p>
      <w:pPr>
        <w:spacing w:after="0" w:line="225" w:lineRule="exact"/>
        <w:rPr>
          <w:sz w:val="20"/>
          <w:szCs w:val="20"/>
          <w:color w:val="auto"/>
        </w:rPr>
      </w:pPr>
    </w:p>
    <w:p>
      <w:pPr>
        <w:ind w:left="1" w:right="80"/>
        <w:spacing w:after="0" w:line="269" w:lineRule="auto"/>
        <w:rPr>
          <w:sz w:val="20"/>
          <w:szCs w:val="20"/>
          <w:color w:val="auto"/>
        </w:rPr>
      </w:pPr>
      <w:r>
        <w:rPr>
          <w:rFonts w:ascii="Arial" w:cs="Arial" w:eastAsia="Arial" w:hAnsi="Arial"/>
          <w:sz w:val="17"/>
          <w:szCs w:val="17"/>
          <w:color w:val="auto"/>
        </w:rPr>
        <w:t>On October 27, 2011, the Company entered into a five-year, $50 million credit facility with Bank of America. The facility was amended on August 18, 2015, extending the maturity date to August 18, 2020. The amended facility provides a $50 million credit commitment and a $25 million uncommitted “accordion” feature that under certain circumstances could allow the Company to increase the size of the facility to $75 million. Borrowings, if any, under the facility will bear interest (a) for LIBOR Rate Loans, at LIBOR plus either 1.25% or 1.5%, or (b) for Base Rate Loans, at a rate equal to the highest of (i) the prime rate plus either 0.25% or 0.5%, (ii) the Federal Funds Rate plus either 0.75% or 1.0%, or (iii) LIBOR plus either 1.25% or 1.5%, based in any such case on the average daily availability for borrowings under the facility. The facility continues to be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 including a requirement that there were no borrowings outstanding in the 30 days prior to the dividend payment and no borrowings are expected in the 30 days subsequent to the payment. The Company has had no borrowings under the credit facility.</w:t>
      </w:r>
    </w:p>
    <w:p>
      <w:pPr>
        <w:spacing w:after="0" w:line="180" w:lineRule="exact"/>
        <w:rPr>
          <w:sz w:val="20"/>
          <w:szCs w:val="20"/>
          <w:color w:val="auto"/>
        </w:rPr>
      </w:pPr>
    </w:p>
    <w:p>
      <w:pPr>
        <w:ind w:left="221" w:hanging="221"/>
        <w:spacing w:after="0"/>
        <w:tabs>
          <w:tab w:leader="none" w:pos="221"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left="1"/>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w:t>
      </w:r>
    </w:p>
    <w:p>
      <w:pPr>
        <w:spacing w:after="0" w:line="189" w:lineRule="exact"/>
        <w:rPr>
          <w:sz w:val="20"/>
          <w:szCs w:val="20"/>
          <w:color w:val="auto"/>
        </w:rPr>
      </w:pPr>
    </w:p>
    <w:p>
      <w:pPr>
        <w:ind w:left="1" w:right="160"/>
        <w:spacing w:after="0" w:line="264" w:lineRule="auto"/>
        <w:rPr>
          <w:sz w:val="20"/>
          <w:szCs w:val="20"/>
          <w:color w:val="auto"/>
        </w:rPr>
      </w:pPr>
      <w:r>
        <w:rPr>
          <w:rFonts w:ascii="Arial" w:cs="Arial" w:eastAsia="Arial" w:hAnsi="Arial"/>
          <w:sz w:val="18"/>
          <w:szCs w:val="18"/>
          <w:color w:val="auto"/>
        </w:rPr>
        <w:t>U.S. GAAP requires companies to calculate income taxes by applying their estimated full-year tax rate in each interim period unless the estimated full-year tax rate is not reliably predictable. For the twenty-six weeks ended August 3, 2019 and August 4, 2018, the Company utilized this annual effective tax rate method to calculate income taxes.</w:t>
      </w:r>
    </w:p>
    <w:p>
      <w:pPr>
        <w:spacing w:after="0" w:line="181" w:lineRule="exact"/>
        <w:rPr>
          <w:sz w:val="20"/>
          <w:szCs w:val="20"/>
          <w:color w:val="auto"/>
        </w:rPr>
      </w:pPr>
    </w:p>
    <w:p>
      <w:pPr>
        <w:jc w:val="both"/>
        <w:ind w:left="1" w:right="440"/>
        <w:spacing w:after="0" w:line="264" w:lineRule="auto"/>
        <w:rPr>
          <w:sz w:val="20"/>
          <w:szCs w:val="20"/>
          <w:color w:val="auto"/>
        </w:rPr>
      </w:pPr>
      <w:r>
        <w:rPr>
          <w:rFonts w:ascii="Arial" w:cs="Arial" w:eastAsia="Arial" w:hAnsi="Arial"/>
          <w:sz w:val="18"/>
          <w:szCs w:val="18"/>
          <w:color w:val="auto"/>
        </w:rPr>
        <w:t>For the twenty-six weeks ended August 3, 2019, the effective income tax rate was 14.9%. This compares with a rate of 18.9% for the twenty-six weeks ended August 4, 2018. The decrease in the effective income tax rate was due primarily to the combination of lower pretax income and higher federal and state tax credits this year.</w:t>
      </w:r>
    </w:p>
    <w:p>
      <w:pPr>
        <w:spacing w:after="0" w:line="181" w:lineRule="exact"/>
        <w:rPr>
          <w:sz w:val="20"/>
          <w:szCs w:val="20"/>
          <w:color w:val="auto"/>
        </w:rPr>
      </w:pPr>
    </w:p>
    <w:p>
      <w:pPr>
        <w:ind w:left="181" w:hanging="181"/>
        <w:spacing w:after="0"/>
        <w:tabs>
          <w:tab w:leader="none" w:pos="18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Other Long-Term Liabilities</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components of other long-term liabilities as of August 3, 2019 and February 2, 2019 are as follows (in thousands):</w:t>
      </w:r>
    </w:p>
    <w:p>
      <w:pPr>
        <w:spacing w:after="0" w:line="218"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475"/>
              <w:spacing w:after="0"/>
              <w:rPr>
                <w:sz w:val="20"/>
                <w:szCs w:val="20"/>
                <w:color w:val="auto"/>
              </w:rPr>
            </w:pPr>
            <w:r>
              <w:rPr>
                <w:rFonts w:ascii="Arial" w:cs="Arial" w:eastAsia="Arial" w:hAnsi="Arial"/>
                <w:sz w:val="14"/>
                <w:szCs w:val="14"/>
                <w:b w:val="1"/>
                <w:bCs w:val="1"/>
                <w:color w:val="auto"/>
              </w:rPr>
              <w:t>August 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w:t>
            </w:r>
          </w:p>
        </w:tc>
      </w:tr>
      <w:tr>
        <w:trPr>
          <w:trHeight w:val="171"/>
        </w:trPr>
        <w:tc>
          <w:tcPr>
            <w:tcW w:w="486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w w:val="90"/>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4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Tenant improvement allowances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55"/>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8"/>
                <w:szCs w:val="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4,037</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40" w:type="dxa"/>
            <w:vAlign w:val="bottom"/>
            <w:shd w:val="clear" w:color="auto" w:fill="CCEEFF"/>
          </w:tcPr>
          <w:p>
            <w:pPr>
              <w:spacing w:after="0"/>
              <w:rPr>
                <w:sz w:val="18"/>
                <w:szCs w:val="18"/>
                <w:color w:val="auto"/>
              </w:rPr>
            </w:pPr>
          </w:p>
        </w:tc>
      </w:tr>
      <w:tr>
        <w:trPr>
          <w:trHeight w:val="217"/>
        </w:trPr>
        <w:tc>
          <w:tcPr>
            <w:tcW w:w="4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8,195</w:t>
            </w:r>
          </w:p>
        </w:tc>
        <w:tc>
          <w:tcPr>
            <w:tcW w:w="40" w:type="dxa"/>
            <w:vAlign w:val="bottom"/>
          </w:tcPr>
          <w:p>
            <w:pPr>
              <w:spacing w:after="0"/>
              <w:rPr>
                <w:sz w:val="18"/>
                <w:szCs w:val="18"/>
                <w:color w:val="auto"/>
              </w:rPr>
            </w:pPr>
          </w:p>
        </w:tc>
      </w:tr>
    </w:tbl>
    <w:p>
      <w:pPr>
        <w:spacing w:after="0" w:line="143" w:lineRule="exact"/>
        <w:rPr>
          <w:sz w:val="20"/>
          <w:szCs w:val="20"/>
          <w:color w:val="auto"/>
        </w:rPr>
      </w:pPr>
    </w:p>
    <w:p>
      <w:pPr>
        <w:ind w:left="321" w:right="60" w:hanging="321"/>
        <w:spacing w:after="0" w:line="230" w:lineRule="auto"/>
        <w:tabs>
          <w:tab w:leader="none" w:pos="321"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Commencing February 3, 2019, deferred rent and tenant improvement allowances are included as part of the Company’s operating lease right of use assets (see Note 12 regarding the Company’s adoption of the lease accounting standard).</w:t>
      </w:r>
    </w:p>
    <w:p>
      <w:pPr>
        <w:ind w:left="321"/>
        <w:spacing w:after="0"/>
        <w:rPr>
          <w:rFonts w:ascii="Arial" w:cs="Arial" w:eastAsia="Arial" w:hAnsi="Arial"/>
          <w:sz w:val="14"/>
          <w:szCs w:val="14"/>
          <w:color w:val="auto"/>
        </w:rPr>
      </w:pPr>
      <w:r>
        <w:rPr>
          <w:rFonts w:ascii="Arial" w:cs="Arial" w:eastAsia="Arial" w:hAnsi="Arial"/>
          <w:sz w:val="14"/>
          <w:szCs w:val="14"/>
          <w:color w:val="FFFFFF"/>
        </w:rPr>
        <w:t>.</w:t>
      </w:r>
    </w:p>
    <w:p>
      <w:pPr>
        <w:spacing w:after="0" w:line="196" w:lineRule="exact"/>
        <w:rPr>
          <w:sz w:val="20"/>
          <w:szCs w:val="20"/>
          <w:color w:val="auto"/>
        </w:rPr>
      </w:pPr>
    </w:p>
    <w:p>
      <w:pPr>
        <w:ind w:left="261" w:hanging="261"/>
        <w:spacing w:after="0"/>
        <w:tabs>
          <w:tab w:leader="none" w:pos="26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ind w:left="1" w:right="420"/>
        <w:spacing w:after="0" w:line="312" w:lineRule="auto"/>
        <w:rPr>
          <w:sz w:val="20"/>
          <w:szCs w:val="20"/>
          <w:color w:val="auto"/>
        </w:rPr>
      </w:pPr>
      <w:r>
        <w:rPr>
          <w:rFonts w:ascii="Arial" w:cs="Arial" w:eastAsia="Arial" w:hAnsi="Arial"/>
          <w:sz w:val="16"/>
          <w:szCs w:val="16"/>
          <w:color w:val="auto"/>
        </w:rPr>
        <w:t>The Company from time to time is involved in various legal proceedings incidental to the conduct of its business, including claims by customers, employees or former employees. Once it becomes probable that the Company will incur costs in connection with a legal proceeding and such costs can be reasonably estimated, it establishes appropriate reserves. While legal proceedings are subject to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10" w:name="page11"/>
    <w:bookmarkEnd w:id="10"/>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right="640"/>
        <w:spacing w:after="0" w:line="342" w:lineRule="auto"/>
        <w:rPr>
          <w:sz w:val="20"/>
          <w:szCs w:val="20"/>
          <w:color w:val="auto"/>
        </w:rPr>
      </w:pPr>
      <w:r>
        <w:rPr>
          <w:rFonts w:ascii="Arial" w:cs="Arial" w:eastAsia="Arial" w:hAnsi="Arial"/>
          <w:sz w:val="16"/>
          <w:szCs w:val="16"/>
          <w:color w:val="auto"/>
        </w:rPr>
        <w:t>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124" w:lineRule="exact"/>
        <w:rPr>
          <w:sz w:val="20"/>
          <w:szCs w:val="20"/>
          <w:color w:val="auto"/>
        </w:rPr>
      </w:pPr>
    </w:p>
    <w:p>
      <w:pPr>
        <w:ind w:left="261" w:hanging="261"/>
        <w:spacing w:after="0"/>
        <w:tabs>
          <w:tab w:leader="none" w:pos="26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Stock Repurchase Program and Cash Dividends</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Repurchases of Common Stock</w:t>
      </w:r>
    </w:p>
    <w:p>
      <w:pPr>
        <w:spacing w:after="0" w:line="23" w:lineRule="exact"/>
        <w:rPr>
          <w:sz w:val="20"/>
          <w:szCs w:val="20"/>
          <w:color w:val="auto"/>
        </w:rPr>
      </w:pPr>
    </w:p>
    <w:p>
      <w:pPr>
        <w:ind w:left="1" w:right="60"/>
        <w:spacing w:after="0" w:line="253" w:lineRule="auto"/>
        <w:rPr>
          <w:sz w:val="20"/>
          <w:szCs w:val="20"/>
          <w:color w:val="auto"/>
        </w:rPr>
      </w:pPr>
      <w:r>
        <w:rPr>
          <w:rFonts w:ascii="Arial" w:cs="Arial" w:eastAsia="Arial" w:hAnsi="Arial"/>
          <w:sz w:val="18"/>
          <w:szCs w:val="18"/>
          <w:color w:val="auto"/>
        </w:rPr>
        <w:t>On November 28, 2018, the Company’s Board of Directors approved a program that authorized the purchase of up to $25.0 million in shares of the Company’s common stock. During the twenty-six weeks ended August 3, 2019, the Company repurchased 272,600 shares of its common stock at an aggregate cost of $4.5 million. During the thirteen weeks ended August 3, 2019, the Company repurchased 190,288 shares of its common stock at an aggregate cost of $2.9 million. At August 3, 2019, $5.1 million remained available for purchase under this program.</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Dividends</w:t>
      </w:r>
    </w:p>
    <w:p>
      <w:pPr>
        <w:spacing w:after="0" w:line="23" w:lineRule="exact"/>
        <w:rPr>
          <w:sz w:val="20"/>
          <w:szCs w:val="20"/>
          <w:color w:val="auto"/>
        </w:rPr>
      </w:pPr>
    </w:p>
    <w:p>
      <w:pPr>
        <w:ind w:left="1" w:right="20"/>
        <w:spacing w:after="0" w:line="292" w:lineRule="auto"/>
        <w:rPr>
          <w:sz w:val="20"/>
          <w:szCs w:val="20"/>
          <w:color w:val="auto"/>
        </w:rPr>
      </w:pPr>
      <w:r>
        <w:rPr>
          <w:rFonts w:ascii="Arial" w:cs="Arial" w:eastAsia="Arial" w:hAnsi="Arial"/>
          <w:sz w:val="16"/>
          <w:szCs w:val="16"/>
          <w:color w:val="auto"/>
        </w:rPr>
        <w:t>On February 12, 2019, the Company’s Board of Directors declared a dividend of $0.08 per common share, which was paid on March 19, 2019 to stockholders of record as of March 5, 2019. On May 21, 2019, the Company’s Board of Directors declared a dividend of $0.08 per common share, which was paid on June 18, 2019 to stockholders of record as of June 4, 2019. On August 20, 2019, the Company’s Board of Directors declared a dividend of $0.08 per common share payable on September 17, 2019 to stockholders of record as of September 3, 2019. Any determination to declare and pay cash dividends for future quarters will be made by the Company’s Board of Directors.</w:t>
      </w:r>
    </w:p>
    <w:p>
      <w:pPr>
        <w:spacing w:after="0" w:line="163" w:lineRule="exact"/>
        <w:rPr>
          <w:sz w:val="20"/>
          <w:szCs w:val="20"/>
          <w:color w:val="auto"/>
        </w:rPr>
      </w:pPr>
    </w:p>
    <w:p>
      <w:pPr>
        <w:ind w:left="261" w:hanging="261"/>
        <w:spacing w:after="0"/>
        <w:tabs>
          <w:tab w:leader="none" w:pos="26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Recently Adopted</w:t>
      </w:r>
    </w:p>
    <w:p>
      <w:pPr>
        <w:spacing w:after="0" w:line="23" w:lineRule="exact"/>
        <w:rPr>
          <w:sz w:val="20"/>
          <w:szCs w:val="20"/>
          <w:color w:val="auto"/>
        </w:rPr>
      </w:pPr>
    </w:p>
    <w:p>
      <w:pPr>
        <w:ind w:left="1"/>
        <w:spacing w:after="0" w:line="285" w:lineRule="auto"/>
        <w:rPr>
          <w:sz w:val="20"/>
          <w:szCs w:val="20"/>
          <w:color w:val="auto"/>
        </w:rPr>
      </w:pPr>
      <w:r>
        <w:rPr>
          <w:rFonts w:ascii="Arial" w:cs="Arial" w:eastAsia="Arial" w:hAnsi="Arial"/>
          <w:sz w:val="16"/>
          <w:szCs w:val="16"/>
          <w:color w:val="auto"/>
        </w:rPr>
        <w:t>In February 2016, the Financial Accounting Standards Board (“FASB”) issued Accounting Standard Update (“ASU”) No. 2016-02, Leases (Topic 842) (“ASU 2016–02” or “Topic 842”) which replaced the existing guidance in ASC 840, Leases. The new standard established a right-of-use model that requires a lessee to record a right-of-use asset and a lease liability on the balance sheet for all leases with terms longer than 12 months. The guidance is effective for fiscal years beginning after December 15, 2018, including interim periods within those fiscal years. The Company adopted ASU 2016-02 on February 3, 2019, the first day of fiscal 2019. As part of the implementation process, the Company assessed its lease arrangements, evaluated practical expedient and accounting policy elections and implemented necessary modifications to its existing lease system. In adopting the new lease standard, the Company elected the optional transition method which applied the standard as of the effective date but did not apply the standard to the comparative periods previously presented in the consolidated financial statements. The new standard also provided optional practical expedients for transition, which the Company elected, which permitted it to not reassess prior conclusions regarding lease classification, identification or initial direct costs. Further, the Company elected a short-term lease exception policy which permitted it to not apply the recognition requirements of the new standard to short-term leases (leases with terms of 12 months or less). The Company also elected an accounting policy to account for lease and non-lease components as a single component for certain classes of assets. The Company did not elect an optional hindsight practical expedient.</w:t>
      </w:r>
    </w:p>
    <w:p>
      <w:pPr>
        <w:spacing w:after="0" w:line="171" w:lineRule="exact"/>
        <w:rPr>
          <w:sz w:val="20"/>
          <w:szCs w:val="20"/>
          <w:color w:val="auto"/>
        </w:rPr>
      </w:pPr>
    </w:p>
    <w:p>
      <w:pPr>
        <w:ind w:left="1"/>
        <w:spacing w:after="0" w:line="286" w:lineRule="auto"/>
        <w:rPr>
          <w:sz w:val="20"/>
          <w:szCs w:val="20"/>
          <w:color w:val="auto"/>
        </w:rPr>
      </w:pPr>
      <w:r>
        <w:rPr>
          <w:rFonts w:ascii="Arial" w:cs="Arial" w:eastAsia="Arial" w:hAnsi="Arial"/>
          <w:sz w:val="16"/>
          <w:szCs w:val="16"/>
          <w:color w:val="auto"/>
        </w:rPr>
        <w:t>The Company leases all of its retail store locations and certain office space and equipment. All leases are classified as operating leases. Under the new guidance, right–of-use assets and lease liabilities are recognized based on the present value of future minimum lease payments over the lease term. The Company uses its incremental borrowing rate as the discount rate which approximates the rate of interest the Company would have to pay on a collateralized basis to borrow an amount equal to the total lease payments under similar terms. The incremental borrowing rate for existing leases as of the opening balance sheet date was based on the remaining terms of the leases. The incremental borrowing rate for all new or amended leases is based upon the lease terms which include the contractual period obligated by the leases plus any additional periods covered by options available to extend the leases if the Company is reasonably certain to exercise such options. Lease expense for fixed lease payments is recognized on a straight-line basis over the lease term and is included in selling, general and administrative expenses. Adoption of the new standard resulted in the recording of operating lease right-of-use assets and operating lease liabilities of approximately $133.6 million and $141.0 million, respectively, as of February 3, 2019. The difference between the lease assets and lease liabilities was primarily due to reclassification of lease incentives, as well as impairment of operating lease right-of-use assets for stores previously impaired as of the effective date. Lease impairment, net of the related deferred taxes, totaled approximately $2.1 million and is reflected as an adjustment to retained earnings at the transition date.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11" w:name="page12"/>
    <w:bookmarkEnd w:id="11"/>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321" w:hanging="321"/>
        <w:spacing w:after="0"/>
        <w:tabs>
          <w:tab w:leader="none" w:pos="32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ind w:left="1"/>
        <w:spacing w:after="0" w:line="252" w:lineRule="auto"/>
        <w:rPr>
          <w:sz w:val="20"/>
          <w:szCs w:val="20"/>
          <w:color w:val="auto"/>
        </w:rPr>
      </w:pPr>
      <w:r>
        <w:rPr>
          <w:rFonts w:ascii="Arial" w:cs="Arial" w:eastAsia="Arial" w:hAnsi="Arial"/>
          <w:sz w:val="18"/>
          <w:szCs w:val="18"/>
          <w:color w:val="auto"/>
        </w:rPr>
        <w:t>The Company’s primary source of revenue is derived from the sale of clothing and accessories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Non-refundable layaway service fees are recognized in revenue when collected by the Company from customers. The Company defers revenue from the sale of gift cards and recognizes the associated revenue upon the redemption of the cards by customers to purchase merchandise.</w:t>
      </w:r>
    </w:p>
    <w:p>
      <w:pPr>
        <w:spacing w:after="0" w:line="193"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Sales Returns</w:t>
      </w:r>
    </w:p>
    <w:p>
      <w:pPr>
        <w:spacing w:after="0" w:line="23" w:lineRule="exact"/>
        <w:rPr>
          <w:sz w:val="20"/>
          <w:szCs w:val="20"/>
          <w:color w:val="auto"/>
        </w:rPr>
      </w:pPr>
    </w:p>
    <w:p>
      <w:pPr>
        <w:ind w:left="1" w:right="380"/>
        <w:spacing w:after="0" w:line="292" w:lineRule="auto"/>
        <w:rPr>
          <w:sz w:val="20"/>
          <w:szCs w:val="20"/>
          <w:color w:val="auto"/>
        </w:rPr>
      </w:pPr>
      <w:r>
        <w:rPr>
          <w:rFonts w:ascii="Arial" w:cs="Arial" w:eastAsia="Arial" w:hAnsi="Arial"/>
          <w:sz w:val="16"/>
          <w:szCs w:val="16"/>
          <w:color w:val="auto"/>
        </w:rPr>
        <w:t>The Company allows customers to return merchandise for up to thirty days after the date of sale. Expected refunds to customers are recorded based on estimated margin using historical return information. The refund liability for merchandise returns is included in “Accrued expenses” on the condensed consolidated balance sheet and totaled $0.5 million and $0.3 million as of August 3, 2019 and February 2, 2019, respectively. The corresponding asset for the recoverable cost of expected refunds is included in “Prepaid and other current assets” and totaled $0.3 million and $0.2 million as of August 3, 2019 and February 2, 2019, respectively.</w:t>
      </w:r>
    </w:p>
    <w:p>
      <w:pPr>
        <w:spacing w:after="0" w:line="163"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ind w:left="1" w:right="180"/>
        <w:spacing w:after="0" w:line="254" w:lineRule="auto"/>
        <w:rPr>
          <w:sz w:val="20"/>
          <w:szCs w:val="20"/>
          <w:color w:val="auto"/>
        </w:rPr>
      </w:pPr>
      <w:r>
        <w:rPr>
          <w:rFonts w:ascii="Arial" w:cs="Arial" w:eastAsia="Arial" w:hAnsi="Arial"/>
          <w:sz w:val="18"/>
          <w:szCs w:val="18"/>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190" w:lineRule="exact"/>
        <w:rPr>
          <w:sz w:val="20"/>
          <w:szCs w:val="20"/>
          <w:color w:val="auto"/>
        </w:rPr>
      </w:pPr>
    </w:p>
    <w:p>
      <w:pPr>
        <w:ind w:left="1" w:right="20"/>
        <w:spacing w:after="0" w:line="264" w:lineRule="auto"/>
        <w:rPr>
          <w:sz w:val="20"/>
          <w:szCs w:val="20"/>
          <w:color w:val="auto"/>
        </w:rPr>
      </w:pPr>
      <w:r>
        <w:rPr>
          <w:rFonts w:ascii="Arial" w:cs="Arial" w:eastAsia="Arial" w:hAnsi="Arial"/>
          <w:sz w:val="18"/>
          <w:szCs w:val="18"/>
          <w:color w:val="auto"/>
        </w:rPr>
        <w:t>In the following table, the Company’s revenue from contracts with customers is disaggregated by major product line. The percentage of net sales related to each classification of its merchandise assortment for the twenty-six and thirteen week periods ended August 3, 2019 and August 4, 2018 was approximately:</w:t>
      </w:r>
    </w:p>
    <w:p>
      <w:pPr>
        <w:spacing w:after="0" w:line="51" w:lineRule="exact"/>
        <w:rPr>
          <w:sz w:val="20"/>
          <w:szCs w:val="20"/>
          <w:color w:val="auto"/>
        </w:rPr>
      </w:pPr>
    </w:p>
    <w:tbl>
      <w:tblPr>
        <w:tblLayout w:type="fixed"/>
        <w:tblInd w:w="1261"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860" w:type="dxa"/>
            <w:vAlign w:val="bottom"/>
            <w:gridSpan w:val="4"/>
          </w:tcPr>
          <w:p>
            <w:pPr>
              <w:ind w:left="60"/>
              <w:spacing w:after="0"/>
              <w:rPr>
                <w:sz w:val="20"/>
                <w:szCs w:val="20"/>
                <w:color w:val="auto"/>
              </w:rPr>
            </w:pPr>
            <w:r>
              <w:rPr>
                <w:rFonts w:ascii="Arial" w:cs="Arial" w:eastAsia="Arial" w:hAnsi="Arial"/>
                <w:sz w:val="14"/>
                <w:szCs w:val="14"/>
                <w:b w:val="1"/>
                <w:bCs w:val="1"/>
                <w:color w:val="auto"/>
              </w:rPr>
              <w:t>Twenty-Six Weeks Ended</w:t>
            </w:r>
          </w:p>
        </w:tc>
        <w:tc>
          <w:tcPr>
            <w:tcW w:w="1660" w:type="dxa"/>
            <w:vAlign w:val="bottom"/>
            <w:gridSpan w:val="4"/>
          </w:tcPr>
          <w:p>
            <w:pPr>
              <w:ind w:left="100"/>
              <w:spacing w:after="0"/>
              <w:rPr>
                <w:sz w:val="20"/>
                <w:szCs w:val="20"/>
                <w:color w:val="auto"/>
              </w:rPr>
            </w:pPr>
            <w:r>
              <w:rPr>
                <w:rFonts w:ascii="Arial" w:cs="Arial" w:eastAsia="Arial" w:hAnsi="Arial"/>
                <w:sz w:val="14"/>
                <w:szCs w:val="14"/>
                <w:b w:val="1"/>
                <w:bCs w:val="1"/>
                <w:color w:val="auto"/>
              </w:rPr>
              <w:t>Thirteen Weeks Ended</w:t>
            </w:r>
          </w:p>
        </w:tc>
      </w:tr>
      <w:tr>
        <w:trPr>
          <w:trHeight w:val="119"/>
        </w:trPr>
        <w:tc>
          <w:tcPr>
            <w:tcW w:w="4020" w:type="dxa"/>
            <w:vAlign w:val="bottom"/>
          </w:tcPr>
          <w:p>
            <w:pPr>
              <w:spacing w:after="0"/>
              <w:rPr>
                <w:sz w:val="10"/>
                <w:szCs w:val="10"/>
                <w:color w:val="auto"/>
              </w:rPr>
            </w:pPr>
          </w:p>
        </w:tc>
        <w:tc>
          <w:tcPr>
            <w:tcW w:w="94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August 3,</w:t>
            </w:r>
          </w:p>
        </w:tc>
        <w:tc>
          <w:tcPr>
            <w:tcW w:w="7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August 4,</w:t>
            </w:r>
          </w:p>
        </w:tc>
        <w:tc>
          <w:tcPr>
            <w:tcW w:w="200" w:type="dxa"/>
            <w:vAlign w:val="bottom"/>
          </w:tcPr>
          <w:p>
            <w:pPr>
              <w:spacing w:after="0"/>
              <w:rPr>
                <w:sz w:val="10"/>
                <w:szCs w:val="10"/>
                <w:color w:val="auto"/>
              </w:rPr>
            </w:pPr>
          </w:p>
        </w:tc>
        <w:tc>
          <w:tcPr>
            <w:tcW w:w="90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August 3,</w:t>
            </w:r>
          </w:p>
        </w:tc>
        <w:tc>
          <w:tcPr>
            <w:tcW w:w="7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August 4,</w:t>
            </w:r>
          </w:p>
        </w:tc>
        <w:tc>
          <w:tcPr>
            <w:tcW w:w="40" w:type="dxa"/>
            <w:vAlign w:val="bottom"/>
          </w:tcPr>
          <w:p>
            <w:pPr>
              <w:spacing w:after="0"/>
              <w:rPr>
                <w:sz w:val="10"/>
                <w:szCs w:val="10"/>
                <w:color w:val="auto"/>
              </w:rPr>
            </w:pPr>
          </w:p>
        </w:tc>
      </w:tr>
      <w:tr>
        <w:trPr>
          <w:trHeight w:val="171"/>
        </w:trPr>
        <w:tc>
          <w:tcPr>
            <w:tcW w:w="40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Accessories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40" w:type="dxa"/>
            <w:vAlign w:val="bottom"/>
            <w:shd w:val="clear" w:color="auto" w:fill="CCEEFF"/>
          </w:tcPr>
          <w:p>
            <w:pPr>
              <w:spacing w:after="0"/>
              <w:rPr>
                <w:sz w:val="18"/>
                <w:szCs w:val="18"/>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Ladies'</w:t>
            </w:r>
          </w:p>
        </w:tc>
        <w:tc>
          <w:tcPr>
            <w:tcW w:w="740" w:type="dxa"/>
            <w:vAlign w:val="bottom"/>
          </w:tcPr>
          <w:p>
            <w:pPr>
              <w:jc w:val="right"/>
              <w:spacing w:after="0"/>
              <w:rPr>
                <w:sz w:val="20"/>
                <w:szCs w:val="20"/>
                <w:color w:val="auto"/>
              </w:rPr>
            </w:pPr>
            <w:r>
              <w:rPr>
                <w:rFonts w:ascii="Arial" w:cs="Arial" w:eastAsia="Arial" w:hAnsi="Arial"/>
                <w:sz w:val="18"/>
                <w:szCs w:val="18"/>
                <w:color w:val="auto"/>
              </w:rPr>
              <w:t>23 %</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23 %</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23 %</w:t>
            </w:r>
          </w:p>
        </w:tc>
        <w:tc>
          <w:tcPr>
            <w:tcW w:w="40" w:type="dxa"/>
            <w:vAlign w:val="bottom"/>
          </w:tcPr>
          <w:p>
            <w:pPr>
              <w:spacing w:after="0"/>
              <w:rPr>
                <w:sz w:val="19"/>
                <w:szCs w:val="19"/>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Children's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40" w:type="dxa"/>
            <w:vAlign w:val="bottom"/>
            <w:shd w:val="clear" w:color="auto" w:fill="CCEEFF"/>
          </w:tcPr>
          <w:p>
            <w:pPr>
              <w:spacing w:after="0"/>
              <w:rPr>
                <w:sz w:val="19"/>
                <w:szCs w:val="19"/>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Men's</w:t>
            </w:r>
          </w:p>
        </w:tc>
        <w:tc>
          <w:tcPr>
            <w:tcW w:w="740" w:type="dxa"/>
            <w:vAlign w:val="bottom"/>
          </w:tcPr>
          <w:p>
            <w:pPr>
              <w:jc w:val="right"/>
              <w:spacing w:after="0"/>
              <w:rPr>
                <w:sz w:val="20"/>
                <w:szCs w:val="20"/>
                <w:color w:val="auto"/>
              </w:rPr>
            </w:pPr>
            <w:r>
              <w:rPr>
                <w:rFonts w:ascii="Arial" w:cs="Arial" w:eastAsia="Arial" w:hAnsi="Arial"/>
                <w:sz w:val="18"/>
                <w:szCs w:val="18"/>
                <w:color w:val="auto"/>
              </w:rPr>
              <w:t>16 %</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17 %</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17 %</w:t>
            </w:r>
          </w:p>
        </w:tc>
        <w:tc>
          <w:tcPr>
            <w:tcW w:w="40" w:type="dxa"/>
            <w:vAlign w:val="bottom"/>
          </w:tcPr>
          <w:p>
            <w:pPr>
              <w:spacing w:after="0"/>
              <w:rPr>
                <w:sz w:val="19"/>
                <w:szCs w:val="19"/>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40" w:type="dxa"/>
            <w:vAlign w:val="bottom"/>
            <w:shd w:val="clear" w:color="auto" w:fill="CCEEFF"/>
          </w:tcPr>
          <w:p>
            <w:pPr>
              <w:spacing w:after="0"/>
              <w:rPr>
                <w:sz w:val="19"/>
                <w:szCs w:val="19"/>
                <w:color w:val="auto"/>
              </w:rPr>
            </w:pPr>
          </w:p>
        </w:tc>
      </w:tr>
    </w:tbl>
    <w:p>
      <w:pPr>
        <w:spacing w:after="0" w:line="215" w:lineRule="exact"/>
        <w:rPr>
          <w:sz w:val="20"/>
          <w:szCs w:val="20"/>
          <w:color w:val="auto"/>
        </w:rPr>
      </w:pPr>
    </w:p>
    <w:p>
      <w:pPr>
        <w:ind w:left="321" w:hanging="321"/>
        <w:spacing w:after="0"/>
        <w:tabs>
          <w:tab w:leader="none" w:pos="32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ind w:left="1" w:right="20"/>
        <w:spacing w:after="0" w:line="255" w:lineRule="auto"/>
        <w:rPr>
          <w:sz w:val="20"/>
          <w:szCs w:val="20"/>
          <w:color w:val="auto"/>
        </w:rPr>
      </w:pPr>
      <w:r>
        <w:rPr>
          <w:rFonts w:ascii="Arial" w:cs="Arial" w:eastAsia="Arial" w:hAnsi="Arial"/>
          <w:sz w:val="18"/>
          <w:szCs w:val="18"/>
          <w:color w:val="auto"/>
        </w:rPr>
        <w:t>The Company leases its retail store locations and certain office space and equipment. The Company analyzes all leases at inception to determine if a right-of-use asset and lease liability should be recognized. Leases with an initial term of 12 months or less and leases with mutual termination clauses are not included on the condensed consolidated balance sheet. The lease liability is measured at the present value of future lease payments as of the lease commencement date, or as of the date of adoption of ASU 2016-02 for leases existing at the adoption date. The right-of-use asset recognized is based on the lease liability adjusted for prepaid and deferred rent and unamortized lease incentives.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12" w:name="page13"/>
    <w:bookmarkEnd w:id="12"/>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Total lease cost is comprised of operating lease costs, short-term lease costs and variable lease costs, which include rent paid as a percentage of sales, common area maintenance, real estate taxes and insurance for the Company’s real estate leases. Lease expense for the twenty-six and thirteen weeks ended August 3, 2019 is as follows (in thousands):</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Twenty-Six Weeks Ended</w:t>
            </w: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Thirteen Weeks Ended</w:t>
            </w:r>
          </w:p>
        </w:tc>
      </w:tr>
      <w:tr>
        <w:trPr>
          <w:trHeight w:val="142"/>
        </w:trPr>
        <w:tc>
          <w:tcPr>
            <w:tcW w:w="43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August 3, 2019</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99"/>
              </w:rPr>
              <w:t>August 3, 2019</w:t>
            </w: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12,081</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Variable lease cost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4,263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1,947</w:t>
            </w:r>
          </w:p>
        </w:tc>
      </w:tr>
      <w:tr>
        <w:trPr>
          <w:trHeight w:val="23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Short term lease cost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17"/>
        </w:trPr>
        <w:tc>
          <w:tcPr>
            <w:tcW w:w="4300" w:type="dxa"/>
            <w:vAlign w:val="bottom"/>
          </w:tcPr>
          <w:p>
            <w:pPr>
              <w:spacing w:after="0"/>
              <w:rPr>
                <w:sz w:val="20"/>
                <w:szCs w:val="20"/>
                <w:color w:val="auto"/>
              </w:rPr>
            </w:pPr>
            <w:r>
              <w:rPr>
                <w:rFonts w:ascii="Arial" w:cs="Arial" w:eastAsia="Arial" w:hAnsi="Arial"/>
                <w:sz w:val="18"/>
                <w:szCs w:val="18"/>
                <w:color w:val="auto"/>
              </w:rPr>
              <w:t>Total lease cost</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28,636</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14,287</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as of August 3, 2019 are as follows (in thousands):</w:t>
      </w:r>
    </w:p>
    <w:p>
      <w:pPr>
        <w:spacing w:after="0" w:line="244"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Lease Costs</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48,848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38,118</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26,151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18,372</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21,760</w:t>
            </w:r>
          </w:p>
        </w:tc>
        <w:tc>
          <w:tcPr>
            <w:tcW w:w="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175,411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28"/>
              <w:spacing w:after="0" w:line="216" w:lineRule="exact"/>
              <w:rPr>
                <w:sz w:val="20"/>
                <w:szCs w:val="20"/>
                <w:color w:val="auto"/>
              </w:rPr>
            </w:pPr>
            <w:r>
              <w:rPr>
                <w:rFonts w:ascii="Arial" w:cs="Arial" w:eastAsia="Arial" w:hAnsi="Arial"/>
                <w:sz w:val="16"/>
                <w:szCs w:val="16"/>
                <w:color w:val="auto"/>
              </w:rPr>
              <w:t>(15,333)</w:t>
            </w:r>
            <w:r>
              <w:rPr>
                <w:rFonts w:ascii="Arial" w:cs="Arial" w:eastAsia="Arial" w:hAnsi="Arial"/>
                <w:sz w:val="25"/>
                <w:szCs w:val="25"/>
                <w:color w:val="auto"/>
                <w:vertAlign w:val="sub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present value of lease liabilities</w:t>
            </w:r>
          </w:p>
        </w:tc>
        <w:tc>
          <w:tcPr>
            <w:tcW w:w="2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160,078</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1"/>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50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1340" w:hanging="314"/>
        <w:spacing w:after="0"/>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Calculated using the discount rate for each lease.</w:t>
      </w:r>
    </w:p>
    <w:p>
      <w:pPr>
        <w:ind w:left="1340" w:hanging="314"/>
        <w:spacing w:after="0"/>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short-term and long-term operating leases.</w:t>
      </w:r>
    </w:p>
    <w:p>
      <w:pPr>
        <w:spacing w:after="0" w:line="19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Adoption of the lease accounting standard (Topic 842) using the effective transition method requires the Company to provide relevant disclosures in accordance with ASC 840, Leases for all prior periods presented. Future minimum lease payments as of February 2, 2019 were as follows (in thousands):</w:t>
      </w:r>
    </w:p>
    <w:p>
      <w:pPr>
        <w:spacing w:after="0" w:line="200"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ind w:left="220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Lease Costs</w:t>
            </w:r>
          </w:p>
        </w:tc>
      </w:tr>
      <w:tr>
        <w:trPr>
          <w:trHeight w:val="210"/>
        </w:trPr>
        <w:tc>
          <w:tcPr>
            <w:tcW w:w="20" w:type="dxa"/>
            <w:vAlign w:val="bottom"/>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47,289</w:t>
            </w:r>
          </w:p>
        </w:tc>
        <w:tc>
          <w:tcPr>
            <w:tcW w:w="2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39,294</w:t>
            </w:r>
          </w:p>
        </w:tc>
        <w:tc>
          <w:tcPr>
            <w:tcW w:w="2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28,228</w:t>
            </w:r>
          </w:p>
        </w:tc>
        <w:tc>
          <w:tcPr>
            <w:tcW w:w="2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16,880</w:t>
            </w:r>
          </w:p>
        </w:tc>
        <w:tc>
          <w:tcPr>
            <w:tcW w:w="2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2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7,836</w:t>
            </w:r>
          </w:p>
        </w:tc>
        <w:tc>
          <w:tcPr>
            <w:tcW w:w="260" w:type="dxa"/>
            <w:vAlign w:val="bottom"/>
            <w:tcBorders>
              <w:bottom w:val="single" w:sz="8" w:color="CCEEFF"/>
            </w:tcBorders>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148,967</w:t>
            </w:r>
          </w:p>
        </w:tc>
        <w:tc>
          <w:tcPr>
            <w:tcW w:w="260" w:type="dxa"/>
            <w:vAlign w:val="bottom"/>
            <w:tcBorders>
              <w:bottom w:val="single" w:sz="8" w:color="CCEEFF"/>
            </w:tcBorders>
            <w:shd w:val="clear" w:color="auto" w:fill="CCEEFF"/>
          </w:tcPr>
          <w:p>
            <w:pPr>
              <w:spacing w:after="0"/>
              <w:rPr>
                <w:sz w:val="18"/>
                <w:szCs w:val="18"/>
                <w:color w:val="auto"/>
              </w:rPr>
            </w:pPr>
          </w:p>
        </w:tc>
      </w:tr>
    </w:tbl>
    <w:p>
      <w:pPr>
        <w:spacing w:after="0" w:line="13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Supplemental cash flow and other information related to operating leases for the twenty-six weeks ended August 3, 2019 is as follows (in thousands, except for weighted average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Twenty-Six Weeks Ended</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55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August 3, 2019</w:t>
            </w:r>
          </w:p>
        </w:tc>
        <w:tc>
          <w:tcPr>
            <w:tcW w:w="80" w:type="dxa"/>
            <w:vAlign w:val="bottom"/>
            <w:tcBorders>
              <w:bottom w:val="single" w:sz="8" w:color="CCEEFF"/>
            </w:tcBorders>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operating leases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25,174</w:t>
            </w: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2"/>
              </w:rPr>
              <w:t>Right of use assets obtained in exchange for new operating lease liabilities</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42,357</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vMerge w:val="restart"/>
          </w:tcPr>
          <w:p>
            <w:pPr>
              <w:spacing w:after="0"/>
              <w:rPr>
                <w:sz w:val="19"/>
                <w:szCs w:val="19"/>
                <w:color w:val="auto"/>
              </w:rPr>
            </w:pPr>
          </w:p>
        </w:tc>
        <w:tc>
          <w:tcPr>
            <w:tcW w:w="5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vMerge w:val="continue"/>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Weighted average remaining lease term (years) - operating leases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 - operating leases</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6860" w:type="dxa"/>
            <w:vAlign w:val="bottom"/>
            <w:gridSpan w:val="2"/>
          </w:tcPr>
          <w:p>
            <w:pPr>
              <w:jc w:val="right"/>
              <w:ind w:right="165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3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25" w:right="919" w:bottom="1440" w:gutter="0" w:footer="0" w:header="0"/>
        </w:sectPr>
      </w:pPr>
    </w:p>
    <w:bookmarkStart w:id="13" w:name="page14"/>
    <w:bookmarkEnd w:id="13"/>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16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factors that may result in actual results differing from such forward-looking information include, but are not limited to: transportation and distribution delays or interruptions; changes in freight rates; the Company’s ability to negotiate effectively the cost and purchase of merchandise; inventory risks due to shifts in market demand; the Company’s ability to gauge fashion trends and changing consumer preferences; changes in consumer spending on apparel; changes in product mix; interruptions in suppliers’ businesses; a deterioration in general economic conditions caused by acts of war or terrorism or other factors; the results of pending or threatened litigation; temporary changes in demand due to weather patterns; seasonality of the Company’s business; delays associated with building, opening and operating new stores; delays associated with building, opening or expanding new or existing distribution centers; and other factors described in the section titled “Item 1A. Risk Factors” and elsewhere in the Company’s Annual Report on Form 10-K for the fiscal year ended February 2, 2019 and in Part II, “Item 1A. Risk Factors” and elsewhere in the Company’s Quarterly Reports on Form 10-Q and any amendments thereto and in the other documents the Company files with the SEC, including reports on Form 8-K.</w:t>
      </w:r>
    </w:p>
    <w:p>
      <w:pPr>
        <w:spacing w:after="0" w:line="16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a value-priced retailer of urban fashion apparel and accessories for the entire family. Our merchandise offerings are designed to appeal to the fashion preferences of value-conscious consumers, particularly African-Americans. We operated 562 stores in both urban and rural markets in 32 states as of August 3,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Periods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discussion contains references to fiscal years 2019 and 2018, which represent fiscal years ending or ended on February 1, 2020 and February 2, 2019, respectively. Fiscal 2019 and fiscal 2018 both have 52-week accounting periods. This discussion and analysis should be read with the unaudited condensed consolidated financial statements and the notes thereto contained in Part 1, Item 1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The following discussion of the Company’s financial performance is based on the unaudited condensed consolidated financial statements set forth herein. The nature of the Company’s business is seasonal. Historically, sales in the first and fourth quarters have been higher than sales achieved in the second and third quarters of the fiscal year. Expenses and, to a greater extent, operating income, vary by quarter.</w:t>
      </w:r>
    </w:p>
    <w:p>
      <w:pPr>
        <w:ind w:right="40"/>
        <w:spacing w:after="0" w:line="261" w:lineRule="auto"/>
        <w:rPr>
          <w:sz w:val="20"/>
          <w:szCs w:val="20"/>
          <w:color w:val="auto"/>
        </w:rPr>
      </w:pPr>
      <w:r>
        <w:rPr>
          <w:rFonts w:ascii="Arial" w:cs="Arial" w:eastAsia="Arial" w:hAnsi="Arial"/>
          <w:sz w:val="18"/>
          <w:szCs w:val="18"/>
          <w:color w:val="auto"/>
        </w:rPr>
        <w:t>Results of a period shorter than a full year may not be indicative of results expected for the entire year. Furthermore, the seasonal nature of the Company’s business may affect comparisons between periods.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14" w:name="page15"/>
    <w:bookmarkEnd w:id="14"/>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Statistics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measure performance using key operating statistics. One of the main performance measures we use is comparable store sales growth. We define a comparable store as a store that has been opened for an entire fiscal year. Therefore, a store will not be considered a comparable store until its 13th month of operation at the earliest or until its 24th month at the latest. As an example, stores opened in fiscal 2018 and fiscal 2019 are not considered comparable stores in fiscal 2019. Relocated and expanded stores are included in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w:t>
      </w:r>
    </w:p>
    <w:p>
      <w:pPr>
        <w:spacing w:after="0" w:line="16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expenses against budgeted amounts. All of the statistics discussed above are critical components of earnings before interest, taxes, depreciation and amortization (“EBITDA”) and Adjusted EBITDA (comprised of EBITDA, as adjusted for non-cash asset impairment expense and expenses related to our proxy contest), which are considered our most important operating statistics. We believe that excluding non-cash impairment expense and proxy contest expenses from our financial results reflects operating results that are more indicative of our ongoing operating performance while improving comparability to prior and future periods, and as such, provides an enhanced understanding of our past financial performance and prospects for the future.</w:t>
      </w:r>
    </w:p>
    <w:p>
      <w:pPr>
        <w:spacing w:after="0" w:line="166"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Although non-GAAP measures such as EBITDA and Adjusted EBITDA provide useful information on an operating cash flow basis, they are limited measures in that they exclude the impact of cash requirements for capital expenditures, income taxes and interest</w:t>
      </w:r>
    </w:p>
    <w:p>
      <w:pPr>
        <w:ind w:right="260"/>
        <w:spacing w:after="0" w:line="277" w:lineRule="auto"/>
        <w:rPr>
          <w:sz w:val="20"/>
          <w:szCs w:val="20"/>
          <w:color w:val="auto"/>
        </w:rPr>
      </w:pPr>
      <w:r>
        <w:rPr>
          <w:rFonts w:ascii="Arial" w:cs="Arial" w:eastAsia="Arial" w:hAnsi="Arial"/>
          <w:sz w:val="17"/>
          <w:szCs w:val="17"/>
          <w:color w:val="auto"/>
        </w:rPr>
        <w:t>expense. Therefore, EBITDA and Adjusted EBITDA should be used as supplements to results of operations and cash flows as reported under U.S. GAAP and should not be used as a singular measure of operating performance or as a substitute for U.S. GAAP results. Furthermore, such non-GAAP measures may not be comparable to similarly titled measures of other companies.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Provided below is a reconciliation of net income to EBITDA and to Adjusted EBITDA for the twenty-six and thirteen week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3, 2019 and August 4, 2018 (in thousands):</w:t>
      </w: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6"/>
          </w:tcPr>
          <w:p>
            <w:pPr>
              <w:ind w:left="60"/>
              <w:spacing w:after="0"/>
              <w:rPr>
                <w:sz w:val="20"/>
                <w:szCs w:val="20"/>
                <w:color w:val="auto"/>
              </w:rPr>
            </w:pPr>
            <w:r>
              <w:rPr>
                <w:rFonts w:ascii="Arial" w:cs="Arial" w:eastAsia="Arial" w:hAnsi="Arial"/>
                <w:sz w:val="14"/>
                <w:szCs w:val="14"/>
                <w:b w:val="1"/>
                <w:bCs w:val="1"/>
                <w:color w:val="auto"/>
              </w:rPr>
              <w:t>Twenty-Six Weeks Ended</w:t>
            </w:r>
          </w:p>
        </w:tc>
        <w:tc>
          <w:tcPr>
            <w:tcW w:w="200" w:type="dxa"/>
            <w:vAlign w:val="bottom"/>
          </w:tcPr>
          <w:p>
            <w:pPr>
              <w:spacing w:after="0"/>
              <w:rPr>
                <w:sz w:val="14"/>
                <w:szCs w:val="14"/>
                <w:color w:val="auto"/>
              </w:rPr>
            </w:pPr>
          </w:p>
        </w:tc>
        <w:tc>
          <w:tcPr>
            <w:tcW w:w="18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Thirteen Weeks Ended</w:t>
            </w:r>
          </w:p>
        </w:tc>
      </w:tr>
      <w:tr>
        <w:trPr>
          <w:trHeight w:val="142"/>
        </w:trPr>
        <w:tc>
          <w:tcPr>
            <w:tcW w:w="3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9"/>
              </w:rPr>
              <w:t>August 3, 2019</w:t>
            </w: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August 4, 2018</w:t>
            </w:r>
          </w:p>
        </w:tc>
        <w:tc>
          <w:tcPr>
            <w:tcW w:w="140" w:type="dxa"/>
            <w:vAlign w:val="bottom"/>
          </w:tcPr>
          <w:p>
            <w:pPr>
              <w:spacing w:after="0"/>
              <w:rPr>
                <w:sz w:val="12"/>
                <w:szCs w:val="12"/>
                <w:color w:val="auto"/>
              </w:rPr>
            </w:pPr>
          </w:p>
        </w:tc>
        <w:tc>
          <w:tcPr>
            <w:tcW w:w="10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August 3, 2019</w:t>
            </w:r>
          </w:p>
        </w:tc>
        <w:tc>
          <w:tcPr>
            <w:tcW w:w="9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August 4, 2018</w:t>
            </w:r>
          </w:p>
        </w:tc>
        <w:tc>
          <w:tcPr>
            <w:tcW w:w="40" w:type="dxa"/>
            <w:vAlign w:val="bottom"/>
          </w:tcPr>
          <w:p>
            <w:pPr>
              <w:spacing w:after="0"/>
              <w:rPr>
                <w:sz w:val="12"/>
                <w:szCs w:val="12"/>
                <w:color w:val="auto"/>
              </w:rPr>
            </w:pPr>
          </w:p>
        </w:tc>
      </w:tr>
      <w:tr>
        <w:trPr>
          <w:trHeight w:val="210"/>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4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3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r>
      <w:tr>
        <w:trPr>
          <w:trHeight w:val="230"/>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1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40" w:type="dxa"/>
            <w:vAlign w:val="bottom"/>
            <w:shd w:val="clear" w:color="auto" w:fill="CCEEFF"/>
          </w:tcPr>
          <w:p>
            <w:pPr>
              <w:spacing w:after="0"/>
              <w:rPr>
                <w:sz w:val="19"/>
                <w:szCs w:val="19"/>
                <w:color w:val="auto"/>
              </w:rPr>
            </w:pPr>
          </w:p>
        </w:tc>
      </w:tr>
      <w:tr>
        <w:trPr>
          <w:trHeight w:val="230"/>
        </w:trPr>
        <w:tc>
          <w:tcPr>
            <w:tcW w:w="33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9,650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4,607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4,676</w:t>
            </w:r>
          </w:p>
        </w:tc>
        <w:tc>
          <w:tcPr>
            <w:tcW w:w="40" w:type="dxa"/>
            <w:vAlign w:val="bottom"/>
          </w:tcPr>
          <w:p>
            <w:pPr>
              <w:spacing w:after="0"/>
              <w:rPr>
                <w:sz w:val="19"/>
                <w:szCs w:val="19"/>
                <w:color w:val="auto"/>
              </w:rPr>
            </w:pPr>
          </w:p>
        </w:tc>
      </w:tr>
      <w:tr>
        <w:trPr>
          <w:trHeight w:val="216"/>
        </w:trPr>
        <w:tc>
          <w:tcPr>
            <w:tcW w:w="3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Less: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w:t>
            </w: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EBITDA</w:t>
            </w:r>
          </w:p>
        </w:tc>
        <w:tc>
          <w:tcPr>
            <w:tcW w:w="1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18,104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26,988</w:t>
            </w: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8,374</w:t>
            </w:r>
          </w:p>
        </w:tc>
        <w:tc>
          <w:tcPr>
            <w:tcW w:w="40" w:type="dxa"/>
            <w:vAlign w:val="bottom"/>
          </w:tcPr>
          <w:p>
            <w:pPr>
              <w:spacing w:after="0"/>
              <w:rPr>
                <w:sz w:val="19"/>
                <w:szCs w:val="19"/>
                <w:color w:val="auto"/>
              </w:rPr>
            </w:pPr>
          </w:p>
        </w:tc>
      </w:tr>
      <w:tr>
        <w:trPr>
          <w:trHeight w:val="216"/>
        </w:trPr>
        <w:tc>
          <w:tcPr>
            <w:tcW w:w="3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Plus: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impairment</w:t>
            </w:r>
          </w:p>
        </w:tc>
        <w:tc>
          <w:tcPr>
            <w:tcW w:w="1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40" w:type="dxa"/>
            <w:vAlign w:val="bottom"/>
            <w:shd w:val="clear" w:color="auto" w:fill="CCEEFF"/>
          </w:tcPr>
          <w:p>
            <w:pPr>
              <w:spacing w:after="0"/>
              <w:rPr>
                <w:sz w:val="19"/>
                <w:szCs w:val="19"/>
                <w:color w:val="auto"/>
              </w:rPr>
            </w:pPr>
          </w:p>
        </w:tc>
      </w:tr>
      <w:tr>
        <w:trPr>
          <w:trHeight w:val="216"/>
        </w:trPr>
        <w:tc>
          <w:tcPr>
            <w:tcW w:w="3360" w:type="dxa"/>
            <w:vAlign w:val="bottom"/>
          </w:tcPr>
          <w:p>
            <w:pPr>
              <w:ind w:left="220"/>
              <w:spacing w:after="0"/>
              <w:rPr>
                <w:sz w:val="20"/>
                <w:szCs w:val="20"/>
                <w:color w:val="auto"/>
              </w:rPr>
            </w:pPr>
            <w:r>
              <w:rPr>
                <w:rFonts w:ascii="Arial" w:cs="Arial" w:eastAsia="Arial" w:hAnsi="Arial"/>
                <w:sz w:val="18"/>
                <w:szCs w:val="18"/>
                <w:color w:val="auto"/>
              </w:rPr>
              <w:t>Proxy contest expenses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15" w:name="page16"/>
    <w:bookmarkEnd w:id="15"/>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Twenty-Six Weeks Ended August 3, 2019 and August 4, 2018</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decreased $5.1 million, or 1.3%, to $387.9 million in the twenty-six weeks ended August 3, 2019 from $393.0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twenty-six weeks ended August 4, 2018. The decrease in sales was due to a 2.9% decrease in comparable store sales and the impact of closing eight stores since the second quarter of last year, partially offset by the opening of 16 new stores since the second quarter of last year. The decrease in comparable store sales was reflected in a decrease in customer transactions of more than 3%, while both the average number of items per transaction and the average unit sale remained virtually unchanged. Comparable store sales changes by major merchandise class were as follows in the first twenty-six weeks of fiscal 2019: Home +5%; Accessories +3%; Men’s -5%; Ladies’ -7%; and Children’s -8%.</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2.9% decrease in comparable store sales totaled $11.3 million, while store opening and closing activity resulted in a net sales increase of $6.2 million.</w:t>
      </w:r>
    </w:p>
    <w:p>
      <w:pPr>
        <w:spacing w:after="0" w:line="10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Cost of Sales (exclusive of depreciation). </w:t>
      </w:r>
      <w:r>
        <w:rPr>
          <w:rFonts w:ascii="Arial" w:cs="Arial" w:eastAsia="Arial" w:hAnsi="Arial"/>
          <w:sz w:val="17"/>
          <w:szCs w:val="17"/>
          <w:color w:val="auto"/>
        </w:rPr>
        <w:t>Cost of sales (exclusive of depreciation) increased $3.1 million, or 1.3%, to $242.9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twenty-six weeks ended August 3, 2019 from $239.8 million in the twenty-six weeks ended August 4, 2018. Cost of sales as a percentage of sales increased to 62.6% in the twenty-six weeks ended August 3, 2019 from 61.0% in the twenty-six weeks ended August 4, 2018 due primarily to a 130 basis points increase in merchandise markdowns in response to the challenging sales environment. In addition, freight costs increased 30 basis points as a result of continued pressures in the trucking industry.</w:t>
      </w:r>
    </w:p>
    <w:p>
      <w:pPr>
        <w:spacing w:after="0" w:line="105"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$1.1 million, or 0.9%, to $126.4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twenty-six weeks ended August 3, 2019 from $125.3 million in the twenty-six weeks ended August 4, 2018 due primarily to $1.0 million of expenses incurred in connection with a proxy contest, together with the impact on expenses of opening 16 new stores since the second quarter of last year and normal inflationary pressure on expenses such as rent and payroll. These increases were partially offset by a $2.0 million decrease in incentive compensation expense resulting from less favorable earnings results in relation to target, as well as a $1.2 million gain on insurance claims received in fiscal 2019. As a percentage of sales, selling, general and administrative expenses increased to 32.6% in the first twenty-six weeks of fiscal 2019 from 31.9% in the first twenty-six weeks of fiscal 2018 due primarily to the deleveraging effect resulting from declining comparable store sales.</w:t>
      </w:r>
    </w:p>
    <w:p>
      <w:pPr>
        <w:spacing w:after="0" w:line="1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expense decreased $0.5 million, or 4.4%, to $9.2 million in the first twenty-six weeks of fiscal 2019 from $9.7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first twenty-six weeks of fiscal 2018.</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Asset Impairment. </w:t>
      </w:r>
      <w:r>
        <w:rPr>
          <w:rFonts w:ascii="Arial" w:cs="Arial" w:eastAsia="Arial" w:hAnsi="Arial"/>
          <w:sz w:val="18"/>
          <w:szCs w:val="18"/>
          <w:color w:val="auto"/>
        </w:rPr>
        <w:t>Impairment charges related to an underperforming store totaled $0.5 million in the first twenty-six weeks of fiscal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comprised of $0.3 million for leasehold improvements and fixtures and equipment, and $0.2 million for an operating lease right-of-use asset. In the first twenty-six weeks of fiscal 2018, impairment charges related to underperforming stores totaled $0.9 million, comprised entirely of leasehold improvements and fixtures and equipment.</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decreased $2.0 million, or 57.7%, to $1.4 million in the first twenty-six weeks of fiscal 2019</w:t>
      </w:r>
      <w:r>
        <w:rPr>
          <w:rFonts w:ascii="Arial" w:cs="Arial" w:eastAsia="Arial" w:hAnsi="Arial"/>
          <w:sz w:val="18"/>
          <w:szCs w:val="18"/>
          <w:i w:val="1"/>
          <w:iCs w:val="1"/>
          <w:color w:val="auto"/>
        </w:rPr>
        <w:t xml:space="preserve"> </w:t>
      </w:r>
      <w:r>
        <w:rPr>
          <w:rFonts w:ascii="Arial" w:cs="Arial" w:eastAsia="Arial" w:hAnsi="Arial"/>
          <w:sz w:val="18"/>
          <w:szCs w:val="18"/>
          <w:color w:val="auto"/>
        </w:rPr>
        <w:t>from $3.4 million in the first twenty-six weeks of fiscal 2018 due to a decrease in pretax income and a decrease in the effective income tax rate from 18.9% to 14.9%.</w:t>
      </w:r>
    </w:p>
    <w:p>
      <w:pPr>
        <w:spacing w:after="0" w:line="1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$6.3 million, or 43.8%, to $8.2 million in the first twenty-six weeks of fiscal 2019 from $14.5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twenty-six weeks of fiscal 2018 due to the factors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Thirteen Weeks Ended August 3, 2019 and August 4, 2018</w:t>
      </w:r>
    </w:p>
    <w:p>
      <w:pPr>
        <w:spacing w:after="0" w:line="24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$0.8 million, or 0.5%, to $182.8 million in the thirteen weeks ended August 3, 2019 from $182.0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thirteen weeks ended August 4, 2018. The increase in sales was due to the opening of 16 stores since the second quarter of last year, partially offset by a 1.2% decrease in comparable store sales and the impact of closing eight stores since the second quarter of last</w:t>
      </w:r>
    </w:p>
    <w:p>
      <w:pPr>
        <w:ind w:right="40"/>
        <w:spacing w:after="0" w:line="281" w:lineRule="auto"/>
        <w:rPr>
          <w:sz w:val="20"/>
          <w:szCs w:val="20"/>
          <w:color w:val="auto"/>
        </w:rPr>
      </w:pPr>
      <w:r>
        <w:rPr>
          <w:rFonts w:ascii="Arial" w:cs="Arial" w:eastAsia="Arial" w:hAnsi="Arial"/>
          <w:sz w:val="16"/>
          <w:szCs w:val="16"/>
          <w:color w:val="auto"/>
        </w:rPr>
        <w:t>year. The decrease in comparable store sales was reflected in a 1.5% decrease in the average unit sale, along with a decrease in the number of customer transactions of more than 1%, partially offset by an increase in the average number of items per transaction of nearly</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2%. Comparable store sales changes by major merchandise class were as follows in the second quarter of 2019: Home +5%; Accessories +4%; Ladies’ -2%; Men’s -5%; and Children’s -6%.</w:t>
      </w:r>
    </w:p>
    <w:p>
      <w:pPr>
        <w:spacing w:after="0" w:line="18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Store opening and closing activity resulted in a net increase of $2.9 million in sales, and the 1.2% decrease in comparable store sales totaled $2.1 million.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6" w:name="page17"/>
    <w:bookmarkEnd w:id="16"/>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Cost of sales (exclusive of depreciation). </w:t>
      </w:r>
      <w:r>
        <w:rPr>
          <w:rFonts w:ascii="Arial" w:cs="Arial" w:eastAsia="Arial" w:hAnsi="Arial"/>
          <w:sz w:val="18"/>
          <w:szCs w:val="18"/>
          <w:color w:val="auto"/>
        </w:rPr>
        <w:t>Cost of sales (exclusive of depreciation) increased $4.2 million, or 3.8%, to $114.6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2019 from $110.4 million in last year’s second quarter. Cost of sales as a percentage of sales increased to 62.7% in the second quarter of 2019 from 60.7% in the second quarter of 2018 due primarily to a 180 basis points increase in markdowns in response to the challenging sales environment. In addition, freight costs increased 40 basis points as a result of continued pressures on the trucking industry.</w:t>
      </w:r>
    </w:p>
    <w:p>
      <w:pPr>
        <w:spacing w:after="0" w:line="18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$0.7 million, or 1.1%, to $63.0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second quarter of 2019 from $62.3 million in last year’s second quarter due primarily to the impact on expenses of opening 16 new stores since the second quarter of last year, together with normal inflationary pressure on expenses such as rent and payroll, partially offset by a $1.2 million gain on insurance claims received in the second quarter of 2019 and a $1.0 million decrease in incentive compensation expense resulting from less favorable earnings results in relation to target. As a percentage of sales, selling, general and administrative expenses increased to 34.5% in the second quarter of 2019 from 34.2% in the second quarter of 2018 due primarily to the deleveraging effect resulting from declining comparable store sales.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expense decreased $0.1 million, or 1.5%, to $4.6 million in the second quarter of 2019 from $4.7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2018.</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Asset Impairment. </w:t>
      </w:r>
      <w:r>
        <w:rPr>
          <w:rFonts w:ascii="Arial" w:cs="Arial" w:eastAsia="Arial" w:hAnsi="Arial"/>
          <w:sz w:val="18"/>
          <w:szCs w:val="18"/>
          <w:color w:val="auto"/>
        </w:rPr>
        <w:t>Impairment charges related to an underperforming store totaled $0.5 million in the second quarter of 2019, comprised of</w:t>
      </w:r>
      <w:r>
        <w:rPr>
          <w:rFonts w:ascii="Arial" w:cs="Arial" w:eastAsia="Arial" w:hAnsi="Arial"/>
          <w:sz w:val="18"/>
          <w:szCs w:val="18"/>
          <w:i w:val="1"/>
          <w:iCs w:val="1"/>
          <w:color w:val="auto"/>
        </w:rPr>
        <w:t xml:space="preserve"> </w:t>
      </w:r>
      <w:r>
        <w:rPr>
          <w:rFonts w:ascii="Arial" w:cs="Arial" w:eastAsia="Arial" w:hAnsi="Arial"/>
          <w:sz w:val="18"/>
          <w:szCs w:val="18"/>
          <w:color w:val="auto"/>
        </w:rPr>
        <w:t>$0.3 million for leasehold improvements and fixtures and equipment, and $0.2 million for an operating lease right-of-use asset. In the second quarter of 2018, impairment charges related to underperforming stores totaled $0.9 million, comprised entirely of leasehold improvements and fixtures and equipment.</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decreased $0.7 million, or 81.3%, to $0.1 million in the second quarter of 2019 from $0.8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second quarter of 2018 due to a decrease in pretax income.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to $0.4 million in the second quarter of 2019 from $3.2 million in the second quarter of 2018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cash requirements are primarily for working capital and capital expenditures for new and existing stores, distribution infrastructure and information systems. In addition, in November 2018, we initiated a share repurchase program of up to $25.0 million and, in the first twenty-six weeks of fiscal 2019, repurchased shares of our common stock at an aggregate cost of $4.5 million. In addition, during the first twenty-six weeks of fiscal 2019, we paid dividends of $1.9 million. In recent years, we have met these cash requirements using cash flow from operations and short-term trade credit. We expect to be able to meet future cash requirements with cash flow from operations, short-term trade credit, existing balances of cash and investment securities and, if necessary, borrowings under our revolving credit facility described in Note 7 to the condensed consolidated financial statements included in Part I, Item 1 of this report.</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Current Financial Condition. </w:t>
      </w:r>
      <w:r>
        <w:rPr>
          <w:rFonts w:ascii="Arial" w:cs="Arial" w:eastAsia="Arial" w:hAnsi="Arial"/>
          <w:sz w:val="17"/>
          <w:szCs w:val="17"/>
          <w:color w:val="auto"/>
        </w:rPr>
        <w:t>As of August 3, 2019, we had total cash and cash equivalents of $27.4 million compared to $17.9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of February 2, 2019. Additionally, we had $37.8 million and $17.0 million of short-term and long-term investment securities, respectively, as of August 3, 2019, compared with $50.4 million and $8.9 million, respectively, as of February 2, 2019. These securities are comprised of bank certificates of deposit and obligations of the U.S. Treasury, states and municipalities. Inventory represented 29.5% of our total assets as of August 3, 2019, compared to 46.9% as of February 2, 2019. Management’s ability to manage our inventory can have a significant impact on our cash flows from operations during a given interim period or fiscal year. In addition, inventory purchases can be seasonal in nature, such as the purchase of warm-weather or Christmas-related merchandise.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Operating Activities</w:t>
      </w:r>
      <w:r>
        <w:rPr>
          <w:rFonts w:ascii="Arial" w:cs="Arial" w:eastAsia="Arial" w:hAnsi="Arial"/>
          <w:sz w:val="17"/>
          <w:szCs w:val="17"/>
          <w:color w:val="auto"/>
        </w:rPr>
        <w:t>. Net cash provided by operating activities was $20.1 million in the twenty-six weeks ended</w:t>
      </w:r>
    </w:p>
    <w:p>
      <w:pPr>
        <w:spacing w:after="0" w:line="3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August 3, 2019 compared to $14.3 million in the twenty-six weeks ended August 4, 2018. Sources of cash provided during the first half of 2019 included net income adjusted for noncash expenses such as depreciation, amortization of operating lease right of use assets, asset impairment, loss on disposal of property and equipment, insurance proceeds from operating activities, deferred income taxes and stock-based compensation expense, totaling $43.1 million (compared to $26.2 million in the first half of 2018). Other significant sources of cash in the first half of 2019 included (1) a $7.4 million decrease in inventory (compared with a $1.3 million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7" w:name="page18"/>
    <w:bookmarkEnd w:id="17"/>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increase in the first half of 2018) due to efforts to improve inventory turns and maintain as much inventory liquidity as possible in order to take advantage of opportunistic deals and trend changes; and (2) a $1.1 million increase in layaway deposits (compared to a $1.2 million increase in the first half of 2018) because layaways are higher at the end of the second quarter when they include merchandise put on layaway in advance of the back-to-school season than at the end of the fourth quarter after merchandise put on layaway for Christmas has been picked up.</w:t>
      </w:r>
    </w:p>
    <w:p>
      <w:pPr>
        <w:spacing w:after="0" w:line="188"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Significant uses of cash from operating activities in the first half of 2019 were (1) a $22.6 million decrease in accrued expenses and other long-term liabilities (compared to a $0.2 million increase in the first half of 2018) due primarily to payments of operating lease liabilities recorded due to the adoption of ASU 2016-02; (2) a $2.8 million increase in prepaid and other current assets (compared to a $2.3 million increase in the first half of 2018) due primarily to an increase in charge card receivables attributable to a greater percentage of customers paying with charge cards; (3) a $2.5 million change in the income tax payable/receivable (compared to a $1.6 million change in the first half of 2018) due to estimated tax payments made during the year; (4) a $2.2 million decrease in accounts payable (compared to a $3.9 million decrease in the first half of 2018) due to the decrease in inventory discussed above; and (5) a $1.5 million decrease in accrued compensation (compared to a $4.2 million increase in the first half of 2018) due to the payment in the first half of 2019 of incentive compensation accrued in fiscal 2018.</w:t>
      </w:r>
    </w:p>
    <w:p>
      <w:pPr>
        <w:spacing w:after="0" w:line="182"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Cash used in investing activities was $3.3 million in the twenty-six weeks ended August 3, 2019</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cash provided of $2.4 million in the twenty-six weeks ended August 4, 2018. Cash used for purchases of property and equipment totaled $8.4 million and $5.7 million in the first half of 2019 and 2018, respectively. Sales/redemptions of investment securities, net of purchases, provided cash of $4.5 million and $7.9 million in the first half of 2019 and 2018, respectively.</w:t>
      </w:r>
    </w:p>
    <w:p>
      <w:pPr>
        <w:spacing w:after="0" w:line="15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Cash used in financing activities was $7.2 million in the twenty-six weeks ended August 3,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$24.1 million in the twenty-six weeks ended August 4, 2018. Cash used for the repurchase of common stock totaled $4.5 million and $21.0 million in the first half of 2019 and 2018, respectively. Dividends paid to stockholders used cash of $1.9 million and $2.2 million in the first half of 2019 and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2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Our principal sources of liquidity consist of: (i) cash and cash equivalents (which equaled $27.4 million as of August 3, 2019); (ii) short-term and long-term investment securities (which equaled $37.8 million and $17.0 million, respectively, as of August 3, 2019); (iii) short-term trade credit; (iv) cash generated from operations on an ongoing basis as we sell our merchandise inventory; and (v) a $50.0 million revolving credit facility (under which we have no borrowings outstanding). Trade credit represents a significant source of financing for inventory purchases and arises from customary payment terms and trade practices with our vendors. Historically, our principal liquidity requirements have been for working capital and capital expenditure needs.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that our existing sources of liquidity will be sufficient to fund our operations and anticipated capital expenditures for at least the next 12 months.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18" w:name="page19"/>
    <w:bookmarkEnd w:id="18"/>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See the discussion of Recent Accounting Pronouncements in Note 12 to the unaudited condensed consolidated financial statements included in Part I, Item 1 of this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1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February 3, 2019, we adopted ASU No. 2016-02, Leases (Topic 842). For additional information, see Note 14 to the unaudited condensed consolidated financial statements included in Part 1, Item 1 of this report.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have been no other material changes to the Critical Accounting Policies outlined in the Company’s Annual Report on Form 10-K for the year ended February 2,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changes in our market risk during the twenty-six weeks ended August 3, 2019 compared to the disclosures in Part II, Item 7A of our Annual Report on Form 10-K for the year ended February 2,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have carried out an evaluation under the supervision and with the participation of management, including the Chief Executive Officer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the Chief Financial Officer, of the effectiveness of the design and operation of our disclosure controls and procedures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August 3, 2019 pursuant to Rules 13a-15 and 15d-15 of the Exchange Act. Based on that evaluation, the Chief Executive Officer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concluded that our disclosure controls and procedures are effective to provide reasonable assurance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required to be disclosed by us in reports that we file or submit under the Exchange Act is recorded, processed, summarized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reported within the time periods specified in the SEC’s rules and forms, and that such information has been accumulated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communicated to our management, including the officers who certify our financial reports, as appropriate, to allow timely decisions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regarding the required disclosures.</w:t>
      </w:r>
    </w:p>
    <w:p>
      <w:pPr>
        <w:spacing w:after="0" w:line="21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the twenty-six weeks ended August 3, 2019, we implemented ASU No. 2016-02, Leases (Topic 842). In connection with its adoption, we implemented changes to our accounting policies, operational processes and internal controls to ensure compliance with the new standard.</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There were no other changes in our internal control over financial reporting that occurred during the fiscal quarter ended August 3, 2019 that have materially affected, or are reasonably likely to materially affect, our internal control over financial reporting.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19" w:name="page20"/>
    <w:bookmarkEnd w:id="19"/>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1" w:right="20"/>
        <w:spacing w:after="0" w:line="276" w:lineRule="auto"/>
        <w:rPr>
          <w:sz w:val="20"/>
          <w:szCs w:val="20"/>
          <w:color w:val="auto"/>
        </w:rPr>
      </w:pPr>
      <w:r>
        <w:rPr>
          <w:rFonts w:ascii="Arial" w:cs="Arial" w:eastAsia="Arial" w:hAnsi="Arial"/>
          <w:sz w:val="17"/>
          <w:szCs w:val="17"/>
          <w:color w:val="auto"/>
        </w:rPr>
        <w:t>We are from time to time involved in various legal proceedings incidental to the conduct of our business, including claims by customers,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1"/>
        <w:spacing w:after="0" w:line="277" w:lineRule="auto"/>
        <w:rPr>
          <w:sz w:val="20"/>
          <w:szCs w:val="20"/>
          <w:color w:val="auto"/>
        </w:rPr>
      </w:pPr>
      <w:r>
        <w:rPr>
          <w:rFonts w:ascii="Arial" w:cs="Arial" w:eastAsia="Arial" w:hAnsi="Arial"/>
          <w:sz w:val="18"/>
          <w:szCs w:val="18"/>
          <w:color w:val="auto"/>
        </w:rPr>
        <w:t>There have been no material changes to the Risk Factors described under the section titled “ITEM 1A. RISK FACTORS” in the Company’s Annual Report on Form 10-K for the fiscal year ended February 2, 2019.</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Information on Share Repurchases</w:t>
      </w:r>
    </w:p>
    <w:p>
      <w:pPr>
        <w:spacing w:after="0" w:line="225" w:lineRule="exact"/>
        <w:rPr>
          <w:sz w:val="20"/>
          <w:szCs w:val="20"/>
          <w:color w:val="auto"/>
        </w:rPr>
      </w:pPr>
    </w:p>
    <w:p>
      <w:pPr>
        <w:ind w:left="1" w:right="200"/>
        <w:spacing w:after="0" w:line="277" w:lineRule="auto"/>
        <w:rPr>
          <w:sz w:val="20"/>
          <w:szCs w:val="20"/>
          <w:color w:val="auto"/>
        </w:rPr>
      </w:pPr>
      <w:r>
        <w:rPr>
          <w:rFonts w:ascii="Arial" w:cs="Arial" w:eastAsia="Arial" w:hAnsi="Arial"/>
          <w:sz w:val="18"/>
          <w:szCs w:val="18"/>
          <w:color w:val="auto"/>
        </w:rPr>
        <w:t>The number of shares of common stock repurchased by the Company during the second quarter of fiscal 2019 and the average price paid per share are as follows:</w:t>
      </w:r>
    </w:p>
    <w:p>
      <w:pPr>
        <w:spacing w:after="0" w:line="16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9"/>
              </w:rPr>
              <w:t>approximate dollar value)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Total number of</w:t>
            </w:r>
          </w:p>
        </w:tc>
        <w:tc>
          <w:tcPr>
            <w:tcW w:w="160" w:type="dxa"/>
            <w:vAlign w:val="bottom"/>
          </w:tcPr>
          <w:p>
            <w:pPr>
              <w:spacing w:after="0"/>
              <w:rPr>
                <w:sz w:val="12"/>
                <w:szCs w:val="12"/>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price paid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40" w:type="dxa"/>
            <w:vAlign w:val="bottom"/>
          </w:tcPr>
          <w:p>
            <w:pPr>
              <w:spacing w:after="0"/>
              <w:rPr>
                <w:sz w:val="12"/>
                <w:szCs w:val="12"/>
                <w:color w:val="auto"/>
              </w:rPr>
            </w:pPr>
          </w:p>
        </w:tc>
        <w:tc>
          <w:tcPr>
            <w:tcW w:w="17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 shares that may yet be</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publicly announced</w:t>
            </w:r>
          </w:p>
        </w:tc>
        <w:tc>
          <w:tcPr>
            <w:tcW w:w="140" w:type="dxa"/>
            <w:vAlign w:val="bottom"/>
          </w:tcPr>
          <w:p>
            <w:pPr>
              <w:spacing w:after="0"/>
              <w:rPr>
                <w:sz w:val="12"/>
                <w:szCs w:val="12"/>
                <w:color w:val="auto"/>
              </w:rPr>
            </w:pPr>
          </w:p>
        </w:tc>
        <w:tc>
          <w:tcPr>
            <w:tcW w:w="17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4"/>
              </w:rPr>
              <w:t>purchased under the plans</w:t>
            </w:r>
          </w:p>
        </w:tc>
        <w:tc>
          <w:tcPr>
            <w:tcW w:w="0" w:type="dxa"/>
            <w:vAlign w:val="bottom"/>
          </w:tcPr>
          <w:p>
            <w:pPr>
              <w:spacing w:after="0"/>
              <w:rPr>
                <w:sz w:val="1"/>
                <w:szCs w:val="1"/>
                <w:color w:val="auto"/>
              </w:rPr>
            </w:pPr>
          </w:p>
        </w:tc>
      </w:tr>
      <w:tr>
        <w:trPr>
          <w:trHeight w:val="171"/>
        </w:trPr>
        <w:tc>
          <w:tcPr>
            <w:tcW w:w="4020" w:type="dxa"/>
            <w:vAlign w:val="bottom"/>
            <w:gridSpan w:val="2"/>
            <w:vMerge w:val="continue"/>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per share (1)</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 (2)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or programs (2)</w:t>
            </w:r>
          </w:p>
        </w:tc>
        <w:tc>
          <w:tcPr>
            <w:tcW w:w="0" w:type="dxa"/>
            <w:vAlign w:val="bottom"/>
          </w:tcPr>
          <w:p>
            <w:pPr>
              <w:spacing w:after="0"/>
              <w:rPr>
                <w:sz w:val="1"/>
                <w:szCs w:val="1"/>
                <w:color w:val="auto"/>
              </w:rPr>
            </w:pPr>
          </w:p>
        </w:tc>
      </w:tr>
      <w:tr>
        <w:trPr>
          <w:trHeight w:val="210"/>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(5/5/19 - 6/1/19)</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7,632,445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June (6/2/19 - 7/6/19)</w:t>
            </w:r>
          </w:p>
        </w:tc>
        <w:tc>
          <w:tcPr>
            <w:tcW w:w="1100" w:type="dxa"/>
            <w:vAlign w:val="bottom"/>
          </w:tcPr>
          <w:p>
            <w:pPr>
              <w:jc w:val="right"/>
              <w:spacing w:after="0"/>
              <w:rPr>
                <w:sz w:val="20"/>
                <w:szCs w:val="20"/>
                <w:color w:val="auto"/>
              </w:rPr>
            </w:pPr>
            <w:r>
              <w:rPr>
                <w:rFonts w:ascii="Arial" w:cs="Arial" w:eastAsia="Arial" w:hAnsi="Arial"/>
                <w:sz w:val="18"/>
                <w:szCs w:val="18"/>
                <w:color w:val="auto"/>
              </w:rPr>
              <w:t>95,466</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14.78</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95,466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6,224,644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(7/7/19 - 8/3/19)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4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5,113,828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1" w:hanging="201"/>
        <w:spacing w:after="0"/>
        <w:tabs>
          <w:tab w:leader="none" w:pos="201"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commissions for the shares repurchased under the stock repurchase program</w:t>
      </w:r>
      <w:r>
        <w:rPr>
          <w:rFonts w:ascii="Arial" w:cs="Arial" w:eastAsia="Arial" w:hAnsi="Arial"/>
          <w:sz w:val="18"/>
          <w:szCs w:val="18"/>
          <w:color w:val="auto"/>
        </w:rPr>
        <w:t>.</w:t>
      </w:r>
    </w:p>
    <w:p>
      <w:pPr>
        <w:spacing w:after="0" w:line="16" w:lineRule="exact"/>
        <w:rPr>
          <w:rFonts w:ascii="Arial" w:cs="Arial" w:eastAsia="Arial" w:hAnsi="Arial"/>
          <w:sz w:val="14"/>
          <w:szCs w:val="14"/>
          <w:color w:val="auto"/>
        </w:rPr>
      </w:pPr>
    </w:p>
    <w:p>
      <w:pPr>
        <w:ind w:left="1" w:right="140" w:hanging="1"/>
        <w:spacing w:after="0" w:line="255" w:lineRule="auto"/>
        <w:tabs>
          <w:tab w:leader="none" w:pos="205"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November 28, 2018 the Company approved a $25.0 million stock repurchase program, under which approximately $5.1 million remains available as of August 3, 2019. Repurchases under the stock repurchase program may be made at management’s discretion from time to time on the open market, in privately negotiated transactions or otherwise, and may be made in part under one or more Rule 10b5-1 plans. The stock repurchase program does not have an expiration date.</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7659"/>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759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41"/>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41"/>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20" w:name="page21"/>
    <w:bookmarkEnd w:id="20"/>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6. Exhibits.</w:t>
      </w:r>
    </w:p>
    <w:p>
      <w:pPr>
        <w:spacing w:after="0" w:line="226"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10.1</w:t>
            </w:r>
          </w:p>
        </w:tc>
        <w:tc>
          <w:tcPr>
            <w:tcW w:w="9080" w:type="dxa"/>
            <w:vAlign w:val="bottom"/>
            <w:gridSpan w:val="6"/>
          </w:tcPr>
          <w:p>
            <w:pPr>
              <w:spacing w:after="0"/>
              <w:rPr>
                <w:rFonts w:ascii="Arial" w:cs="Arial" w:eastAsia="Arial" w:hAnsi="Arial"/>
                <w:sz w:val="18"/>
                <w:szCs w:val="18"/>
                <w:color w:val="0000EE"/>
                <w:w w:val="90"/>
              </w:rPr>
            </w:pPr>
            <w:hyperlink r:id="rId32">
              <w:r>
                <w:rPr>
                  <w:rFonts w:ascii="Arial" w:cs="Arial" w:eastAsia="Arial" w:hAnsi="Arial"/>
                  <w:sz w:val="18"/>
                  <w:szCs w:val="18"/>
                  <w:color w:val="0000EE"/>
                  <w:w w:val="90"/>
                </w:rPr>
                <w:t>Separation Agreement, dated June 11, 2019, between the Company and Bruce D. Smith (incorporated by reference to Exhibit</w:t>
              </w:r>
            </w:hyperlink>
          </w:p>
        </w:tc>
      </w:tr>
      <w:tr>
        <w:trPr>
          <w:trHeight w:val="183"/>
        </w:trPr>
        <w:tc>
          <w:tcPr>
            <w:tcW w:w="940" w:type="dxa"/>
            <w:vAlign w:val="bottom"/>
          </w:tcPr>
          <w:p>
            <w:pPr>
              <w:spacing w:after="0"/>
              <w:rPr>
                <w:sz w:val="15"/>
                <w:szCs w:val="15"/>
                <w:color w:val="auto"/>
              </w:rPr>
            </w:pPr>
          </w:p>
        </w:tc>
        <w:tc>
          <w:tcPr>
            <w:tcW w:w="65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1"/>
              </w:rPr>
            </w:pPr>
            <w:hyperlink r:id="rId32">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Company’s Current Report on Form 8-K filed with the SEC on June 11, 2019).</w:t>
              </w:r>
            </w:hyperlink>
          </w:p>
        </w:tc>
        <w:tc>
          <w:tcPr>
            <w:tcW w:w="2520" w:type="dxa"/>
            <w:vAlign w:val="bottom"/>
            <w:tcBorders>
              <w:top w:val="single" w:sz="8" w:color="0000EE"/>
            </w:tcBorders>
            <w:gridSpan w:val="2"/>
          </w:tcPr>
          <w:p>
            <w:pPr>
              <w:spacing w:after="0"/>
              <w:rPr>
                <w:sz w:val="15"/>
                <w:szCs w:val="15"/>
                <w:color w:val="auto"/>
              </w:rPr>
            </w:pPr>
          </w:p>
        </w:tc>
        <w:tc>
          <w:tcPr>
            <w:tcW w:w="60" w:type="dxa"/>
            <w:vAlign w:val="bottom"/>
          </w:tcPr>
          <w:p>
            <w:pPr>
              <w:spacing w:after="0"/>
              <w:rPr>
                <w:sz w:val="15"/>
                <w:szCs w:val="15"/>
                <w:color w:val="auto"/>
              </w:rPr>
            </w:pPr>
          </w:p>
        </w:tc>
      </w:tr>
      <w:tr>
        <w:trPr>
          <w:trHeight w:val="385"/>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31.1</w:t>
            </w:r>
          </w:p>
        </w:tc>
        <w:tc>
          <w:tcPr>
            <w:tcW w:w="90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Certification of Bruce D. Smith, Chief Executive Officer, Pursuant to Rule 13a-14(a) of the Securities Exchange Act of 1934,</w:t>
              </w:r>
            </w:hyperlink>
          </w:p>
        </w:tc>
      </w:tr>
      <w:tr>
        <w:trPr>
          <w:trHeight w:val="183"/>
        </w:trPr>
        <w:tc>
          <w:tcPr>
            <w:tcW w:w="940" w:type="dxa"/>
            <w:vAlign w:val="bottom"/>
          </w:tcPr>
          <w:p>
            <w:pPr>
              <w:spacing w:after="0"/>
              <w:rPr>
                <w:sz w:val="15"/>
                <w:szCs w:val="15"/>
                <w:color w:val="auto"/>
              </w:rPr>
            </w:pPr>
          </w:p>
        </w:tc>
        <w:tc>
          <w:tcPr>
            <w:tcW w:w="9080" w:type="dxa"/>
            <w:vAlign w:val="bottom"/>
            <w:gridSpan w:val="6"/>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adopted pursuant to Section 302 of the Sarbanes-Oxley Act of 2002.*</w:t>
              </w:r>
            </w:hyperlink>
          </w:p>
        </w:tc>
      </w:tr>
      <w:tr>
        <w:trPr>
          <w:trHeight w:val="20"/>
        </w:trPr>
        <w:tc>
          <w:tcPr>
            <w:tcW w:w="940" w:type="dxa"/>
            <w:vAlign w:val="bottom"/>
          </w:tcPr>
          <w:p>
            <w:pPr>
              <w:spacing w:after="0" w:line="20" w:lineRule="exact"/>
              <w:rPr>
                <w:sz w:val="1"/>
                <w:szCs w:val="1"/>
                <w:color w:val="auto"/>
              </w:rPr>
            </w:pPr>
          </w:p>
        </w:tc>
        <w:tc>
          <w:tcPr>
            <w:tcW w:w="50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31.2</w:t>
            </w:r>
          </w:p>
        </w:tc>
        <w:tc>
          <w:tcPr>
            <w:tcW w:w="9080" w:type="dxa"/>
            <w:vAlign w:val="bottom"/>
            <w:gridSpan w:val="6"/>
          </w:tcPr>
          <w:p>
            <w:pPr>
              <w:spacing w:after="0"/>
              <w:rPr>
                <w:rFonts w:ascii="Arial" w:cs="Arial" w:eastAsia="Arial" w:hAnsi="Arial"/>
                <w:sz w:val="18"/>
                <w:szCs w:val="18"/>
                <w:color w:val="0000EE"/>
                <w:w w:val="96"/>
              </w:rPr>
            </w:pPr>
            <w:hyperlink w:anchor="page24">
              <w:r>
                <w:rPr>
                  <w:rFonts w:ascii="Arial" w:cs="Arial" w:eastAsia="Arial" w:hAnsi="Arial"/>
                  <w:sz w:val="18"/>
                  <w:szCs w:val="18"/>
                  <w:color w:val="0000EE"/>
                  <w:w w:val="96"/>
                </w:rPr>
                <w:t>Certification of Stuart C. Clifford, Chief Financial Officer, Pursuant to Rule 13a-14(a) of the Securities Exchange Act of</w:t>
              </w:r>
            </w:hyperlink>
          </w:p>
        </w:tc>
      </w:tr>
      <w:tr>
        <w:trPr>
          <w:trHeight w:val="183"/>
        </w:trPr>
        <w:tc>
          <w:tcPr>
            <w:tcW w:w="940" w:type="dxa"/>
            <w:vAlign w:val="bottom"/>
          </w:tcPr>
          <w:p>
            <w:pPr>
              <w:spacing w:after="0"/>
              <w:rPr>
                <w:sz w:val="15"/>
                <w:szCs w:val="15"/>
                <w:color w:val="auto"/>
              </w:rPr>
            </w:pPr>
          </w:p>
        </w:tc>
        <w:tc>
          <w:tcPr>
            <w:tcW w:w="54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1934, adopted pursuant to Section 302 of the Sarbanes-Oxley Act of 2002.*</w:t>
              </w:r>
            </w:hyperlink>
          </w:p>
        </w:tc>
        <w:tc>
          <w:tcPr>
            <w:tcW w:w="3260" w:type="dxa"/>
            <w:vAlign w:val="bottom"/>
            <w:tcBorders>
              <w:top w:val="single" w:sz="8" w:color="0000EE"/>
            </w:tcBorders>
            <w:gridSpan w:val="2"/>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85"/>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32.1</w:t>
            </w:r>
          </w:p>
        </w:tc>
        <w:tc>
          <w:tcPr>
            <w:tcW w:w="90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Certifications Pursuant to 18 U.S.C. Section 1350, as adopted pursuant to Section 906 of the Sarbanes-Oxley Act of 2002.* †</w:t>
              </w:r>
            </w:hyperlink>
          </w:p>
        </w:tc>
        <w:tc>
          <w:tcPr>
            <w:tcW w:w="60" w:type="dxa"/>
            <w:vAlign w:val="bottom"/>
          </w:tcPr>
          <w:p>
            <w:pPr>
              <w:spacing w:after="0"/>
              <w:rPr>
                <w:sz w:val="24"/>
                <w:szCs w:val="24"/>
                <w:color w:val="auto"/>
              </w:rPr>
            </w:pPr>
          </w:p>
        </w:tc>
      </w:tr>
    </w:tbl>
    <w:p>
      <w:pPr>
        <w:spacing w:after="0" w:line="175" w:lineRule="exact"/>
        <w:rPr>
          <w:sz w:val="20"/>
          <w:szCs w:val="20"/>
          <w:color w:val="auto"/>
        </w:rPr>
      </w:pPr>
    </w:p>
    <w:p>
      <w:pPr>
        <w:ind w:left="941" w:right="100" w:hanging="937"/>
        <w:spacing w:after="0"/>
        <w:tabs>
          <w:tab w:leader="none" w:pos="941"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following financial information from Citi Trends, Inc.’s Quarterly Report on Form 10-Q for the quarter ended August 3, 2019, formatted in Extensible Business Reporting Language (XBRL): (i) the Condensed Consolidated Balance Sheets as of August 3, 2019 and February 2, 2019, (ii) the Condensed Consolidated Statements of Operations for the twenty-six and thirteen week periods ended August 3, 2019 and August 4, 2018, (iii) the Condensed Consolidated Statements of Cash Flows for the twenty-six week periods ended August 3, 2019 and August 4, 2018, and (iv) Notes to the Condensed Consolidated Financial Statements (unaudited).*</w:t>
      </w:r>
    </w:p>
    <w:p>
      <w:pPr>
        <w:spacing w:after="0" w:line="203" w:lineRule="exact"/>
        <w:rPr>
          <w:rFonts w:ascii="Arial" w:cs="Arial" w:eastAsia="Arial" w:hAnsi="Arial"/>
          <w:sz w:val="18"/>
          <w:szCs w:val="18"/>
          <w:color w:val="auto"/>
        </w:rPr>
      </w:pPr>
    </w:p>
    <w:p>
      <w:pPr>
        <w:ind w:left="1"/>
        <w:spacing w:after="0"/>
        <w:rPr>
          <w:rFonts w:ascii="Arial" w:cs="Arial" w:eastAsia="Arial" w:hAnsi="Arial"/>
          <w:sz w:val="18"/>
          <w:szCs w:val="18"/>
          <w:color w:val="auto"/>
        </w:rPr>
      </w:pPr>
      <w:r>
        <w:rPr>
          <w:rFonts w:ascii="Arial" w:cs="Arial" w:eastAsia="Arial" w:hAnsi="Arial"/>
          <w:sz w:val="18"/>
          <w:szCs w:val="18"/>
          <w:color w:val="auto"/>
        </w:rPr>
        <w:t>*   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-198755</wp:posOffset>
            </wp:positionV>
            <wp:extent cx="15951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5" w:lineRule="exact"/>
        <w:rPr>
          <w:sz w:val="20"/>
          <w:szCs w:val="20"/>
          <w:color w:val="auto"/>
        </w:rPr>
      </w:pPr>
    </w:p>
    <w:p>
      <w:pPr>
        <w:ind w:left="1" w:hanging="1"/>
        <w:spacing w:after="0" w:line="257" w:lineRule="auto"/>
        <w:tabs>
          <w:tab w:leader="none" w:pos="3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Pursuant to Securities and Exchange Commission Release No. 33-8238, this certification will be treated as “accompanying” this 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25" w:right="939" w:bottom="1440" w:gutter="0" w:footer="0" w:header="0"/>
        </w:sectPr>
      </w:pPr>
    </w:p>
    <w:bookmarkStart w:id="21" w:name="page22"/>
    <w:bookmarkEnd w:id="21"/>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the undersigned also has signed this report in his capacity as the Registrant’s Chief Financial Officer (Principal Financial and Accounting Officer).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gridSpan w:val="2"/>
          </w:tcPr>
          <w:p>
            <w:pPr>
              <w:ind w:left="5040"/>
              <w:spacing w:after="0"/>
              <w:rPr>
                <w:sz w:val="20"/>
                <w:szCs w:val="20"/>
                <w:color w:val="auto"/>
              </w:rPr>
            </w:pPr>
            <w:r>
              <w:rPr>
                <w:rFonts w:ascii="Arial" w:cs="Arial" w:eastAsia="Arial" w:hAnsi="Arial"/>
                <w:sz w:val="18"/>
                <w:szCs w:val="18"/>
                <w:color w:val="auto"/>
              </w:rPr>
              <w:t>CITI TRENDS, INC.</w:t>
            </w:r>
          </w:p>
        </w:tc>
      </w:tr>
      <w:tr>
        <w:trPr>
          <w:trHeight w:val="486"/>
        </w:trPr>
        <w:tc>
          <w:tcPr>
            <w:tcW w:w="5780" w:type="dxa"/>
            <w:vAlign w:val="bottom"/>
          </w:tcPr>
          <w:p>
            <w:pPr>
              <w:spacing w:after="0"/>
              <w:rPr>
                <w:sz w:val="20"/>
                <w:szCs w:val="20"/>
                <w:color w:val="auto"/>
              </w:rPr>
            </w:pPr>
            <w:r>
              <w:rPr>
                <w:rFonts w:ascii="Arial" w:cs="Arial" w:eastAsia="Arial" w:hAnsi="Arial"/>
                <w:sz w:val="18"/>
                <w:szCs w:val="18"/>
                <w:color w:val="auto"/>
              </w:rPr>
              <w:t>Date: September 9, 2019</w:t>
            </w:r>
          </w:p>
        </w:tc>
        <w:tc>
          <w:tcPr>
            <w:tcW w:w="4280" w:type="dxa"/>
            <w:vAlign w:val="bottom"/>
          </w:tcPr>
          <w:p>
            <w:pPr>
              <w:spacing w:after="0"/>
              <w:rPr>
                <w:sz w:val="24"/>
                <w:szCs w:val="24"/>
                <w:color w:val="auto"/>
              </w:rPr>
            </w:pPr>
          </w:p>
        </w:tc>
      </w:tr>
      <w:tr>
        <w:trPr>
          <w:trHeight w:val="392"/>
        </w:trPr>
        <w:tc>
          <w:tcPr>
            <w:tcW w:w="5780" w:type="dxa"/>
            <w:vAlign w:val="bottom"/>
          </w:tcPr>
          <w:p>
            <w:pPr>
              <w:ind w:left="504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C. Clifford</w:t>
            </w:r>
          </w:p>
        </w:tc>
      </w:tr>
      <w:tr>
        <w:trPr>
          <w:trHeight w:val="182"/>
        </w:trPr>
        <w:tc>
          <w:tcPr>
            <w:tcW w:w="5780" w:type="dxa"/>
            <w:vAlign w:val="bottom"/>
          </w:tcPr>
          <w:p>
            <w:pPr>
              <w:ind w:left="5040"/>
              <w:spacing w:after="0" w:line="182" w:lineRule="exact"/>
              <w:rPr>
                <w:sz w:val="20"/>
                <w:szCs w:val="20"/>
                <w:color w:val="auto"/>
              </w:rPr>
            </w:pPr>
            <w:r>
              <w:rPr>
                <w:rFonts w:ascii="Arial" w:cs="Arial" w:eastAsia="Arial" w:hAnsi="Arial"/>
                <w:sz w:val="18"/>
                <w:szCs w:val="18"/>
                <w:color w:val="auto"/>
              </w:rPr>
              <w:t>Name:</w:t>
            </w:r>
          </w:p>
        </w:tc>
        <w:tc>
          <w:tcPr>
            <w:tcW w:w="4280" w:type="dxa"/>
            <w:vAlign w:val="bottom"/>
          </w:tcPr>
          <w:p>
            <w:pPr>
              <w:spacing w:after="0" w:line="182" w:lineRule="exact"/>
              <w:rPr>
                <w:sz w:val="20"/>
                <w:szCs w:val="20"/>
                <w:color w:val="auto"/>
              </w:rPr>
            </w:pPr>
            <w:r>
              <w:rPr>
                <w:rFonts w:ascii="Arial" w:cs="Arial" w:eastAsia="Arial" w:hAnsi="Arial"/>
                <w:sz w:val="18"/>
                <w:szCs w:val="18"/>
                <w:color w:val="auto"/>
              </w:rPr>
              <w:t>Stuart C. Clifford</w:t>
            </w:r>
          </w:p>
        </w:tc>
      </w:tr>
      <w:tr>
        <w:trPr>
          <w:trHeight w:val="230"/>
        </w:trPr>
        <w:tc>
          <w:tcPr>
            <w:tcW w:w="5780" w:type="dxa"/>
            <w:vAlign w:val="bottom"/>
          </w:tcPr>
          <w:p>
            <w:pPr>
              <w:ind w:left="5040"/>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851"/>
        </w:trPr>
        <w:tc>
          <w:tcPr>
            <w:tcW w:w="5780" w:type="dxa"/>
            <w:vAlign w:val="bottom"/>
          </w:tcPr>
          <w:p>
            <w:pPr>
              <w:ind w:left="4940"/>
              <w:spacing w:after="0"/>
              <w:rPr>
                <w:sz w:val="20"/>
                <w:szCs w:val="20"/>
                <w:color w:val="auto"/>
              </w:rPr>
            </w:pPr>
            <w:r>
              <w:rPr>
                <w:rFonts w:ascii="Arial" w:cs="Arial" w:eastAsia="Arial" w:hAnsi="Arial"/>
                <w:sz w:val="18"/>
                <w:szCs w:val="18"/>
                <w:color w:val="auto"/>
              </w:rPr>
              <w:t>22</w:t>
            </w:r>
          </w:p>
        </w:tc>
        <w:tc>
          <w:tcPr>
            <w:tcW w:w="4280" w:type="dxa"/>
            <w:vAlign w:val="bottom"/>
          </w:tcPr>
          <w:p>
            <w:pPr>
              <w:spacing w:after="0"/>
              <w:rPr>
                <w:sz w:val="24"/>
                <w:szCs w:val="24"/>
                <w:color w:val="auto"/>
              </w:rPr>
            </w:pPr>
          </w:p>
        </w:tc>
      </w:tr>
      <w:tr>
        <w:trPr>
          <w:trHeight w:val="561"/>
        </w:trPr>
        <w:tc>
          <w:tcPr>
            <w:tcW w:w="57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5" w:right="9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ind w:left="441"/>
        <w:spacing w:after="0"/>
        <w:rPr>
          <w:sz w:val="20"/>
          <w:szCs w:val="20"/>
          <w:color w:val="auto"/>
        </w:rPr>
      </w:pPr>
      <w:r>
        <w:rPr>
          <w:rFonts w:ascii="Arial" w:cs="Arial" w:eastAsia="Arial" w:hAnsi="Arial"/>
          <w:sz w:val="18"/>
          <w:szCs w:val="18"/>
          <w:color w:val="auto"/>
        </w:rPr>
        <w:t>I, Bruce D. Smith, certify that:</w:t>
      </w:r>
    </w:p>
    <w:p>
      <w:pPr>
        <w:spacing w:after="0" w:line="144" w:lineRule="exact"/>
        <w:rPr>
          <w:sz w:val="20"/>
          <w:szCs w:val="20"/>
          <w:color w:val="auto"/>
        </w:rPr>
      </w:pPr>
    </w:p>
    <w:p>
      <w:pPr>
        <w:ind w:left="681" w:hanging="681"/>
        <w:spacing w:after="0"/>
        <w:tabs>
          <w:tab w:leader="none" w:pos="681"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August 3, 2019 of Citi Trends, Inc.;</w:t>
      </w:r>
    </w:p>
    <w:p>
      <w:pPr>
        <w:spacing w:after="0" w:line="144" w:lineRule="exact"/>
        <w:rPr>
          <w:rFonts w:ascii="Arial" w:cs="Arial" w:eastAsia="Arial" w:hAnsi="Arial"/>
          <w:sz w:val="18"/>
          <w:szCs w:val="18"/>
          <w:color w:val="auto"/>
        </w:rPr>
      </w:pPr>
    </w:p>
    <w:p>
      <w:pPr>
        <w:ind w:left="641" w:right="360" w:hanging="641"/>
        <w:spacing w:after="0" w:line="224" w:lineRule="auto"/>
        <w:tabs>
          <w:tab w:leader="none" w:pos="6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41" w:right="80" w:hanging="641"/>
        <w:spacing w:after="0" w:line="224" w:lineRule="auto"/>
        <w:tabs>
          <w:tab w:leader="none" w:pos="6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641" w:right="80" w:hanging="641"/>
        <w:spacing w:after="0" w:line="224" w:lineRule="auto"/>
        <w:tabs>
          <w:tab w:leader="none" w:pos="6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1301" w:right="320" w:hanging="652"/>
        <w:spacing w:after="0" w:line="219" w:lineRule="auto"/>
        <w:tabs>
          <w:tab w:leader="none" w:pos="1332"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01" w:right="240" w:hanging="652"/>
        <w:spacing w:after="0" w:line="259" w:lineRule="auto"/>
        <w:tabs>
          <w:tab w:leader="none" w:pos="1343"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left="1301" w:right="120" w:hanging="652"/>
        <w:spacing w:after="0" w:line="224" w:lineRule="auto"/>
        <w:tabs>
          <w:tab w:leader="none" w:pos="1332"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301" w:right="220" w:hanging="652"/>
        <w:spacing w:after="0" w:line="219" w:lineRule="auto"/>
        <w:tabs>
          <w:tab w:leader="none" w:pos="1343"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641" w:hanging="641"/>
        <w:spacing w:after="0" w:line="224" w:lineRule="auto"/>
        <w:tabs>
          <w:tab w:leader="none" w:pos="6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301" w:right="40" w:hanging="652"/>
        <w:spacing w:after="0" w:line="224" w:lineRule="auto"/>
        <w:tabs>
          <w:tab w:leader="none" w:pos="133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301" w:right="420" w:hanging="652"/>
        <w:spacing w:after="0" w:line="235" w:lineRule="auto"/>
        <w:tabs>
          <w:tab w:leader="none" w:pos="134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September 9, 2019</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8"/>
          <w:szCs w:val="18"/>
          <w:color w:val="231F20"/>
        </w:rPr>
        <w:t>/s/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34302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ind w:left="1"/>
        <w:spacing w:after="0" w:line="232" w:lineRule="auto"/>
        <w:rPr>
          <w:sz w:val="20"/>
          <w:szCs w:val="20"/>
          <w:color w:val="auto"/>
        </w:rPr>
      </w:pPr>
      <w:r>
        <w:rPr>
          <w:rFonts w:ascii="Arial" w:cs="Arial" w:eastAsia="Arial" w:hAnsi="Arial"/>
          <w:sz w:val="18"/>
          <w:szCs w:val="18"/>
          <w:color w:val="231F20"/>
        </w:rPr>
        <w:t>Bruce D. Smith</w:t>
      </w:r>
    </w:p>
    <w:p>
      <w:pPr>
        <w:spacing w:after="0" w:line="1" w:lineRule="exact"/>
        <w:rPr>
          <w:sz w:val="20"/>
          <w:szCs w:val="20"/>
          <w:color w:val="auto"/>
        </w:rPr>
      </w:pPr>
    </w:p>
    <w:p>
      <w:pPr>
        <w:ind w:left="1"/>
        <w:spacing w:after="0"/>
        <w:rPr>
          <w:sz w:val="20"/>
          <w:szCs w:val="20"/>
          <w:color w:val="auto"/>
        </w:rPr>
      </w:pPr>
      <w:r>
        <w:rPr>
          <w:rFonts w:ascii="Arial" w:cs="Arial" w:eastAsia="Arial" w:hAnsi="Arial"/>
          <w:sz w:val="18"/>
          <w:szCs w:val="18"/>
          <w:color w:val="231F20"/>
        </w:rPr>
        <w:t>President and Chief Executive Officer,</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18"/>
          <w:szCs w:val="18"/>
          <w:color w:val="231F20"/>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ind w:left="441"/>
        <w:spacing w:after="0"/>
        <w:rPr>
          <w:sz w:val="20"/>
          <w:szCs w:val="20"/>
          <w:color w:val="auto"/>
        </w:rPr>
      </w:pPr>
      <w:r>
        <w:rPr>
          <w:rFonts w:ascii="Arial" w:cs="Arial" w:eastAsia="Arial" w:hAnsi="Arial"/>
          <w:sz w:val="18"/>
          <w:szCs w:val="18"/>
          <w:color w:val="auto"/>
        </w:rPr>
        <w:t>I, Stuart C. Clifford, certify that:</w:t>
      </w:r>
    </w:p>
    <w:p>
      <w:pPr>
        <w:spacing w:after="0" w:line="144" w:lineRule="exact"/>
        <w:rPr>
          <w:sz w:val="20"/>
          <w:szCs w:val="20"/>
          <w:color w:val="auto"/>
        </w:rPr>
      </w:pPr>
    </w:p>
    <w:p>
      <w:pPr>
        <w:ind w:left="681" w:hanging="681"/>
        <w:spacing w:after="0"/>
        <w:tabs>
          <w:tab w:leader="none" w:pos="6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August 3, 2019 of Citi Trends, Inc.;</w:t>
      </w:r>
    </w:p>
    <w:p>
      <w:pPr>
        <w:spacing w:after="0" w:line="144" w:lineRule="exact"/>
        <w:rPr>
          <w:rFonts w:ascii="Arial" w:cs="Arial" w:eastAsia="Arial" w:hAnsi="Arial"/>
          <w:sz w:val="18"/>
          <w:szCs w:val="18"/>
          <w:color w:val="auto"/>
        </w:rPr>
      </w:pPr>
    </w:p>
    <w:p>
      <w:pPr>
        <w:ind w:left="641" w:right="360" w:hanging="641"/>
        <w:spacing w:after="0" w:line="224" w:lineRule="auto"/>
        <w:tabs>
          <w:tab w:leader="none" w:pos="6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41" w:right="80" w:hanging="641"/>
        <w:spacing w:after="0" w:line="224" w:lineRule="auto"/>
        <w:tabs>
          <w:tab w:leader="none" w:pos="6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641" w:right="80" w:hanging="641"/>
        <w:spacing w:after="0" w:line="224" w:lineRule="auto"/>
        <w:tabs>
          <w:tab w:leader="none" w:pos="6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1301" w:right="320" w:hanging="652"/>
        <w:spacing w:after="0" w:line="219" w:lineRule="auto"/>
        <w:tabs>
          <w:tab w:leader="none" w:pos="1332"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01" w:right="240" w:hanging="652"/>
        <w:spacing w:after="0" w:line="259" w:lineRule="auto"/>
        <w:tabs>
          <w:tab w:leader="none" w:pos="1343"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left="1301" w:right="120" w:hanging="652"/>
        <w:spacing w:after="0" w:line="224" w:lineRule="auto"/>
        <w:tabs>
          <w:tab w:leader="none" w:pos="1332"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301" w:right="220" w:hanging="652"/>
        <w:spacing w:after="0" w:line="219" w:lineRule="auto"/>
        <w:tabs>
          <w:tab w:leader="none" w:pos="1343"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641" w:hanging="641"/>
        <w:spacing w:after="0" w:line="224" w:lineRule="auto"/>
        <w:tabs>
          <w:tab w:leader="none" w:pos="6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301" w:right="40" w:hanging="652"/>
        <w:spacing w:after="0" w:line="224" w:lineRule="auto"/>
        <w:tabs>
          <w:tab w:leader="none" w:pos="133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301" w:right="420" w:hanging="652"/>
        <w:spacing w:after="0" w:line="235" w:lineRule="auto"/>
        <w:tabs>
          <w:tab w:leader="none" w:pos="134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September 9, 2019</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8"/>
          <w:szCs w:val="18"/>
          <w:color w:val="231F20"/>
        </w:rPr>
        <w:t>/s/ Stuart C.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34302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ind w:left="1"/>
        <w:spacing w:after="0" w:line="232" w:lineRule="auto"/>
        <w:rPr>
          <w:sz w:val="20"/>
          <w:szCs w:val="20"/>
          <w:color w:val="auto"/>
        </w:rPr>
      </w:pPr>
      <w:r>
        <w:rPr>
          <w:rFonts w:ascii="Arial" w:cs="Arial" w:eastAsia="Arial" w:hAnsi="Arial"/>
          <w:sz w:val="18"/>
          <w:szCs w:val="18"/>
          <w:color w:val="231F20"/>
        </w:rPr>
        <w:t>Stuart C. Clifford</w:t>
      </w:r>
    </w:p>
    <w:p>
      <w:pPr>
        <w:ind w:left="1"/>
        <w:spacing w:after="0" w:line="219" w:lineRule="auto"/>
        <w:rPr>
          <w:sz w:val="20"/>
          <w:szCs w:val="20"/>
          <w:color w:val="auto"/>
        </w:rPr>
      </w:pPr>
      <w:r>
        <w:rPr>
          <w:rFonts w:ascii="Arial" w:cs="Arial" w:eastAsia="Arial" w:hAnsi="Arial"/>
          <w:sz w:val="18"/>
          <w:szCs w:val="18"/>
          <w:color w:val="231F20"/>
        </w:rPr>
        <w:t>Senior Vice President and Chief Financial Officer</w:t>
      </w:r>
    </w:p>
    <w:p>
      <w:pPr>
        <w:spacing w:after="0" w:line="1" w:lineRule="exact"/>
        <w:rPr>
          <w:sz w:val="20"/>
          <w:szCs w:val="20"/>
          <w:color w:val="auto"/>
        </w:rPr>
      </w:pPr>
    </w:p>
    <w:p>
      <w:pPr>
        <w:ind w:left="1"/>
        <w:spacing w:after="0"/>
        <w:rPr>
          <w:sz w:val="20"/>
          <w:szCs w:val="20"/>
          <w:color w:val="auto"/>
        </w:rPr>
      </w:pPr>
      <w:r>
        <w:rPr>
          <w:rFonts w:ascii="Arial" w:cs="Arial" w:eastAsia="Arial" w:hAnsi="Arial"/>
          <w:sz w:val="18"/>
          <w:szCs w:val="18"/>
          <w:color w:val="231F20"/>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450850</wp:posOffset>
            </wp:positionV>
            <wp:extent cx="63887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Certifications pursuant to Section 906 of the Sarbanes-Oxley Act of 2002 (18 U.S.C. § 1350, as adopted).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 Bruce D. Smith, President and Chief Executive Officer of Citi Trends,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 Stuart C. Clifford, Senior Vice President and Chief Financial Officer of Citi Trends, Inc., certify that:</w:t>
      </w:r>
    </w:p>
    <w:p>
      <w:pPr>
        <w:spacing w:after="0" w:line="144" w:lineRule="exact"/>
        <w:rPr>
          <w:sz w:val="20"/>
          <w:szCs w:val="20"/>
          <w:color w:val="auto"/>
        </w:rPr>
      </w:pPr>
    </w:p>
    <w:p>
      <w:pPr>
        <w:ind w:left="180" w:hanging="177"/>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reviewed this quarterly report on Form 10-Q of Citi Trends, Inc. for the period ended August 3, 2019;</w:t>
      </w:r>
    </w:p>
    <w:p>
      <w:pPr>
        <w:spacing w:after="0" w:line="144" w:lineRule="exact"/>
        <w:rPr>
          <w:rFonts w:ascii="Arial" w:cs="Arial" w:eastAsia="Arial" w:hAnsi="Arial"/>
          <w:sz w:val="18"/>
          <w:szCs w:val="18"/>
          <w:color w:val="auto"/>
        </w:rPr>
      </w:pPr>
    </w:p>
    <w:p>
      <w:pPr>
        <w:ind w:firstLine="3"/>
        <w:spacing w:after="0" w:line="235"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our knowledge, this quarterly report fully complies with the requirements of Section 13(a) or Section 15(d) of the Securities Exchange Act of 1934, as amended; and</w:t>
      </w:r>
    </w:p>
    <w:p>
      <w:pPr>
        <w:spacing w:after="0" w:line="121" w:lineRule="exact"/>
        <w:rPr>
          <w:rFonts w:ascii="Arial" w:cs="Arial" w:eastAsia="Arial" w:hAnsi="Arial"/>
          <w:sz w:val="18"/>
          <w:szCs w:val="18"/>
          <w:color w:val="auto"/>
        </w:rPr>
      </w:pPr>
    </w:p>
    <w:p>
      <w:pPr>
        <w:ind w:right="80" w:firstLine="3"/>
        <w:spacing w:after="0" w:line="224"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231F20"/>
        </w:rPr>
        <w:t>Date: September 9, 2019</w:t>
      </w:r>
    </w:p>
    <w:p>
      <w:pPr>
        <w:spacing w:after="0" w:line="360" w:lineRule="exact"/>
        <w:rPr>
          <w:sz w:val="20"/>
          <w:szCs w:val="20"/>
          <w:color w:val="auto"/>
        </w:rPr>
      </w:pPr>
    </w:p>
    <w:p>
      <w:pPr>
        <w:ind w:left="4280"/>
        <w:spacing w:after="0"/>
        <w:rPr>
          <w:sz w:val="20"/>
          <w:szCs w:val="20"/>
          <w:color w:val="auto"/>
        </w:rPr>
      </w:pPr>
      <w:r>
        <w:rPr>
          <w:rFonts w:ascii="Arial" w:cs="Arial" w:eastAsia="Arial" w:hAnsi="Arial"/>
          <w:sz w:val="18"/>
          <w:szCs w:val="18"/>
          <w:color w:val="231F20"/>
        </w:rPr>
        <w:t>/s/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6350</wp:posOffset>
            </wp:positionV>
            <wp:extent cx="30359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4280"/>
        <w:spacing w:after="0" w:line="232" w:lineRule="auto"/>
        <w:rPr>
          <w:sz w:val="20"/>
          <w:szCs w:val="20"/>
          <w:color w:val="auto"/>
        </w:rPr>
      </w:pPr>
      <w:r>
        <w:rPr>
          <w:rFonts w:ascii="Arial" w:cs="Arial" w:eastAsia="Arial" w:hAnsi="Arial"/>
          <w:sz w:val="18"/>
          <w:szCs w:val="18"/>
          <w:color w:val="231F20"/>
        </w:rPr>
        <w:t>Bruce D. Smith</w:t>
      </w:r>
    </w:p>
    <w:p>
      <w:pPr>
        <w:ind w:left="4280"/>
        <w:spacing w:after="0" w:line="219" w:lineRule="auto"/>
        <w:rPr>
          <w:sz w:val="20"/>
          <w:szCs w:val="20"/>
          <w:color w:val="auto"/>
        </w:rPr>
      </w:pPr>
      <w:r>
        <w:rPr>
          <w:rFonts w:ascii="Arial" w:cs="Arial" w:eastAsia="Arial" w:hAnsi="Arial"/>
          <w:sz w:val="18"/>
          <w:szCs w:val="18"/>
          <w:color w:val="231F20"/>
        </w:rPr>
        <w:t>President and Chief Executive Officer</w:t>
      </w:r>
    </w:p>
    <w:p>
      <w:pPr>
        <w:spacing w:after="0" w:line="1" w:lineRule="exact"/>
        <w:rPr>
          <w:sz w:val="20"/>
          <w:szCs w:val="20"/>
          <w:color w:val="auto"/>
        </w:rPr>
      </w:pPr>
    </w:p>
    <w:p>
      <w:pPr>
        <w:ind w:left="4280"/>
        <w:spacing w:after="0"/>
        <w:rPr>
          <w:sz w:val="20"/>
          <w:szCs w:val="20"/>
          <w:color w:val="auto"/>
        </w:rPr>
      </w:pPr>
      <w:r>
        <w:rPr>
          <w:rFonts w:ascii="Arial" w:cs="Arial" w:eastAsia="Arial" w:hAnsi="Arial"/>
          <w:sz w:val="18"/>
          <w:szCs w:val="18"/>
          <w:color w:val="231F20"/>
        </w:rPr>
        <w:t>(Principal Executive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231F20"/>
        </w:rPr>
        <w:t>Date: September 9, 2019</w:t>
      </w:r>
    </w:p>
    <w:p>
      <w:pPr>
        <w:spacing w:after="0" w:line="360" w:lineRule="exact"/>
        <w:rPr>
          <w:sz w:val="20"/>
          <w:szCs w:val="20"/>
          <w:color w:val="auto"/>
        </w:rPr>
      </w:pPr>
    </w:p>
    <w:p>
      <w:pPr>
        <w:ind w:left="4280"/>
        <w:spacing w:after="0"/>
        <w:rPr>
          <w:sz w:val="20"/>
          <w:szCs w:val="20"/>
          <w:color w:val="auto"/>
        </w:rPr>
      </w:pPr>
      <w:r>
        <w:rPr>
          <w:rFonts w:ascii="Arial" w:cs="Arial" w:eastAsia="Arial" w:hAnsi="Arial"/>
          <w:sz w:val="18"/>
          <w:szCs w:val="18"/>
          <w:color w:val="231F20"/>
        </w:rPr>
        <w:t>/s/ Stuart C.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6350</wp:posOffset>
            </wp:positionV>
            <wp:extent cx="30359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4280"/>
        <w:spacing w:after="0" w:line="232" w:lineRule="auto"/>
        <w:rPr>
          <w:sz w:val="20"/>
          <w:szCs w:val="20"/>
          <w:color w:val="auto"/>
        </w:rPr>
      </w:pPr>
      <w:r>
        <w:rPr>
          <w:rFonts w:ascii="Arial" w:cs="Arial" w:eastAsia="Arial" w:hAnsi="Arial"/>
          <w:sz w:val="18"/>
          <w:szCs w:val="18"/>
          <w:color w:val="231F20"/>
        </w:rPr>
        <w:t>Stuart C. Clifford</w:t>
      </w:r>
    </w:p>
    <w:p>
      <w:pPr>
        <w:ind w:left="4280"/>
        <w:spacing w:after="0" w:line="219" w:lineRule="auto"/>
        <w:rPr>
          <w:sz w:val="20"/>
          <w:szCs w:val="20"/>
          <w:color w:val="auto"/>
        </w:rPr>
      </w:pPr>
      <w:r>
        <w:rPr>
          <w:rFonts w:ascii="Arial" w:cs="Arial" w:eastAsia="Arial" w:hAnsi="Arial"/>
          <w:sz w:val="18"/>
          <w:szCs w:val="18"/>
          <w:color w:val="231F20"/>
        </w:rPr>
        <w:t>Senior Vice President and Chief Financial Officer</w:t>
      </w:r>
    </w:p>
    <w:p>
      <w:pPr>
        <w:spacing w:after="0" w:line="1" w:lineRule="exact"/>
        <w:rPr>
          <w:sz w:val="20"/>
          <w:szCs w:val="20"/>
          <w:color w:val="auto"/>
        </w:rPr>
      </w:pPr>
    </w:p>
    <w:p>
      <w:pPr>
        <w:ind w:left="4280"/>
        <w:spacing w:after="0"/>
        <w:rPr>
          <w:sz w:val="20"/>
          <w:szCs w:val="20"/>
          <w:color w:val="auto"/>
        </w:rPr>
      </w:pPr>
      <w:r>
        <w:rPr>
          <w:rFonts w:ascii="Arial" w:cs="Arial" w:eastAsia="Arial" w:hAnsi="Arial"/>
          <w:sz w:val="18"/>
          <w:szCs w:val="18"/>
          <w:color w:val="231F20"/>
        </w:rPr>
        <w:t>(Principal Financial and Accounting Officer)</w:t>
      </w:r>
    </w:p>
    <w:p>
      <w:pPr>
        <w:spacing w:after="0" w:line="317"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651510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6"/>
    </w:lvl>
  </w:abstractNum>
  <w:abstractNum w:abstractNumId="7">
    <w:nsid w:val="41A7C4C9"/>
    <w:multiLevelType w:val="hybridMultilevel"/>
    <w:lvl w:ilvl="0">
      <w:lvlJc w:val="left"/>
      <w:lvlText w:val="%1."/>
      <w:numFmt w:val="decimal"/>
      <w:start w:val="7"/>
    </w:lvl>
  </w:abstractNum>
  <w:abstractNum w:abstractNumId="8">
    <w:nsid w:val="6B68079A"/>
    <w:multiLevelType w:val="hybridMultilevel"/>
    <w:lvl w:ilvl="0">
      <w:lvlJc w:val="left"/>
      <w:lvlText w:val="%1."/>
      <w:numFmt w:val="decimal"/>
      <w:start w:val="8"/>
    </w:lvl>
  </w:abstractNum>
  <w:abstractNum w:abstractNumId="9">
    <w:nsid w:val="4E6AFB66"/>
    <w:multiLevelType w:val="hybridMultilevel"/>
    <w:lvl w:ilvl="0">
      <w:lvlJc w:val="left"/>
      <w:lvlText w:val="%1."/>
      <w:numFmt w:val="decimal"/>
      <w:start w:val="9"/>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0"/>
    </w:lvl>
  </w:abstractNum>
  <w:abstractNum w:abstractNumId="12">
    <w:nsid w:val="431BD7B7"/>
    <w:multiLevelType w:val="hybridMultilevel"/>
    <w:lvl w:ilvl="0">
      <w:lvlJc w:val="left"/>
      <w:lvlText w:val="%1."/>
      <w:numFmt w:val="decimal"/>
      <w:start w:val="11"/>
    </w:lvl>
  </w:abstractNum>
  <w:abstractNum w:abstractNumId="13">
    <w:nsid w:val="3F2DBA31"/>
    <w:multiLevelType w:val="hybridMultilevel"/>
    <w:lvl w:ilvl="0">
      <w:lvlJc w:val="left"/>
      <w:lvlText w:val="%1."/>
      <w:numFmt w:val="decimal"/>
      <w:start w:val="12"/>
    </w:lvl>
  </w:abstractNum>
  <w:abstractNum w:abstractNumId="14">
    <w:nsid w:val="7C83E458"/>
    <w:multiLevelType w:val="hybridMultilevel"/>
    <w:lvl w:ilvl="0">
      <w:lvlJc w:val="left"/>
      <w:lvlText w:val="%1."/>
      <w:numFmt w:val="decimal"/>
      <w:start w:val="13"/>
    </w:lvl>
  </w:abstractNum>
  <w:abstractNum w:abstractNumId="15">
    <w:nsid w:val="257130A3"/>
    <w:multiLevelType w:val="hybridMultilevel"/>
    <w:lvl w:ilvl="0">
      <w:lvlJc w:val="left"/>
      <w:lvlText w:val="%1."/>
      <w:numFmt w:val="decimal"/>
      <w:start w:val="14"/>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lvl w:ilvl="1">
      <w:lvlJc w:val="left"/>
      <w:lvlText w:val="%2"/>
      <w:numFmt w:val="decimal"/>
      <w:start w:val="10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32" Type="http://schemas.openxmlformats.org/officeDocument/2006/relationships/hyperlink" Target="http://www.sec.gov/Archives/edgar/data/1318484/000110465919034805/a19-11362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2019-12-28T06:26:33Z</dcterms:created>
  <dcterms:modified xsi:type="dcterms:W3CDTF">2019-12-28T06:26:33Z</dcterms:modified>
</cp:coreProperties>
</file>