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474980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8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82" w:lineRule="exact"/>
        <w:rPr>
          <w:sz w:val="24"/>
          <w:szCs w:val="24"/>
          <w:color w:val="auto"/>
        </w:rPr>
      </w:pPr>
    </w:p>
    <w:p>
      <w:pPr>
        <w:ind w:left="660" w:hanging="401"/>
        <w:spacing w:after="0"/>
        <w:tabs>
          <w:tab w:leader="none" w:pos="6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October 30, 2021</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302" w:lineRule="exact"/>
        <w:rPr>
          <w:sz w:val="24"/>
          <w:szCs w:val="24"/>
          <w:color w:val="auto"/>
        </w:rPr>
      </w:pPr>
    </w:p>
    <w:p>
      <w:pPr>
        <w:ind w:left="3560" w:right="980" w:hanging="3301"/>
        <w:spacing w:after="0" w:line="457" w:lineRule="auto"/>
        <w:tabs>
          <w:tab w:leader="none" w:pos="662"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Commission File Number 000-51315</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CITI TRENDS, INC.</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377" w:lineRule="exact"/>
        <w:rPr>
          <w:sz w:val="24"/>
          <w:szCs w:val="24"/>
          <w:color w:val="auto"/>
        </w:rPr>
      </w:pPr>
    </w:p>
    <w:tbl>
      <w:tblPr>
        <w:tblLayout w:type="fixed"/>
        <w:tblInd w:w="1060" w:type="dxa"/>
        <w:tblCellMar>
          <w:top w:w="0" w:type="dxa"/>
          <w:left w:w="0" w:type="dxa"/>
          <w:bottom w:w="0" w:type="dxa"/>
          <w:right w:w="0" w:type="dxa"/>
        </w:tblCellMar>
      </w:tblPr>
      <w:tr>
        <w:trPr>
          <w:trHeight w:val="209"/>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Delaware</w:t>
            </w:r>
          </w:p>
        </w:tc>
        <w:tc>
          <w:tcPr>
            <w:tcW w:w="2780" w:type="dxa"/>
            <w:vAlign w:val="bottom"/>
          </w:tcPr>
          <w:p>
            <w:pPr>
              <w:jc w:val="right"/>
              <w:ind w:right="119"/>
              <w:spacing w:after="0"/>
              <w:rPr>
                <w:sz w:val="20"/>
                <w:szCs w:val="20"/>
                <w:color w:val="auto"/>
              </w:rPr>
            </w:pPr>
            <w:r>
              <w:rPr>
                <w:rFonts w:ascii="Arial" w:cs="Arial" w:eastAsia="Arial" w:hAnsi="Arial"/>
                <w:sz w:val="16"/>
                <w:szCs w:val="16"/>
                <w:b w:val="1"/>
                <w:bCs w:val="1"/>
                <w:color w:val="auto"/>
              </w:rPr>
              <w:t>52-2150697</w:t>
            </w:r>
          </w:p>
        </w:tc>
      </w:tr>
      <w:tr>
        <w:trPr>
          <w:trHeight w:val="189"/>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(State or other jurisdiction of</w:t>
            </w:r>
          </w:p>
        </w:tc>
        <w:tc>
          <w:tcPr>
            <w:tcW w:w="2780" w:type="dxa"/>
            <w:vAlign w:val="bottom"/>
          </w:tcPr>
          <w:p>
            <w:pPr>
              <w:jc w:val="center"/>
              <w:ind w:left="1439"/>
              <w:spacing w:after="0"/>
              <w:rPr>
                <w:sz w:val="20"/>
                <w:szCs w:val="20"/>
                <w:color w:val="auto"/>
              </w:rPr>
            </w:pPr>
            <w:r>
              <w:rPr>
                <w:rFonts w:ascii="Arial" w:cs="Arial" w:eastAsia="Arial" w:hAnsi="Arial"/>
                <w:sz w:val="16"/>
                <w:szCs w:val="16"/>
                <w:color w:val="auto"/>
              </w:rPr>
              <w:t>(I.R.S. Employer</w:t>
            </w:r>
          </w:p>
        </w:tc>
      </w:tr>
      <w:tr>
        <w:trPr>
          <w:trHeight w:val="195"/>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incorporation or organization)</w:t>
            </w:r>
          </w:p>
        </w:tc>
        <w:tc>
          <w:tcPr>
            <w:tcW w:w="2780" w:type="dxa"/>
            <w:vAlign w:val="bottom"/>
          </w:tcPr>
          <w:p>
            <w:pPr>
              <w:jc w:val="center"/>
              <w:ind w:left="1439"/>
              <w:spacing w:after="0"/>
              <w:rPr>
                <w:sz w:val="20"/>
                <w:szCs w:val="20"/>
                <w:color w:val="auto"/>
              </w:rPr>
            </w:pPr>
            <w:r>
              <w:rPr>
                <w:rFonts w:ascii="Arial" w:cs="Arial" w:eastAsia="Arial" w:hAnsi="Arial"/>
                <w:sz w:val="16"/>
                <w:szCs w:val="16"/>
                <w:color w:val="auto"/>
              </w:rPr>
              <w:t>Identification No.)</w:t>
            </w:r>
          </w:p>
        </w:tc>
      </w:tr>
      <w:tr>
        <w:trPr>
          <w:trHeight w:val="352"/>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104 Coleman Boulevard</w:t>
            </w:r>
          </w:p>
        </w:tc>
        <w:tc>
          <w:tcPr>
            <w:tcW w:w="2780" w:type="dxa"/>
            <w:vAlign w:val="bottom"/>
          </w:tcPr>
          <w:p>
            <w:pPr>
              <w:spacing w:after="0"/>
              <w:rPr>
                <w:sz w:val="24"/>
                <w:szCs w:val="24"/>
                <w:color w:val="auto"/>
              </w:rPr>
            </w:pPr>
          </w:p>
        </w:tc>
      </w:tr>
      <w:tr>
        <w:trPr>
          <w:trHeight w:val="209"/>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Savannah, Georgia</w:t>
            </w:r>
          </w:p>
        </w:tc>
        <w:tc>
          <w:tcPr>
            <w:tcW w:w="2780" w:type="dxa"/>
            <w:vAlign w:val="bottom"/>
          </w:tcPr>
          <w:p>
            <w:pPr>
              <w:jc w:val="right"/>
              <w:ind w:right="319"/>
              <w:spacing w:after="0"/>
              <w:rPr>
                <w:sz w:val="20"/>
                <w:szCs w:val="20"/>
                <w:color w:val="auto"/>
              </w:rPr>
            </w:pPr>
            <w:r>
              <w:rPr>
                <w:rFonts w:ascii="Arial" w:cs="Arial" w:eastAsia="Arial" w:hAnsi="Arial"/>
                <w:sz w:val="16"/>
                <w:szCs w:val="16"/>
                <w:b w:val="1"/>
                <w:bCs w:val="1"/>
                <w:color w:val="auto"/>
              </w:rPr>
              <w:t>31408</w:t>
            </w:r>
          </w:p>
        </w:tc>
      </w:tr>
      <w:tr>
        <w:trPr>
          <w:trHeight w:val="195"/>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(Address of principal executive offices)</w:t>
            </w:r>
          </w:p>
        </w:tc>
        <w:tc>
          <w:tcPr>
            <w:tcW w:w="2780" w:type="dxa"/>
            <w:vAlign w:val="bottom"/>
          </w:tcPr>
          <w:p>
            <w:pPr>
              <w:jc w:val="center"/>
              <w:ind w:left="1459"/>
              <w:spacing w:after="0"/>
              <w:rPr>
                <w:sz w:val="20"/>
                <w:szCs w:val="20"/>
                <w:color w:val="auto"/>
              </w:rPr>
            </w:pPr>
            <w:r>
              <w:rPr>
                <w:rFonts w:ascii="Arial" w:cs="Arial" w:eastAsia="Arial" w:hAnsi="Arial"/>
                <w:sz w:val="16"/>
                <w:szCs w:val="16"/>
                <w:color w:val="auto"/>
              </w:rPr>
              <w:t>(Zip Code)</w:t>
            </w:r>
          </w:p>
        </w:tc>
      </w:tr>
    </w:tbl>
    <w:p>
      <w:pPr>
        <w:spacing w:after="0" w:line="9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 (</w:t>
      </w:r>
      <w:r>
        <w:rPr>
          <w:rFonts w:ascii="Arial" w:cs="Arial" w:eastAsia="Arial" w:hAnsi="Arial"/>
          <w:sz w:val="16"/>
          <w:szCs w:val="16"/>
          <w:b w:val="1"/>
          <w:bCs w:val="1"/>
          <w:color w:val="auto"/>
        </w:rPr>
        <w:t>912) 236-1561</w:t>
      </w:r>
    </w:p>
    <w:p>
      <w:pPr>
        <w:spacing w:after="0" w:line="34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5" w:lineRule="exact"/>
        <w:rPr>
          <w:sz w:val="24"/>
          <w:szCs w:val="24"/>
          <w:color w:val="auto"/>
        </w:rPr>
      </w:pPr>
    </w:p>
    <w:tbl>
      <w:tblPr>
        <w:tblLayout w:type="fixed"/>
        <w:tblInd w:w="30" w:type="dxa"/>
        <w:tblCellMar>
          <w:top w:w="0" w:type="dxa"/>
          <w:left w:w="0" w:type="dxa"/>
          <w:bottom w:w="0" w:type="dxa"/>
          <w:right w:w="0" w:type="dxa"/>
        </w:tblCellMar>
      </w:tblPr>
      <w:tr>
        <w:trPr>
          <w:trHeight w:val="203"/>
        </w:trPr>
        <w:tc>
          <w:tcPr>
            <w:tcW w:w="2880" w:type="dxa"/>
            <w:vAlign w:val="bottom"/>
            <w:tcBorders>
              <w:top w:val="single" w:sz="8" w:color="auto"/>
              <w:left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40" w:type="dxa"/>
            <w:vAlign w:val="bottom"/>
            <w:tcBorders>
              <w:top w:val="single" w:sz="8" w:color="auto"/>
            </w:tcBorders>
          </w:tcPr>
          <w:p>
            <w:pPr>
              <w:spacing w:after="0"/>
              <w:rPr>
                <w:sz w:val="17"/>
                <w:szCs w:val="17"/>
                <w:color w:val="auto"/>
              </w:rPr>
            </w:pPr>
          </w:p>
        </w:tc>
        <w:tc>
          <w:tcPr>
            <w:tcW w:w="2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w:t>
            </w:r>
          </w:p>
        </w:tc>
        <w:tc>
          <w:tcPr>
            <w:tcW w:w="260" w:type="dxa"/>
            <w:vAlign w:val="bottom"/>
            <w:tcBorders>
              <w:top w:val="single" w:sz="8" w:color="auto"/>
            </w:tcBorders>
          </w:tcPr>
          <w:p>
            <w:pPr>
              <w:spacing w:after="0"/>
              <w:rPr>
                <w:sz w:val="17"/>
                <w:szCs w:val="17"/>
                <w:color w:val="auto"/>
              </w:rPr>
            </w:pP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83"/>
        </w:trPr>
        <w:tc>
          <w:tcPr>
            <w:tcW w:w="3120" w:type="dxa"/>
            <w:vAlign w:val="bottom"/>
            <w:tcBorders>
              <w:left w:val="single" w:sz="8" w:color="auto"/>
              <w:bottom w:val="single" w:sz="8" w:color="auto"/>
            </w:tcBorders>
            <w:gridSpan w:val="2"/>
          </w:tcPr>
          <w:p>
            <w:pPr>
              <w:jc w:val="center"/>
              <w:ind w:right="240"/>
              <w:spacing w:after="0" w:line="183" w:lineRule="exact"/>
              <w:rPr>
                <w:sz w:val="20"/>
                <w:szCs w:val="20"/>
                <w:color w:val="auto"/>
              </w:rPr>
            </w:pPr>
            <w:r>
              <w:rPr>
                <w:rFonts w:ascii="Arial" w:cs="Arial" w:eastAsia="Arial" w:hAnsi="Arial"/>
                <w:sz w:val="16"/>
                <w:szCs w:val="16"/>
                <w:color w:val="auto"/>
              </w:rPr>
              <w:t>Common Stock, $0.01 par value</w:t>
            </w:r>
          </w:p>
        </w:tc>
        <w:tc>
          <w:tcPr>
            <w:tcW w:w="2560" w:type="dxa"/>
            <w:vAlign w:val="bottom"/>
            <w:tcBorders>
              <w:bottom w:val="single" w:sz="8" w:color="auto"/>
            </w:tcBorders>
            <w:gridSpan w:val="2"/>
          </w:tcPr>
          <w:p>
            <w:pPr>
              <w:jc w:val="center"/>
              <w:ind w:right="260"/>
              <w:spacing w:after="0" w:line="183" w:lineRule="exact"/>
              <w:rPr>
                <w:sz w:val="20"/>
                <w:szCs w:val="20"/>
                <w:color w:val="auto"/>
              </w:rPr>
            </w:pPr>
            <w:r>
              <w:rPr>
                <w:rFonts w:ascii="Arial" w:cs="Arial" w:eastAsia="Arial" w:hAnsi="Arial"/>
                <w:sz w:val="16"/>
                <w:szCs w:val="16"/>
                <w:color w:val="auto"/>
              </w:rPr>
              <w:t>CTRN</w:t>
            </w:r>
          </w:p>
        </w:tc>
        <w:tc>
          <w:tcPr>
            <w:tcW w:w="42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NASDAQ Stock Market</w:t>
            </w:r>
          </w:p>
        </w:tc>
      </w:tr>
    </w:tbl>
    <w:p>
      <w:pPr>
        <w:spacing w:after="0" w:line="96" w:lineRule="exact"/>
        <w:rPr>
          <w:sz w:val="24"/>
          <w:szCs w:val="24"/>
          <w:color w:val="auto"/>
        </w:rPr>
      </w:pPr>
    </w:p>
    <w:p>
      <w:pPr>
        <w:ind w:right="60"/>
        <w:spacing w:after="0" w:line="259"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84" w:lineRule="exact"/>
        <w:tabs>
          <w:tab w:leader="none" w:pos="5580" w:val="left"/>
        </w:tabs>
        <w:rPr>
          <w:sz w:val="20"/>
          <w:szCs w:val="20"/>
          <w:color w:val="auto"/>
        </w:rPr>
      </w:pPr>
      <w:r>
        <w:rPr>
          <w:rFonts w:ascii="Arial" w:cs="Arial" w:eastAsia="Arial" w:hAnsi="Arial"/>
          <w:sz w:val="16"/>
          <w:szCs w:val="16"/>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4" w:lineRule="exact"/>
        <w:rPr>
          <w:sz w:val="24"/>
          <w:szCs w:val="24"/>
          <w:color w:val="auto"/>
        </w:rPr>
      </w:pPr>
    </w:p>
    <w:p>
      <w:pPr>
        <w:ind w:right="60"/>
        <w:spacing w:after="0" w:line="20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jc w:val="both"/>
        <w:ind w:right="160"/>
        <w:spacing w:after="0" w:line="27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783" w:right="979" w:bottom="1440" w:gutter="0" w:footer="0" w:header="0"/>
        </w:sectPr>
      </w:pPr>
    </w:p>
    <w:p>
      <w:pPr>
        <w:spacing w:after="0" w:line="1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11" w:lineRule="exact"/>
        <w:rPr>
          <w:sz w:val="24"/>
          <w:szCs w:val="24"/>
          <w:color w:val="auto"/>
        </w:rPr>
      </w:pPr>
    </w:p>
    <w:p>
      <w:pPr>
        <w:sectPr>
          <w:pgSz w:w="11900" w:h="16838" w:orient="portrait"/>
          <w:cols w:equalWidth="0" w:num="3">
            <w:col w:w="2960" w:space="720"/>
            <w:col w:w="2140" w:space="720"/>
            <w:col w:w="3400"/>
          </w:cols>
          <w:pgMar w:left="980" w:top="783" w:right="979" w:bottom="1440" w:gutter="0" w:footer="0" w:header="0"/>
          <w:type w:val="continuous"/>
        </w:sectPr>
      </w:pPr>
    </w:p>
    <w:p>
      <w:pPr>
        <w:spacing w:after="0" w:line="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sectPr>
          <w:pgSz w:w="11900" w:h="16838" w:orient="portrait"/>
          <w:cols w:equalWidth="0" w:num="2">
            <w:col w:w="5820" w:space="720"/>
            <w:col w:w="3400"/>
          </w:cols>
          <w:pgMar w:left="980" w:top="783" w:right="979" w:bottom="1440" w:gutter="0" w:footer="0" w:header="0"/>
          <w:type w:val="continuous"/>
        </w:sectPr>
      </w:pPr>
    </w:p>
    <w:p>
      <w:pPr>
        <w:ind w:right="7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760"/>
        <w:spacing w:after="0" w:line="29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December 1, 2021 the registrant had 8,500,434 outstanding shares of common stock, $0.01 par value per share</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532130</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154940</wp:posOffset>
            </wp:positionV>
            <wp:extent cx="629221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137795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40"/>
          </w:cols>
          <w:pgMar w:left="980" w:top="783" w:right="9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900" w:type="dxa"/>
            <w:vAlign w:val="bottom"/>
            <w:gridSpan w:val="13"/>
          </w:tcPr>
          <w:p>
            <w:pPr>
              <w:jc w:val="center"/>
              <w:ind w:right="3180"/>
              <w:spacing w:after="0"/>
              <w:rPr>
                <w:sz w:val="20"/>
                <w:szCs w:val="20"/>
                <w:color w:val="auto"/>
              </w:rPr>
            </w:pPr>
            <w:r>
              <w:rPr>
                <w:rFonts w:ascii="Arial" w:cs="Arial" w:eastAsia="Arial" w:hAnsi="Arial"/>
                <w:sz w:val="16"/>
                <w:szCs w:val="16"/>
                <w:b w:val="1"/>
                <w:bCs w:val="1"/>
                <w:color w:val="auto"/>
              </w:rPr>
              <w:t>CITI TRENDS, INC.</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8"/>
          </w:tcPr>
          <w:p>
            <w:pPr>
              <w:jc w:val="center"/>
              <w:ind w:right="280"/>
              <w:spacing w:after="0" w:line="169" w:lineRule="exact"/>
              <w:rPr>
                <w:sz w:val="20"/>
                <w:szCs w:val="20"/>
                <w:color w:val="auto"/>
              </w:rPr>
            </w:pPr>
            <w:r>
              <w:rPr>
                <w:rFonts w:ascii="Arial" w:cs="Arial" w:eastAsia="Arial" w:hAnsi="Arial"/>
                <w:sz w:val="16"/>
                <w:szCs w:val="16"/>
                <w:b w:val="1"/>
                <w:bCs w:val="1"/>
                <w:color w:val="auto"/>
              </w:rPr>
              <w:t>FORM 10-Q</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w w:val="74"/>
              </w:rPr>
              <w:t>TABLE</w:t>
            </w: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10"/>
          </w:tcPr>
          <w:p>
            <w:pPr>
              <w:ind w:left="40"/>
              <w:spacing w:after="0" w:line="169" w:lineRule="exact"/>
              <w:rPr>
                <w:sz w:val="20"/>
                <w:szCs w:val="20"/>
                <w:color w:val="auto"/>
              </w:rPr>
            </w:pPr>
            <w:r>
              <w:rPr>
                <w:rFonts w:ascii="Arial" w:cs="Arial" w:eastAsia="Arial" w:hAnsi="Arial"/>
                <w:sz w:val="16"/>
                <w:szCs w:val="16"/>
                <w:b w:val="1"/>
                <w:bCs w:val="1"/>
                <w:color w:val="auto"/>
              </w:rPr>
              <w:t>OF CONTENTS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0" w:type="dxa"/>
            <w:vAlign w:val="bottom"/>
          </w:tcPr>
          <w:p>
            <w:pPr>
              <w:spacing w:after="0"/>
              <w:rPr>
                <w:sz w:val="1"/>
                <w:szCs w:val="1"/>
                <w:color w:val="auto"/>
              </w:rPr>
            </w:pPr>
          </w:p>
        </w:tc>
      </w:tr>
      <w:tr>
        <w:trPr>
          <w:trHeight w:val="175"/>
        </w:trPr>
        <w:tc>
          <w:tcPr>
            <w:tcW w:w="520" w:type="dxa"/>
            <w:vAlign w:val="bottom"/>
            <w:tcBorders>
              <w:bottom w:val="single" w:sz="8" w:color="0000EE"/>
            </w:tcBorders>
            <w:gridSpan w:val="2"/>
          </w:tcPr>
          <w:p>
            <w:pPr>
              <w:spacing w:after="0" w:line="175" w:lineRule="exact"/>
              <w:rPr>
                <w:rFonts w:ascii="Arial" w:cs="Arial" w:eastAsia="Arial" w:hAnsi="Arial"/>
                <w:sz w:val="16"/>
                <w:szCs w:val="16"/>
                <w:color w:val="0000EE"/>
                <w:w w:val="96"/>
              </w:rPr>
            </w:pPr>
            <w:hyperlink w:anchor="page3">
              <w:r>
                <w:rPr>
                  <w:rFonts w:ascii="Arial" w:cs="Arial" w:eastAsia="Arial" w:hAnsi="Arial"/>
                  <w:sz w:val="16"/>
                  <w:szCs w:val="16"/>
                  <w:color w:val="0000EE"/>
                  <w:w w:val="96"/>
                </w:rPr>
                <w:t>PART I</w:t>
              </w:r>
            </w:hyperlink>
          </w:p>
        </w:tc>
        <w:tc>
          <w:tcPr>
            <w:tcW w:w="420" w:type="dxa"/>
            <w:vAlign w:val="bottom"/>
            <w:gridSpan w:val="2"/>
          </w:tcPr>
          <w:p>
            <w:pPr>
              <w:spacing w:after="0"/>
              <w:rPr>
                <w:sz w:val="15"/>
                <w:szCs w:val="15"/>
                <w:color w:val="auto"/>
              </w:rPr>
            </w:pPr>
          </w:p>
        </w:tc>
        <w:tc>
          <w:tcPr>
            <w:tcW w:w="2020" w:type="dxa"/>
            <w:vAlign w:val="bottom"/>
            <w:tcBorders>
              <w:bottom w:val="single" w:sz="8" w:color="0000EE"/>
            </w:tcBorders>
            <w:gridSpan w:val="8"/>
          </w:tcPr>
          <w:p>
            <w:pPr>
              <w:spacing w:after="0" w:line="175" w:lineRule="exact"/>
              <w:rPr>
                <w:rFonts w:ascii="Arial" w:cs="Arial" w:eastAsia="Arial" w:hAnsi="Arial"/>
                <w:sz w:val="16"/>
                <w:szCs w:val="16"/>
                <w:color w:val="0000EE"/>
                <w:w w:val="99"/>
              </w:rPr>
            </w:pPr>
            <w:hyperlink w:anchor="page3">
              <w:r>
                <w:rPr>
                  <w:rFonts w:ascii="Arial" w:cs="Arial" w:eastAsia="Arial" w:hAnsi="Arial"/>
                  <w:sz w:val="16"/>
                  <w:szCs w:val="16"/>
                  <w:color w:val="0000EE"/>
                  <w:w w:val="99"/>
                </w:rPr>
                <w:t>FINANCIAL INFORMATION</w:t>
              </w:r>
            </w:hyperlink>
          </w:p>
        </w:tc>
        <w:tc>
          <w:tcPr>
            <w:tcW w:w="6040" w:type="dxa"/>
            <w:vAlign w:val="bottom"/>
            <w:gridSpan w:val="17"/>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rFonts w:ascii="Arial" w:cs="Arial" w:eastAsia="Arial" w:hAnsi="Arial"/>
                <w:sz w:val="16"/>
                <w:szCs w:val="16"/>
                <w:color w:val="0000EE"/>
                <w:w w:val="98"/>
              </w:rPr>
            </w:pPr>
            <w:hyperlink w:anchor="page3">
              <w:r>
                <w:rPr>
                  <w:rFonts w:ascii="Arial" w:cs="Arial" w:eastAsia="Arial" w:hAnsi="Arial"/>
                  <w:sz w:val="16"/>
                  <w:szCs w:val="16"/>
                  <w:color w:val="0000EE"/>
                  <w:w w:val="98"/>
                </w:rPr>
                <w:t>Item 1</w:t>
              </w:r>
            </w:hyperlink>
          </w:p>
        </w:tc>
        <w:tc>
          <w:tcPr>
            <w:tcW w:w="480" w:type="dxa"/>
            <w:vAlign w:val="bottom"/>
            <w:gridSpan w:val="3"/>
          </w:tcPr>
          <w:p>
            <w:pPr>
              <w:spacing w:after="0"/>
              <w:rPr>
                <w:sz w:val="24"/>
                <w:szCs w:val="24"/>
                <w:color w:val="auto"/>
              </w:rPr>
            </w:pPr>
          </w:p>
        </w:tc>
        <w:tc>
          <w:tcPr>
            <w:tcW w:w="2380" w:type="dxa"/>
            <w:vAlign w:val="bottom"/>
            <w:tcBorders>
              <w:bottom w:val="single" w:sz="8" w:color="0000EE"/>
            </w:tcBorders>
            <w:gridSpan w:val="10"/>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 (unaudited)</w:t>
              </w:r>
            </w:hyperlink>
          </w:p>
        </w:tc>
        <w:tc>
          <w:tcPr>
            <w:tcW w:w="5680" w:type="dxa"/>
            <w:vAlign w:val="bottom"/>
            <w:gridSpan w:val="15"/>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tcBorders>
              <w:bottom w:val="single" w:sz="8" w:color="0000EE"/>
            </w:tcBorders>
            <w:gridSpan w:val="11"/>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Balance Sheets</w:t>
              </w:r>
            </w:hyperlink>
          </w:p>
        </w:tc>
        <w:tc>
          <w:tcPr>
            <w:tcW w:w="5060" w:type="dxa"/>
            <w:vAlign w:val="bottom"/>
            <w:gridSpan w:val="1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Statements of Operations</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tcBorders>
              <w:bottom w:val="single" w:sz="8" w:color="0000EE"/>
            </w:tcBorders>
            <w:gridSpan w:val="16"/>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Cash Flows</w:t>
              </w:r>
            </w:hyperlink>
          </w:p>
        </w:tc>
        <w:tc>
          <w:tcPr>
            <w:tcW w:w="430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80" w:type="dxa"/>
            <w:vAlign w:val="bottom"/>
            <w:tcBorders>
              <w:bottom w:val="single" w:sz="8" w:color="0000EE"/>
            </w:tcBorders>
            <w:gridSpan w:val="20"/>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Stockholders’ Equity</w:t>
              </w:r>
            </w:hyperlink>
          </w:p>
        </w:tc>
        <w:tc>
          <w:tcPr>
            <w:tcW w:w="368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00" w:type="dxa"/>
            <w:vAlign w:val="bottom"/>
            <w:tcBorders>
              <w:bottom w:val="single" w:sz="8" w:color="0000EE"/>
            </w:tcBorders>
            <w:gridSpan w:val="18"/>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Notes to the Condensed Consolidated Financial Statements</w:t>
              </w:r>
            </w:hyperlink>
          </w:p>
        </w:tc>
        <w:tc>
          <w:tcPr>
            <w:tcW w:w="376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rFonts w:ascii="Arial" w:cs="Arial" w:eastAsia="Arial" w:hAnsi="Arial"/>
                <w:sz w:val="16"/>
                <w:szCs w:val="16"/>
                <w:color w:val="0000EE"/>
                <w:w w:val="98"/>
              </w:rPr>
            </w:pPr>
            <w:hyperlink w:anchor="page13">
              <w:r>
                <w:rPr>
                  <w:rFonts w:ascii="Arial" w:cs="Arial" w:eastAsia="Arial" w:hAnsi="Arial"/>
                  <w:sz w:val="16"/>
                  <w:szCs w:val="16"/>
                  <w:color w:val="0000EE"/>
                  <w:w w:val="98"/>
                </w:rPr>
                <w:t>Item 2</w:t>
              </w:r>
            </w:hyperlink>
          </w:p>
        </w:tc>
        <w:tc>
          <w:tcPr>
            <w:tcW w:w="480" w:type="dxa"/>
            <w:vAlign w:val="bottom"/>
            <w:gridSpan w:val="3"/>
          </w:tcPr>
          <w:p>
            <w:pPr>
              <w:spacing w:after="0"/>
              <w:rPr>
                <w:sz w:val="24"/>
                <w:szCs w:val="24"/>
                <w:color w:val="auto"/>
              </w:rPr>
            </w:pPr>
          </w:p>
        </w:tc>
        <w:tc>
          <w:tcPr>
            <w:tcW w:w="6380" w:type="dxa"/>
            <w:vAlign w:val="bottom"/>
            <w:tcBorders>
              <w:bottom w:val="single" w:sz="8" w:color="0000EE"/>
            </w:tcBorders>
            <w:gridSpan w:val="24"/>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Management’s Discussion and Analysis of Financial Condition and Results of Operations</w:t>
              </w:r>
            </w:hyperlink>
          </w:p>
        </w:tc>
        <w:tc>
          <w:tcPr>
            <w:tcW w:w="1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412"/>
        </w:trPr>
        <w:tc>
          <w:tcPr>
            <w:tcW w:w="460" w:type="dxa"/>
            <w:vAlign w:val="bottom"/>
          </w:tcPr>
          <w:p>
            <w:pPr>
              <w:spacing w:after="0"/>
              <w:rPr>
                <w:rFonts w:ascii="Arial" w:cs="Arial" w:eastAsia="Arial" w:hAnsi="Arial"/>
                <w:sz w:val="16"/>
                <w:szCs w:val="16"/>
                <w:color w:val="0000EE"/>
                <w:w w:val="98"/>
              </w:rPr>
            </w:pPr>
            <w:hyperlink w:anchor="page17">
              <w:r>
                <w:rPr>
                  <w:rFonts w:ascii="Arial" w:cs="Arial" w:eastAsia="Arial" w:hAnsi="Arial"/>
                  <w:sz w:val="16"/>
                  <w:szCs w:val="16"/>
                  <w:color w:val="0000EE"/>
                  <w:w w:val="98"/>
                </w:rPr>
                <w:t>Item 3</w:t>
              </w:r>
            </w:hyperlink>
          </w:p>
        </w:tc>
        <w:tc>
          <w:tcPr>
            <w:tcW w:w="480" w:type="dxa"/>
            <w:vAlign w:val="bottom"/>
            <w:gridSpan w:val="3"/>
          </w:tcPr>
          <w:p>
            <w:pPr>
              <w:spacing w:after="0"/>
              <w:rPr>
                <w:sz w:val="24"/>
                <w:szCs w:val="24"/>
                <w:color w:val="auto"/>
              </w:rPr>
            </w:pPr>
          </w:p>
        </w:tc>
        <w:tc>
          <w:tcPr>
            <w:tcW w:w="8060" w:type="dxa"/>
            <w:vAlign w:val="bottom"/>
            <w:gridSpan w:val="25"/>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Quantitative and Qualitative Disclosures About Market Risk</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bottom w:val="single" w:sz="8" w:color="0000EE"/>
            </w:tcBorders>
          </w:tcPr>
          <w:p>
            <w:pPr>
              <w:spacing w:after="0"/>
              <w:rPr>
                <w:rFonts w:ascii="Arial" w:cs="Arial" w:eastAsia="Arial" w:hAnsi="Arial"/>
                <w:sz w:val="16"/>
                <w:szCs w:val="16"/>
                <w:color w:val="0000EE"/>
                <w:w w:val="98"/>
              </w:rPr>
            </w:pPr>
            <w:hyperlink w:anchor="page17">
              <w:r>
                <w:rPr>
                  <w:rFonts w:ascii="Arial" w:cs="Arial" w:eastAsia="Arial" w:hAnsi="Arial"/>
                  <w:sz w:val="16"/>
                  <w:szCs w:val="16"/>
                  <w:color w:val="0000EE"/>
                  <w:w w:val="98"/>
                </w:rPr>
                <w:t>Item 4</w:t>
              </w:r>
            </w:hyperlink>
          </w:p>
        </w:tc>
        <w:tc>
          <w:tcPr>
            <w:tcW w:w="480" w:type="dxa"/>
            <w:vAlign w:val="bottom"/>
            <w:gridSpan w:val="3"/>
          </w:tcPr>
          <w:p>
            <w:pPr>
              <w:spacing w:after="0"/>
              <w:rPr>
                <w:sz w:val="24"/>
                <w:szCs w:val="24"/>
                <w:color w:val="auto"/>
              </w:rPr>
            </w:pPr>
          </w:p>
        </w:tc>
        <w:tc>
          <w:tcPr>
            <w:tcW w:w="1800" w:type="dxa"/>
            <w:vAlign w:val="bottom"/>
            <w:tcBorders>
              <w:top w:val="single" w:sz="8" w:color="0000EE"/>
              <w:bottom w:val="single" w:sz="8" w:color="0000EE"/>
            </w:tcBorders>
            <w:gridSpan w:val="7"/>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Controls and Procedures</w:t>
              </w:r>
            </w:hyperlink>
          </w:p>
        </w:tc>
        <w:tc>
          <w:tcPr>
            <w:tcW w:w="2440" w:type="dxa"/>
            <w:vAlign w:val="bottom"/>
            <w:tcBorders>
              <w:top w:val="single" w:sz="8" w:color="0000EE"/>
            </w:tcBorders>
            <w:gridSpan w:val="10"/>
          </w:tcPr>
          <w:p>
            <w:pPr>
              <w:spacing w:after="0"/>
              <w:rPr>
                <w:sz w:val="24"/>
                <w:szCs w:val="24"/>
                <w:color w:val="auto"/>
              </w:rPr>
            </w:pPr>
          </w:p>
        </w:tc>
        <w:tc>
          <w:tcPr>
            <w:tcW w:w="382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560" w:type="dxa"/>
            <w:vAlign w:val="bottom"/>
            <w:tcBorders>
              <w:bottom w:val="single" w:sz="8" w:color="0000EE"/>
            </w:tcBorders>
            <w:gridSpan w:val="3"/>
          </w:tcPr>
          <w:p>
            <w:pPr>
              <w:spacing w:after="0"/>
              <w:rPr>
                <w:rFonts w:ascii="Arial" w:cs="Arial" w:eastAsia="Arial" w:hAnsi="Arial"/>
                <w:sz w:val="16"/>
                <w:szCs w:val="16"/>
                <w:color w:val="0000EE"/>
                <w:w w:val="96"/>
              </w:rPr>
            </w:pPr>
            <w:hyperlink w:anchor="page18">
              <w:r>
                <w:rPr>
                  <w:rFonts w:ascii="Arial" w:cs="Arial" w:eastAsia="Arial" w:hAnsi="Arial"/>
                  <w:sz w:val="16"/>
                  <w:szCs w:val="16"/>
                  <w:color w:val="0000EE"/>
                  <w:w w:val="96"/>
                </w:rPr>
                <w:t>PART II</w:t>
              </w:r>
            </w:hyperlink>
          </w:p>
        </w:tc>
        <w:tc>
          <w:tcPr>
            <w:tcW w:w="380" w:type="dxa"/>
            <w:vAlign w:val="bottom"/>
          </w:tcPr>
          <w:p>
            <w:pPr>
              <w:spacing w:after="0"/>
              <w:rPr>
                <w:sz w:val="24"/>
                <w:szCs w:val="24"/>
                <w:color w:val="auto"/>
              </w:rPr>
            </w:pPr>
          </w:p>
        </w:tc>
        <w:tc>
          <w:tcPr>
            <w:tcW w:w="1740" w:type="dxa"/>
            <w:vAlign w:val="bottom"/>
            <w:tcBorders>
              <w:bottom w:val="single" w:sz="8" w:color="0000EE"/>
            </w:tcBorders>
            <w:gridSpan w:val="6"/>
          </w:tcPr>
          <w:p>
            <w:pPr>
              <w:spacing w:after="0"/>
              <w:rPr>
                <w:rFonts w:ascii="Arial" w:cs="Arial" w:eastAsia="Arial" w:hAnsi="Arial"/>
                <w:sz w:val="16"/>
                <w:szCs w:val="16"/>
                <w:color w:val="0000EE"/>
                <w:w w:val="99"/>
              </w:rPr>
            </w:pPr>
            <w:hyperlink w:anchor="page18">
              <w:r>
                <w:rPr>
                  <w:rFonts w:ascii="Arial" w:cs="Arial" w:eastAsia="Arial" w:hAnsi="Arial"/>
                  <w:sz w:val="16"/>
                  <w:szCs w:val="16"/>
                  <w:color w:val="0000EE"/>
                  <w:w w:val="99"/>
                </w:rPr>
                <w:t>OTHER INFORMATION</w:t>
              </w:r>
            </w:hyperlink>
          </w:p>
        </w:tc>
        <w:tc>
          <w:tcPr>
            <w:tcW w:w="6320" w:type="dxa"/>
            <w:vAlign w:val="bottom"/>
            <w:gridSpan w:val="19"/>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rFonts w:ascii="Arial" w:cs="Arial" w:eastAsia="Arial" w:hAnsi="Arial"/>
                <w:sz w:val="16"/>
                <w:szCs w:val="16"/>
                <w:color w:val="0000EE"/>
                <w:w w:val="98"/>
              </w:rPr>
            </w:pPr>
            <w:hyperlink w:anchor="page18">
              <w:r>
                <w:rPr>
                  <w:rFonts w:ascii="Arial" w:cs="Arial" w:eastAsia="Arial" w:hAnsi="Arial"/>
                  <w:sz w:val="16"/>
                  <w:szCs w:val="16"/>
                  <w:color w:val="0000EE"/>
                  <w:w w:val="98"/>
                </w:rPr>
                <w:t>Item 1</w:t>
              </w:r>
            </w:hyperlink>
          </w:p>
        </w:tc>
        <w:tc>
          <w:tcPr>
            <w:tcW w:w="480" w:type="dxa"/>
            <w:vAlign w:val="bottom"/>
            <w:gridSpan w:val="3"/>
          </w:tcPr>
          <w:p>
            <w:pPr>
              <w:spacing w:after="0"/>
              <w:rPr>
                <w:sz w:val="24"/>
                <w:szCs w:val="24"/>
                <w:color w:val="auto"/>
              </w:rPr>
            </w:pPr>
          </w:p>
        </w:tc>
        <w:tc>
          <w:tcPr>
            <w:tcW w:w="8060" w:type="dxa"/>
            <w:vAlign w:val="bottom"/>
            <w:gridSpan w:val="25"/>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Legal Proceedings</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4"/>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Item 1A</w:t>
              </w:r>
            </w:hyperlink>
          </w:p>
        </w:tc>
        <w:tc>
          <w:tcPr>
            <w:tcW w:w="8060" w:type="dxa"/>
            <w:vAlign w:val="bottom"/>
            <w:gridSpan w:val="25"/>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Risk Factors</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rFonts w:ascii="Arial" w:cs="Arial" w:eastAsia="Arial" w:hAnsi="Arial"/>
                <w:sz w:val="16"/>
                <w:szCs w:val="16"/>
                <w:color w:val="0000EE"/>
                <w:w w:val="98"/>
              </w:rPr>
            </w:pPr>
            <w:hyperlink w:anchor="page18">
              <w:r>
                <w:rPr>
                  <w:rFonts w:ascii="Arial" w:cs="Arial" w:eastAsia="Arial" w:hAnsi="Arial"/>
                  <w:sz w:val="16"/>
                  <w:szCs w:val="16"/>
                  <w:color w:val="0000EE"/>
                  <w:w w:val="98"/>
                </w:rPr>
                <w:t>Item 2</w:t>
              </w:r>
            </w:hyperlink>
          </w:p>
        </w:tc>
        <w:tc>
          <w:tcPr>
            <w:tcW w:w="10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bottom w:val="single" w:sz="8" w:color="0000EE"/>
            </w:tcBorders>
          </w:tcPr>
          <w:p>
            <w:pPr>
              <w:spacing w:after="0"/>
              <w:rPr>
                <w:rFonts w:ascii="Arial" w:cs="Arial" w:eastAsia="Arial" w:hAnsi="Arial"/>
                <w:sz w:val="16"/>
                <w:szCs w:val="16"/>
                <w:color w:val="0000EE"/>
                <w:w w:val="98"/>
              </w:rPr>
            </w:pPr>
            <w:hyperlink w:anchor="page18">
              <w:r>
                <w:rPr>
                  <w:rFonts w:ascii="Arial" w:cs="Arial" w:eastAsia="Arial" w:hAnsi="Arial"/>
                  <w:sz w:val="16"/>
                  <w:szCs w:val="16"/>
                  <w:color w:val="0000EE"/>
                  <w:w w:val="98"/>
                </w:rPr>
                <w:t>Item 3</w:t>
              </w:r>
            </w:hyperlink>
          </w:p>
        </w:tc>
        <w:tc>
          <w:tcPr>
            <w:tcW w:w="480" w:type="dxa"/>
            <w:vAlign w:val="bottom"/>
            <w:gridSpan w:val="3"/>
          </w:tcPr>
          <w:p>
            <w:pPr>
              <w:spacing w:after="0"/>
              <w:rPr>
                <w:sz w:val="24"/>
                <w:szCs w:val="24"/>
                <w:color w:val="auto"/>
              </w:rPr>
            </w:pPr>
          </w:p>
        </w:tc>
        <w:tc>
          <w:tcPr>
            <w:tcW w:w="2300" w:type="dxa"/>
            <w:vAlign w:val="bottom"/>
            <w:tcBorders>
              <w:top w:val="single" w:sz="8" w:color="0000EE"/>
              <w:bottom w:val="single" w:sz="8" w:color="0000EE"/>
            </w:tcBorders>
            <w:gridSpan w:val="9"/>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Defaults Upon Senior Securities</w:t>
              </w:r>
            </w:hyperlink>
          </w:p>
        </w:tc>
        <w:tc>
          <w:tcPr>
            <w:tcW w:w="2060" w:type="dxa"/>
            <w:vAlign w:val="bottom"/>
            <w:tcBorders>
              <w:top w:val="single" w:sz="8" w:color="0000EE"/>
            </w:tcBorders>
            <w:gridSpan w:val="10"/>
          </w:tcPr>
          <w:p>
            <w:pPr>
              <w:spacing w:after="0"/>
              <w:rPr>
                <w:sz w:val="24"/>
                <w:szCs w:val="24"/>
                <w:color w:val="auto"/>
              </w:rPr>
            </w:pPr>
          </w:p>
        </w:tc>
        <w:tc>
          <w:tcPr>
            <w:tcW w:w="370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rFonts w:ascii="Arial" w:cs="Arial" w:eastAsia="Arial" w:hAnsi="Arial"/>
                <w:sz w:val="16"/>
                <w:szCs w:val="16"/>
                <w:color w:val="0000EE"/>
                <w:w w:val="98"/>
              </w:rPr>
            </w:pPr>
            <w:hyperlink w:anchor="page18">
              <w:r>
                <w:rPr>
                  <w:rFonts w:ascii="Arial" w:cs="Arial" w:eastAsia="Arial" w:hAnsi="Arial"/>
                  <w:sz w:val="16"/>
                  <w:szCs w:val="16"/>
                  <w:color w:val="0000EE"/>
                  <w:w w:val="98"/>
                </w:rPr>
                <w:t>Item 4</w:t>
              </w:r>
            </w:hyperlink>
          </w:p>
        </w:tc>
        <w:tc>
          <w:tcPr>
            <w:tcW w:w="480" w:type="dxa"/>
            <w:vAlign w:val="bottom"/>
            <w:gridSpan w:val="3"/>
          </w:tcPr>
          <w:p>
            <w:pPr>
              <w:spacing w:after="0"/>
              <w:rPr>
                <w:sz w:val="24"/>
                <w:szCs w:val="24"/>
                <w:color w:val="auto"/>
              </w:rPr>
            </w:pPr>
          </w:p>
        </w:tc>
        <w:tc>
          <w:tcPr>
            <w:tcW w:w="1740" w:type="dxa"/>
            <w:vAlign w:val="bottom"/>
            <w:tcBorders>
              <w:bottom w:val="single" w:sz="8" w:color="0000EE"/>
            </w:tcBorders>
            <w:gridSpan w:val="6"/>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Mine Safety Disclosures</w:t>
              </w:r>
            </w:hyperlink>
          </w:p>
        </w:tc>
        <w:tc>
          <w:tcPr>
            <w:tcW w:w="632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12"/>
        </w:trPr>
        <w:tc>
          <w:tcPr>
            <w:tcW w:w="460" w:type="dxa"/>
            <w:vAlign w:val="bottom"/>
          </w:tcPr>
          <w:p>
            <w:pPr>
              <w:spacing w:after="0"/>
              <w:rPr>
                <w:rFonts w:ascii="Arial" w:cs="Arial" w:eastAsia="Arial" w:hAnsi="Arial"/>
                <w:sz w:val="16"/>
                <w:szCs w:val="16"/>
                <w:color w:val="0000EE"/>
                <w:w w:val="98"/>
              </w:rPr>
            </w:pPr>
            <w:hyperlink w:anchor="page18">
              <w:r>
                <w:rPr>
                  <w:rFonts w:ascii="Arial" w:cs="Arial" w:eastAsia="Arial" w:hAnsi="Arial"/>
                  <w:sz w:val="16"/>
                  <w:szCs w:val="16"/>
                  <w:color w:val="0000EE"/>
                  <w:w w:val="98"/>
                </w:rPr>
                <w:t>Item 5</w:t>
              </w:r>
            </w:hyperlink>
          </w:p>
        </w:tc>
        <w:tc>
          <w:tcPr>
            <w:tcW w:w="480" w:type="dxa"/>
            <w:vAlign w:val="bottom"/>
            <w:gridSpan w:val="3"/>
          </w:tcPr>
          <w:p>
            <w:pPr>
              <w:spacing w:after="0"/>
              <w:rPr>
                <w:sz w:val="24"/>
                <w:szCs w:val="24"/>
                <w:color w:val="auto"/>
              </w:rPr>
            </w:pPr>
          </w:p>
        </w:tc>
        <w:tc>
          <w:tcPr>
            <w:tcW w:w="8060" w:type="dxa"/>
            <w:vAlign w:val="bottom"/>
            <w:gridSpan w:val="25"/>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Other Information</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tcBorders>
          </w:tcPr>
          <w:p>
            <w:pPr>
              <w:spacing w:after="0"/>
              <w:rPr>
                <w:rFonts w:ascii="Arial" w:cs="Arial" w:eastAsia="Arial" w:hAnsi="Arial"/>
                <w:sz w:val="16"/>
                <w:szCs w:val="16"/>
                <w:color w:val="0000EE"/>
                <w:w w:val="98"/>
              </w:rPr>
            </w:pPr>
            <w:hyperlink w:anchor="page19">
              <w:r>
                <w:rPr>
                  <w:rFonts w:ascii="Arial" w:cs="Arial" w:eastAsia="Arial" w:hAnsi="Arial"/>
                  <w:sz w:val="16"/>
                  <w:szCs w:val="16"/>
                  <w:color w:val="0000EE"/>
                  <w:w w:val="98"/>
                </w:rPr>
                <w:t>Item 6</w:t>
              </w:r>
            </w:hyperlink>
          </w:p>
        </w:tc>
        <w:tc>
          <w:tcPr>
            <w:tcW w:w="480" w:type="dxa"/>
            <w:vAlign w:val="bottom"/>
            <w:gridSpan w:val="3"/>
          </w:tcPr>
          <w:p>
            <w:pPr>
              <w:spacing w:after="0"/>
              <w:rPr>
                <w:sz w:val="24"/>
                <w:szCs w:val="24"/>
                <w:color w:val="auto"/>
              </w:rPr>
            </w:pPr>
          </w:p>
        </w:tc>
        <w:tc>
          <w:tcPr>
            <w:tcW w:w="1260" w:type="dxa"/>
            <w:vAlign w:val="bottom"/>
            <w:tcBorders>
              <w:top w:val="single" w:sz="8" w:color="0000EE"/>
            </w:tcBorders>
            <w:gridSpan w:val="4"/>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Exhibits</w:t>
              </w:r>
            </w:hyperlink>
          </w:p>
        </w:tc>
        <w:tc>
          <w:tcPr>
            <w:tcW w:w="6800" w:type="dxa"/>
            <w:vAlign w:val="bottom"/>
            <w:gridSpan w:val="2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20" w:type="dxa"/>
            <w:vAlign w:val="bottom"/>
            <w:gridSpan w:val="2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SIGNATURES</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October 30,</w:t>
            </w: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30,</w:t>
            </w:r>
          </w:p>
        </w:tc>
      </w:tr>
      <w:tr>
        <w:trPr>
          <w:trHeight w:val="175"/>
        </w:trPr>
        <w:tc>
          <w:tcPr>
            <w:tcW w:w="74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5"/>
                <w:szCs w:val="15"/>
                <w:color w:val="auto"/>
              </w:rPr>
            </w:pPr>
          </w:p>
        </w:tc>
      </w:tr>
      <w:tr>
        <w:trPr>
          <w:trHeight w:val="196"/>
        </w:trPr>
        <w:tc>
          <w:tcPr>
            <w:tcW w:w="7420" w:type="dxa"/>
            <w:vAlign w:val="bottom"/>
            <w:shd w:val="clear" w:color="auto" w:fill="CCEEFF"/>
          </w:tcPr>
          <w:p>
            <w:pPr>
              <w:ind w:left="3400"/>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742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123,177</w:t>
            </w:r>
          </w:p>
        </w:tc>
        <w:tc>
          <w:tcPr>
            <w:tcW w:w="280" w:type="dxa"/>
            <w:vAlign w:val="bottom"/>
            <w:shd w:val="clear" w:color="auto" w:fill="CCEEFF"/>
          </w:tcPr>
          <w:p>
            <w:pPr>
              <w:spacing w:after="0"/>
              <w:rPr>
                <w:sz w:val="17"/>
                <w:szCs w:val="17"/>
                <w:color w:val="auto"/>
              </w:rPr>
            </w:pPr>
          </w:p>
        </w:tc>
      </w:tr>
      <w:tr>
        <w:trPr>
          <w:trHeight w:val="203"/>
        </w:trPr>
        <w:tc>
          <w:tcPr>
            <w:tcW w:w="7420" w:type="dxa"/>
            <w:vAlign w:val="bottom"/>
          </w:tcPr>
          <w:p>
            <w:pPr>
              <w:ind w:left="220"/>
              <w:spacing w:after="0"/>
              <w:rPr>
                <w:sz w:val="20"/>
                <w:szCs w:val="20"/>
                <w:color w:val="auto"/>
              </w:rPr>
            </w:pPr>
            <w:r>
              <w:rPr>
                <w:rFonts w:ascii="Arial" w:cs="Arial" w:eastAsia="Arial" w:hAnsi="Arial"/>
                <w:sz w:val="16"/>
                <w:szCs w:val="16"/>
                <w:color w:val="auto"/>
              </w:rPr>
              <w:t>Short-term investment securities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35,462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r>
      <w:tr>
        <w:trPr>
          <w:trHeight w:val="203"/>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126,899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103,845</w:t>
            </w:r>
          </w:p>
        </w:tc>
        <w:tc>
          <w:tcPr>
            <w:tcW w:w="280" w:type="dxa"/>
            <w:vAlign w:val="bottom"/>
            <w:shd w:val="clear" w:color="auto" w:fill="CCEEFF"/>
          </w:tcPr>
          <w:p>
            <w:pPr>
              <w:spacing w:after="0"/>
              <w:rPr>
                <w:sz w:val="17"/>
                <w:szCs w:val="17"/>
                <w:color w:val="auto"/>
              </w:rPr>
            </w:pPr>
          </w:p>
        </w:tc>
      </w:tr>
      <w:tr>
        <w:trPr>
          <w:trHeight w:val="203"/>
        </w:trPr>
        <w:tc>
          <w:tcPr>
            <w:tcW w:w="7420" w:type="dxa"/>
            <w:vAlign w:val="bottom"/>
          </w:tcPr>
          <w:p>
            <w:pPr>
              <w:ind w:left="220"/>
              <w:spacing w:after="0"/>
              <w:rPr>
                <w:sz w:val="20"/>
                <w:szCs w:val="20"/>
                <w:color w:val="auto"/>
              </w:rPr>
            </w:pPr>
            <w:r>
              <w:rPr>
                <w:rFonts w:ascii="Arial" w:cs="Arial" w:eastAsia="Arial" w:hAnsi="Arial"/>
                <w:sz w:val="16"/>
                <w:szCs w:val="16"/>
                <w:color w:val="auto"/>
              </w:rPr>
              <w:t>Prepaid and other current assets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17,095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17,420</w:t>
            </w:r>
          </w:p>
        </w:tc>
        <w:tc>
          <w:tcPr>
            <w:tcW w:w="280" w:type="dxa"/>
            <w:vAlign w:val="bottom"/>
          </w:tcPr>
          <w:p>
            <w:pPr>
              <w:spacing w:after="0"/>
              <w:rPr>
                <w:sz w:val="17"/>
                <w:szCs w:val="17"/>
                <w:color w:val="auto"/>
              </w:rPr>
            </w:pPr>
          </w:p>
        </w:tc>
      </w:tr>
      <w:tr>
        <w:trPr>
          <w:trHeight w:val="203"/>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receivable</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r>
      <w:tr>
        <w:trPr>
          <w:trHeight w:val="183"/>
        </w:trPr>
        <w:tc>
          <w:tcPr>
            <w:tcW w:w="7420" w:type="dxa"/>
            <w:vAlign w:val="bottom"/>
          </w:tcPr>
          <w:p>
            <w:pPr>
              <w:ind w:left="340"/>
              <w:spacing w:after="0" w:line="183" w:lineRule="exact"/>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193,776</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244,442</w:t>
            </w:r>
          </w:p>
        </w:tc>
        <w:tc>
          <w:tcPr>
            <w:tcW w:w="280" w:type="dxa"/>
            <w:vAlign w:val="bottom"/>
          </w:tcPr>
          <w:p>
            <w:pPr>
              <w:spacing w:after="0"/>
              <w:rPr>
                <w:sz w:val="15"/>
                <w:szCs w:val="15"/>
                <w:color w:val="auto"/>
              </w:rPr>
            </w:pPr>
          </w:p>
        </w:tc>
      </w:tr>
      <w:tr>
        <w:trPr>
          <w:trHeight w:val="191"/>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 of accumulated depreciation of $281,004 and $279,080 as of October</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187"/>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30, 2021 and January 30, 2021, respectively</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71,945</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63,514</w:t>
            </w:r>
          </w:p>
        </w:tc>
        <w:tc>
          <w:tcPr>
            <w:tcW w:w="280" w:type="dxa"/>
            <w:vAlign w:val="bottom"/>
            <w:shd w:val="clear" w:color="auto" w:fill="CCEEFF"/>
          </w:tcPr>
          <w:p>
            <w:pPr>
              <w:spacing w:after="0"/>
              <w:rPr>
                <w:sz w:val="16"/>
                <w:szCs w:val="16"/>
                <w:color w:val="auto"/>
              </w:rPr>
            </w:pPr>
          </w:p>
        </w:tc>
      </w:tr>
      <w:tr>
        <w:trPr>
          <w:trHeight w:val="203"/>
        </w:trPr>
        <w:tc>
          <w:tcPr>
            <w:tcW w:w="7420" w:type="dxa"/>
            <w:vAlign w:val="bottom"/>
          </w:tcPr>
          <w:p>
            <w:pPr>
              <w:ind w:left="220"/>
              <w:spacing w:after="0"/>
              <w:rPr>
                <w:sz w:val="20"/>
                <w:szCs w:val="20"/>
                <w:color w:val="auto"/>
              </w:rPr>
            </w:pPr>
            <w:r>
              <w:rPr>
                <w:rFonts w:ascii="Arial" w:cs="Arial" w:eastAsia="Arial" w:hAnsi="Arial"/>
                <w:sz w:val="16"/>
                <w:szCs w:val="16"/>
                <w:color w:val="auto"/>
              </w:rPr>
              <w:t>Operating lease right of use assets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196,529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179,673</w:t>
            </w:r>
          </w:p>
        </w:tc>
        <w:tc>
          <w:tcPr>
            <w:tcW w:w="280" w:type="dxa"/>
            <w:vAlign w:val="bottom"/>
          </w:tcPr>
          <w:p>
            <w:pPr>
              <w:spacing w:after="0"/>
              <w:rPr>
                <w:sz w:val="17"/>
                <w:szCs w:val="17"/>
                <w:color w:val="auto"/>
              </w:rPr>
            </w:pPr>
          </w:p>
        </w:tc>
      </w:tr>
      <w:tr>
        <w:trPr>
          <w:trHeight w:val="203"/>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6,195</w:t>
            </w:r>
          </w:p>
        </w:tc>
        <w:tc>
          <w:tcPr>
            <w:tcW w:w="280" w:type="dxa"/>
            <w:vAlign w:val="bottom"/>
            <w:shd w:val="clear" w:color="auto" w:fill="CCEEFF"/>
          </w:tcPr>
          <w:p>
            <w:pPr>
              <w:spacing w:after="0"/>
              <w:rPr>
                <w:sz w:val="17"/>
                <w:szCs w:val="17"/>
                <w:color w:val="auto"/>
              </w:rPr>
            </w:pPr>
          </w:p>
        </w:tc>
      </w:tr>
      <w:tr>
        <w:trPr>
          <w:trHeight w:val="203"/>
        </w:trPr>
        <w:tc>
          <w:tcPr>
            <w:tcW w:w="7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w:t>
            </w:r>
          </w:p>
        </w:tc>
        <w:tc>
          <w:tcPr>
            <w:tcW w:w="280" w:type="dxa"/>
            <w:vAlign w:val="bottom"/>
            <w:tcBorders>
              <w:bottom w:val="single" w:sz="8" w:color="CCEEFF"/>
            </w:tcBorders>
          </w:tcPr>
          <w:p>
            <w:pPr>
              <w:spacing w:after="0"/>
              <w:rPr>
                <w:sz w:val="17"/>
                <w:szCs w:val="17"/>
                <w:color w:val="auto"/>
              </w:rPr>
            </w:pPr>
          </w:p>
        </w:tc>
      </w:tr>
      <w:tr>
        <w:trPr>
          <w:trHeight w:val="183"/>
        </w:trPr>
        <w:tc>
          <w:tcPr>
            <w:tcW w:w="742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Total assets</w:t>
            </w:r>
          </w:p>
        </w:tc>
        <w:tc>
          <w:tcPr>
            <w:tcW w:w="300" w:type="dxa"/>
            <w:vAlign w:val="bottom"/>
            <w:gridSpan w:val="2"/>
            <w:shd w:val="clear" w:color="auto" w:fill="CCEEFF"/>
          </w:tcPr>
          <w:p>
            <w:pPr>
              <w:jc w:val="right"/>
              <w:ind w:right="8"/>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467,569</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494,593</w:t>
            </w:r>
          </w:p>
        </w:tc>
        <w:tc>
          <w:tcPr>
            <w:tcW w:w="280" w:type="dxa"/>
            <w:vAlign w:val="bottom"/>
            <w:shd w:val="clear" w:color="auto" w:fill="CCEEFF"/>
          </w:tcPr>
          <w:p>
            <w:pPr>
              <w:spacing w:after="0"/>
              <w:rPr>
                <w:sz w:val="15"/>
                <w:szCs w:val="15"/>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r>
        <w:trPr>
          <w:trHeight w:val="170"/>
        </w:trPr>
        <w:tc>
          <w:tcPr>
            <w:tcW w:w="7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3"/>
        </w:trPr>
        <w:tc>
          <w:tcPr>
            <w:tcW w:w="7420" w:type="dxa"/>
            <w:vAlign w:val="bottom"/>
            <w:shd w:val="clear" w:color="auto" w:fill="CCEEFF"/>
          </w:tcPr>
          <w:p>
            <w:pPr>
              <w:ind w:left="230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7420" w:type="dxa"/>
            <w:vAlign w:val="bottom"/>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102,599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84,832</w:t>
            </w:r>
          </w:p>
        </w:tc>
        <w:tc>
          <w:tcPr>
            <w:tcW w:w="280" w:type="dxa"/>
            <w:vAlign w:val="bottom"/>
            <w:shd w:val="clear" w:color="auto" w:fill="CCEEFF"/>
          </w:tcPr>
          <w:p>
            <w:pPr>
              <w:spacing w:after="0"/>
              <w:rPr>
                <w:sz w:val="17"/>
                <w:szCs w:val="17"/>
                <w:color w:val="auto"/>
              </w:rPr>
            </w:pPr>
          </w:p>
        </w:tc>
      </w:tr>
      <w:tr>
        <w:trPr>
          <w:trHeight w:val="202"/>
        </w:trPr>
        <w:tc>
          <w:tcPr>
            <w:tcW w:w="742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47,141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46,983</w:t>
            </w:r>
          </w:p>
        </w:tc>
        <w:tc>
          <w:tcPr>
            <w:tcW w:w="280" w:type="dxa"/>
            <w:vAlign w:val="bottom"/>
          </w:tcPr>
          <w:p>
            <w:pPr>
              <w:spacing w:after="0"/>
              <w:rPr>
                <w:sz w:val="17"/>
                <w:szCs w:val="17"/>
                <w:color w:val="auto"/>
              </w:rPr>
            </w:pPr>
          </w:p>
        </w:tc>
      </w:tr>
      <w:tr>
        <w:trPr>
          <w:trHeight w:val="203"/>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16,592</w:t>
            </w:r>
          </w:p>
        </w:tc>
        <w:tc>
          <w:tcPr>
            <w:tcW w:w="280" w:type="dxa"/>
            <w:vAlign w:val="bottom"/>
            <w:shd w:val="clear" w:color="auto" w:fill="CCEEFF"/>
          </w:tcPr>
          <w:p>
            <w:pPr>
              <w:spacing w:after="0"/>
              <w:rPr>
                <w:sz w:val="17"/>
                <w:szCs w:val="17"/>
                <w:color w:val="auto"/>
              </w:rPr>
            </w:pPr>
          </w:p>
        </w:tc>
      </w:tr>
      <w:tr>
        <w:trPr>
          <w:trHeight w:val="203"/>
        </w:trPr>
        <w:tc>
          <w:tcPr>
            <w:tcW w:w="7420" w:type="dxa"/>
            <w:vAlign w:val="bottom"/>
          </w:tcPr>
          <w:p>
            <w:pPr>
              <w:ind w:left="220"/>
              <w:spacing w:after="0"/>
              <w:rPr>
                <w:sz w:val="20"/>
                <w:szCs w:val="20"/>
                <w:color w:val="auto"/>
              </w:rPr>
            </w:pPr>
            <w:r>
              <w:rPr>
                <w:rFonts w:ascii="Arial" w:cs="Arial" w:eastAsia="Arial" w:hAnsi="Arial"/>
                <w:sz w:val="16"/>
                <w:szCs w:val="16"/>
                <w:color w:val="auto"/>
              </w:rPr>
              <w:t>Accrued compensation</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22,849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29,315</w:t>
            </w:r>
          </w:p>
        </w:tc>
        <w:tc>
          <w:tcPr>
            <w:tcW w:w="280" w:type="dxa"/>
            <w:vAlign w:val="bottom"/>
          </w:tcPr>
          <w:p>
            <w:pPr>
              <w:spacing w:after="0"/>
              <w:rPr>
                <w:sz w:val="17"/>
                <w:szCs w:val="17"/>
                <w:color w:val="auto"/>
              </w:rPr>
            </w:pPr>
          </w:p>
        </w:tc>
      </w:tr>
      <w:tr>
        <w:trPr>
          <w:trHeight w:val="203"/>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payable</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4,623</w:t>
            </w:r>
          </w:p>
        </w:tc>
        <w:tc>
          <w:tcPr>
            <w:tcW w:w="280" w:type="dxa"/>
            <w:vAlign w:val="bottom"/>
            <w:shd w:val="clear" w:color="auto" w:fill="CCEEFF"/>
          </w:tcPr>
          <w:p>
            <w:pPr>
              <w:spacing w:after="0"/>
              <w:rPr>
                <w:sz w:val="17"/>
                <w:szCs w:val="17"/>
                <w:color w:val="auto"/>
              </w:rPr>
            </w:pPr>
          </w:p>
        </w:tc>
      </w:tr>
      <w:tr>
        <w:trPr>
          <w:trHeight w:val="203"/>
        </w:trPr>
        <w:tc>
          <w:tcPr>
            <w:tcW w:w="7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Layaway deposits</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280" w:type="dxa"/>
            <w:vAlign w:val="bottom"/>
            <w:tcBorders>
              <w:bottom w:val="single" w:sz="8" w:color="CCEEFF"/>
            </w:tcBorders>
          </w:tcPr>
          <w:p>
            <w:pPr>
              <w:spacing w:after="0"/>
              <w:rPr>
                <w:sz w:val="17"/>
                <w:szCs w:val="17"/>
                <w:color w:val="auto"/>
              </w:rPr>
            </w:pPr>
          </w:p>
        </w:tc>
      </w:tr>
      <w:tr>
        <w:trPr>
          <w:trHeight w:val="183"/>
        </w:trPr>
        <w:tc>
          <w:tcPr>
            <w:tcW w:w="742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192,916</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182,845</w:t>
            </w:r>
          </w:p>
        </w:tc>
        <w:tc>
          <w:tcPr>
            <w:tcW w:w="280" w:type="dxa"/>
            <w:vAlign w:val="bottom"/>
            <w:shd w:val="clear" w:color="auto" w:fill="CCEEFF"/>
          </w:tcPr>
          <w:p>
            <w:pPr>
              <w:spacing w:after="0"/>
              <w:rPr>
                <w:sz w:val="15"/>
                <w:szCs w:val="15"/>
                <w:color w:val="auto"/>
              </w:rPr>
            </w:pPr>
          </w:p>
        </w:tc>
      </w:tr>
      <w:tr>
        <w:trPr>
          <w:trHeight w:val="203"/>
        </w:trPr>
        <w:tc>
          <w:tcPr>
            <w:tcW w:w="7420" w:type="dxa"/>
            <w:vAlign w:val="bottom"/>
          </w:tcPr>
          <w:p>
            <w:pPr>
              <w:spacing w:after="0"/>
              <w:rPr>
                <w:sz w:val="20"/>
                <w:szCs w:val="20"/>
                <w:color w:val="auto"/>
              </w:rPr>
            </w:pPr>
            <w:r>
              <w:rPr>
                <w:rFonts w:ascii="Arial" w:cs="Arial" w:eastAsia="Arial" w:hAnsi="Arial"/>
                <w:sz w:val="16"/>
                <w:szCs w:val="16"/>
                <w:color w:val="auto"/>
              </w:rPr>
              <w:t>Noncurrent operating lease liabilities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163,390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145,828</w:t>
            </w:r>
          </w:p>
        </w:tc>
        <w:tc>
          <w:tcPr>
            <w:tcW w:w="280" w:type="dxa"/>
            <w:vAlign w:val="bottom"/>
          </w:tcPr>
          <w:p>
            <w:pPr>
              <w:spacing w:after="0"/>
              <w:rPr>
                <w:sz w:val="17"/>
                <w:szCs w:val="17"/>
                <w:color w:val="auto"/>
              </w:rPr>
            </w:pPr>
          </w:p>
        </w:tc>
      </w:tr>
      <w:tr>
        <w:trPr>
          <w:trHeight w:val="203"/>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2,286</w:t>
            </w:r>
          </w:p>
        </w:tc>
        <w:tc>
          <w:tcPr>
            <w:tcW w:w="280" w:type="dxa"/>
            <w:vAlign w:val="bottom"/>
            <w:shd w:val="clear" w:color="auto" w:fill="CCEEFF"/>
          </w:tcPr>
          <w:p>
            <w:pPr>
              <w:spacing w:after="0"/>
              <w:rPr>
                <w:sz w:val="17"/>
                <w:szCs w:val="17"/>
                <w:color w:val="auto"/>
              </w:rPr>
            </w:pPr>
          </w:p>
        </w:tc>
      </w:tr>
      <w:tr>
        <w:trPr>
          <w:trHeight w:val="183"/>
        </w:trPr>
        <w:tc>
          <w:tcPr>
            <w:tcW w:w="7420" w:type="dxa"/>
            <w:vAlign w:val="bottom"/>
            <w:tcBorders>
              <w:bottom w:val="single" w:sz="8" w:color="CCEEFF"/>
            </w:tcBorders>
          </w:tcPr>
          <w:p>
            <w:pPr>
              <w:ind w:left="340"/>
              <w:spacing w:after="0" w:line="183" w:lineRule="exact"/>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358,309</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330,959</w:t>
            </w:r>
          </w:p>
        </w:tc>
        <w:tc>
          <w:tcPr>
            <w:tcW w:w="280" w:type="dxa"/>
            <w:vAlign w:val="bottom"/>
            <w:tcBorders>
              <w:bottom w:val="single" w:sz="8" w:color="CCEEFF"/>
            </w:tcBorders>
          </w:tcPr>
          <w:p>
            <w:pPr>
              <w:spacing w:after="0"/>
              <w:rPr>
                <w:sz w:val="15"/>
                <w:szCs w:val="15"/>
                <w:color w:val="auto"/>
              </w:rPr>
            </w:pPr>
          </w:p>
        </w:tc>
      </w:tr>
      <w:tr>
        <w:trPr>
          <w:trHeight w:val="183"/>
        </w:trPr>
        <w:tc>
          <w:tcPr>
            <w:tcW w:w="7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203"/>
        </w:trPr>
        <w:tc>
          <w:tcPr>
            <w:tcW w:w="7420" w:type="dxa"/>
            <w:vAlign w:val="bottom"/>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1"/>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$0.01 par value. Authorized 32,000,000 shares; 15,967,965 shares issued as of</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189"/>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October 30, 2021 and 15,981,394 shares issued as of January 30, 2021; 8,590,129 shares</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187"/>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outstanding as of October 30, 2021 and 9,876,901 shares outstanding as of January 30, 2021</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280" w:type="dxa"/>
            <w:vAlign w:val="bottom"/>
            <w:shd w:val="clear" w:color="auto" w:fill="CCEEFF"/>
          </w:tcPr>
          <w:p>
            <w:pPr>
              <w:spacing w:after="0"/>
              <w:rPr>
                <w:sz w:val="16"/>
                <w:szCs w:val="16"/>
                <w:color w:val="auto"/>
              </w:rPr>
            </w:pPr>
          </w:p>
        </w:tc>
      </w:tr>
      <w:tr>
        <w:trPr>
          <w:trHeight w:val="203"/>
        </w:trPr>
        <w:tc>
          <w:tcPr>
            <w:tcW w:w="7420" w:type="dxa"/>
            <w:vAlign w:val="bottom"/>
          </w:tcPr>
          <w:p>
            <w:pPr>
              <w:ind w:left="220"/>
              <w:spacing w:after="0"/>
              <w:rPr>
                <w:sz w:val="20"/>
                <w:szCs w:val="20"/>
                <w:color w:val="auto"/>
              </w:rPr>
            </w:pPr>
            <w:r>
              <w:rPr>
                <w:rFonts w:ascii="Arial" w:cs="Arial" w:eastAsia="Arial" w:hAnsi="Arial"/>
                <w:sz w:val="16"/>
                <w:szCs w:val="16"/>
                <w:color w:val="auto"/>
              </w:rPr>
              <w:t>Paid in capital</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95,914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95,484</w:t>
            </w:r>
          </w:p>
        </w:tc>
        <w:tc>
          <w:tcPr>
            <w:tcW w:w="280" w:type="dxa"/>
            <w:vAlign w:val="bottom"/>
          </w:tcPr>
          <w:p>
            <w:pPr>
              <w:spacing w:after="0"/>
              <w:rPr>
                <w:sz w:val="17"/>
                <w:szCs w:val="17"/>
                <w:color w:val="auto"/>
              </w:rPr>
            </w:pPr>
          </w:p>
        </w:tc>
      </w:tr>
      <w:tr>
        <w:trPr>
          <w:trHeight w:val="203"/>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262,319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209,918</w:t>
            </w:r>
          </w:p>
        </w:tc>
        <w:tc>
          <w:tcPr>
            <w:tcW w:w="280" w:type="dxa"/>
            <w:vAlign w:val="bottom"/>
            <w:shd w:val="clear" w:color="auto" w:fill="CCEEFF"/>
          </w:tcPr>
          <w:p>
            <w:pPr>
              <w:spacing w:after="0"/>
              <w:rPr>
                <w:sz w:val="17"/>
                <w:szCs w:val="17"/>
                <w:color w:val="auto"/>
              </w:rPr>
            </w:pPr>
          </w:p>
        </w:tc>
      </w:tr>
      <w:tr>
        <w:trPr>
          <w:trHeight w:val="191"/>
        </w:trPr>
        <w:tc>
          <w:tcPr>
            <w:tcW w:w="7420" w:type="dxa"/>
            <w:vAlign w:val="bottom"/>
          </w:tcPr>
          <w:p>
            <w:pPr>
              <w:ind w:left="220"/>
              <w:spacing w:after="0"/>
              <w:rPr>
                <w:sz w:val="20"/>
                <w:szCs w:val="20"/>
                <w:color w:val="auto"/>
              </w:rPr>
            </w:pPr>
            <w:r>
              <w:rPr>
                <w:rFonts w:ascii="Arial" w:cs="Arial" w:eastAsia="Arial" w:hAnsi="Arial"/>
                <w:sz w:val="16"/>
                <w:szCs w:val="16"/>
                <w:color w:val="auto"/>
              </w:rPr>
              <w:t>Treasury stock, at cost; 7,377,836 shares held as of October 30, 2021 and 6,104,493 shares held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7"/>
        </w:trPr>
        <w:tc>
          <w:tcPr>
            <w:tcW w:w="7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as of January 30, 2021</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(249,132)</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(141,926)</w:t>
            </w:r>
          </w:p>
        </w:tc>
        <w:tc>
          <w:tcPr>
            <w:tcW w:w="280" w:type="dxa"/>
            <w:vAlign w:val="bottom"/>
            <w:tcBorders>
              <w:bottom w:val="single" w:sz="8" w:color="CCEEFF"/>
            </w:tcBorders>
          </w:tcPr>
          <w:p>
            <w:pPr>
              <w:spacing w:after="0"/>
              <w:rPr>
                <w:sz w:val="16"/>
                <w:szCs w:val="16"/>
                <w:color w:val="auto"/>
              </w:rPr>
            </w:pPr>
          </w:p>
        </w:tc>
      </w:tr>
      <w:tr>
        <w:trPr>
          <w:trHeight w:val="183"/>
        </w:trPr>
        <w:tc>
          <w:tcPr>
            <w:tcW w:w="742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Total stockholders’ equity</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109,260</w:t>
            </w: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163,634</w:t>
            </w:r>
          </w:p>
        </w:tc>
        <w:tc>
          <w:tcPr>
            <w:tcW w:w="280" w:type="dxa"/>
            <w:vAlign w:val="bottom"/>
            <w:shd w:val="clear" w:color="auto" w:fill="CCEEFF"/>
          </w:tcPr>
          <w:p>
            <w:pPr>
              <w:spacing w:after="0"/>
              <w:rPr>
                <w:sz w:val="15"/>
                <w:szCs w:val="15"/>
                <w:color w:val="auto"/>
              </w:rPr>
            </w:pPr>
          </w:p>
        </w:tc>
      </w:tr>
      <w:tr>
        <w:trPr>
          <w:trHeight w:val="183"/>
        </w:trPr>
        <w:tc>
          <w:tcPr>
            <w:tcW w:w="7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3"/>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189"/>
        </w:trPr>
        <w:tc>
          <w:tcPr>
            <w:tcW w:w="7420" w:type="dxa"/>
            <w:vAlign w:val="bottom"/>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467,569</w:t>
            </w:r>
          </w:p>
        </w:tc>
        <w:tc>
          <w:tcPr>
            <w:tcW w:w="220" w:type="dxa"/>
            <w:vAlign w:val="bottom"/>
          </w:tcPr>
          <w:p>
            <w:pPr>
              <w:spacing w:after="0"/>
              <w:rPr>
                <w:sz w:val="16"/>
                <w:szCs w:val="16"/>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494,593</w:t>
            </w:r>
          </w:p>
        </w:tc>
        <w:tc>
          <w:tcPr>
            <w:tcW w:w="280" w:type="dxa"/>
            <w:vAlign w:val="bottom"/>
          </w:tcPr>
          <w:p>
            <w:pPr>
              <w:spacing w:after="0"/>
              <w:rPr>
                <w:sz w:val="16"/>
                <w:szCs w:val="16"/>
                <w:color w:val="auto"/>
              </w:rPr>
            </w:pPr>
          </w:p>
        </w:tc>
      </w:tr>
      <w:tr>
        <w:trPr>
          <w:trHeight w:val="20"/>
        </w:trPr>
        <w:tc>
          <w:tcPr>
            <w:tcW w:w="7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right"/>
              <w:ind w:right="260"/>
              <w:spacing w:after="0" w:line="143" w:lineRule="exact"/>
              <w:rPr>
                <w:sz w:val="20"/>
                <w:szCs w:val="20"/>
                <w:color w:val="auto"/>
              </w:rPr>
            </w:pPr>
            <w:r>
              <w:rPr>
                <w:rFonts w:ascii="Arial" w:cs="Arial" w:eastAsia="Arial" w:hAnsi="Arial"/>
                <w:sz w:val="14"/>
                <w:szCs w:val="14"/>
                <w:b w:val="1"/>
                <w:bCs w:val="1"/>
                <w:color w:val="auto"/>
              </w:rPr>
              <w:t>October 30,</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43" w:lineRule="exact"/>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3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3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520" w:type="dxa"/>
            <w:vAlign w:val="bottom"/>
            <w:gridSpan w:val="3"/>
            <w:shd w:val="clear" w:color="auto" w:fill="CCEEFF"/>
          </w:tcPr>
          <w:p>
            <w:pPr>
              <w:jc w:val="right"/>
              <w:ind w:right="28"/>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227,959</w:t>
            </w: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199,100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(136,071)</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(74,784)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(69,230)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(5,527)</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300" w:type="dxa"/>
            <w:vAlign w:val="bottom"/>
          </w:tcPr>
          <w:p>
            <w:pPr>
              <w:ind w:left="340"/>
              <w:spacing w:after="0" w:line="183" w:lineRule="exact"/>
              <w:rPr>
                <w:sz w:val="20"/>
                <w:szCs w:val="20"/>
                <w:color w:val="auto"/>
              </w:rPr>
            </w:pPr>
            <w:r>
              <w:rPr>
                <w:rFonts w:ascii="Arial" w:cs="Arial" w:eastAsia="Arial" w:hAnsi="Arial"/>
                <w:sz w:val="16"/>
                <w:szCs w:val="16"/>
                <w:color w:val="auto"/>
              </w:rPr>
              <w:t>Income from operations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11,577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9,340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30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11,519</w:t>
            </w: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9,151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provision</w:t>
            </w:r>
          </w:p>
        </w:tc>
        <w:tc>
          <w:tcPr>
            <w:tcW w:w="3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(2,505)</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30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Net income</w:t>
            </w:r>
          </w:p>
        </w:tc>
        <w:tc>
          <w:tcPr>
            <w:tcW w:w="520" w:type="dxa"/>
            <w:vAlign w:val="bottom"/>
            <w:gridSpan w:val="3"/>
            <w:shd w:val="clear" w:color="auto" w:fill="CCEEFF"/>
          </w:tcPr>
          <w:p>
            <w:pPr>
              <w:jc w:val="right"/>
              <w:ind w:right="28"/>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9,014</w:t>
            </w: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6,965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Basic net income per common share</w:t>
            </w:r>
          </w:p>
        </w:tc>
        <w:tc>
          <w:tcPr>
            <w:tcW w:w="520" w:type="dxa"/>
            <w:vAlign w:val="bottom"/>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tcPr>
          <w:p>
            <w:pPr>
              <w:spacing w:after="0" w:line="170" w:lineRule="exact"/>
              <w:rPr>
                <w:sz w:val="20"/>
                <w:szCs w:val="20"/>
                <w:color w:val="auto"/>
              </w:rPr>
            </w:pPr>
            <w:r>
              <w:rPr>
                <w:rFonts w:ascii="Arial" w:cs="Arial" w:eastAsia="Arial" w:hAnsi="Arial"/>
                <w:sz w:val="16"/>
                <w:szCs w:val="16"/>
                <w:color w:val="auto"/>
              </w:rPr>
              <w:t>Diluted net income per common share</w:t>
            </w:r>
          </w:p>
        </w:tc>
        <w:tc>
          <w:tcPr>
            <w:tcW w:w="520" w:type="dxa"/>
            <w:vAlign w:val="bottom"/>
            <w:gridSpan w:val="3"/>
          </w:tcPr>
          <w:p>
            <w:pPr>
              <w:jc w:val="right"/>
              <w:ind w:right="28"/>
              <w:spacing w:after="0" w:line="170"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70" w:lineRule="exact"/>
              <w:rPr>
                <w:sz w:val="20"/>
                <w:szCs w:val="20"/>
                <w:color w:val="auto"/>
              </w:rPr>
            </w:pPr>
            <w:r>
              <w:rPr>
                <w:rFonts w:ascii="Arial" w:cs="Arial" w:eastAsia="Arial" w:hAnsi="Arial"/>
                <w:sz w:val="16"/>
                <w:szCs w:val="16"/>
                <w:color w:val="auto"/>
              </w:rPr>
              <w:t>1.03</w:t>
            </w:r>
          </w:p>
        </w:tc>
        <w:tc>
          <w:tcPr>
            <w:tcW w:w="16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820" w:type="dxa"/>
            <w:vAlign w:val="bottom"/>
          </w:tcPr>
          <w:p>
            <w:pPr>
              <w:jc w:val="right"/>
              <w:spacing w:after="0" w:line="170" w:lineRule="exact"/>
              <w:rPr>
                <w:sz w:val="20"/>
                <w:szCs w:val="20"/>
                <w:color w:val="auto"/>
              </w:rPr>
            </w:pPr>
            <w:r>
              <w:rPr>
                <w:rFonts w:ascii="Arial" w:cs="Arial" w:eastAsia="Arial" w:hAnsi="Arial"/>
                <w:sz w:val="16"/>
                <w:szCs w:val="16"/>
                <w:color w:val="auto"/>
              </w:rPr>
              <w:t>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3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rPr>
                <w:sz w:val="20"/>
                <w:szCs w:val="20"/>
                <w:color w:val="auto"/>
              </w:rPr>
            </w:pPr>
            <w:r>
              <w:rPr>
                <w:rFonts w:ascii="Arial" w:cs="Arial" w:eastAsia="Arial" w:hAnsi="Arial"/>
                <w:sz w:val="16"/>
                <w:szCs w:val="16"/>
                <w:color w:val="auto"/>
              </w:rPr>
              <w:t>Weighted average number of shares outstanding</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8,706</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10,365</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00" w:type="dxa"/>
            <w:vAlign w:val="bottom"/>
          </w:tcPr>
          <w:p>
            <w:pPr>
              <w:ind w:left="220"/>
              <w:spacing w:after="0" w:line="170" w:lineRule="exact"/>
              <w:rPr>
                <w:sz w:val="20"/>
                <w:szCs w:val="20"/>
                <w:color w:val="auto"/>
              </w:rPr>
            </w:pPr>
            <w:r>
              <w:rPr>
                <w:rFonts w:ascii="Arial" w:cs="Arial" w:eastAsia="Arial" w:hAnsi="Arial"/>
                <w:sz w:val="16"/>
                <w:szCs w:val="16"/>
                <w:color w:val="auto"/>
              </w:rPr>
              <w:t>Diluted</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8,787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10,401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jc w:val="center"/>
              <w:ind w:left="2539"/>
              <w:spacing w:after="0"/>
              <w:rPr>
                <w:sz w:val="20"/>
                <w:szCs w:val="20"/>
                <w:color w:val="auto"/>
              </w:rPr>
            </w:pPr>
            <w:r>
              <w:rPr>
                <w:rFonts w:ascii="Arial" w:cs="Arial" w:eastAsia="Arial" w:hAnsi="Arial"/>
                <w:sz w:val="16"/>
                <w:szCs w:val="16"/>
                <w:b w:val="1"/>
                <w:bCs w:val="1"/>
                <w:color w:val="auto"/>
                <w:w w:val="99"/>
              </w:rPr>
              <w:t>Citi Trends, Inc.</w:t>
            </w: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3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300" w:type="dxa"/>
            <w:vAlign w:val="bottom"/>
          </w:tcPr>
          <w:p>
            <w:pPr>
              <w:jc w:val="center"/>
              <w:ind w:left="2539"/>
              <w:spacing w:after="0"/>
              <w:rPr>
                <w:sz w:val="20"/>
                <w:szCs w:val="20"/>
                <w:color w:val="auto"/>
              </w:rPr>
            </w:pPr>
            <w:r>
              <w:rPr>
                <w:rFonts w:ascii="Arial" w:cs="Arial" w:eastAsia="Arial" w:hAnsi="Arial"/>
                <w:sz w:val="16"/>
                <w:szCs w:val="16"/>
                <w:b w:val="1"/>
                <w:bCs w:val="1"/>
                <w:color w:val="auto"/>
              </w:rPr>
              <w:t>Condensed Consolidated Statements of Operations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00" w:type="dxa"/>
            <w:vAlign w:val="bottom"/>
          </w:tcPr>
          <w:p>
            <w:pPr>
              <w:jc w:val="center"/>
              <w:ind w:left="2559"/>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300" w:type="dxa"/>
            <w:vAlign w:val="bottom"/>
          </w:tcPr>
          <w:p>
            <w:pPr>
              <w:jc w:val="center"/>
              <w:ind w:left="2559"/>
              <w:spacing w:after="0"/>
              <w:rPr>
                <w:sz w:val="20"/>
                <w:szCs w:val="20"/>
                <w:color w:val="auto"/>
              </w:rPr>
            </w:pPr>
            <w:r>
              <w:rPr>
                <w:rFonts w:ascii="Arial" w:cs="Arial" w:eastAsia="Arial" w:hAnsi="Arial"/>
                <w:sz w:val="16"/>
                <w:szCs w:val="16"/>
                <w:b w:val="1"/>
                <w:bCs w:val="1"/>
                <w:color w:val="auto"/>
              </w:rPr>
              <w:t>(in thousands, except per share amounts)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7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3" w:lineRule="exact"/>
              <w:rPr>
                <w:sz w:val="20"/>
                <w:szCs w:val="20"/>
                <w:color w:val="auto"/>
              </w:rPr>
            </w:pPr>
            <w:r>
              <w:rPr>
                <w:rFonts w:ascii="Arial" w:cs="Arial" w:eastAsia="Arial" w:hAnsi="Arial"/>
                <w:sz w:val="14"/>
                <w:szCs w:val="14"/>
                <w:b w:val="1"/>
                <w:bCs w:val="1"/>
                <w:color w:val="auto"/>
              </w:rPr>
              <w:t>October 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3" w:lineRule="exact"/>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5"/>
        </w:trPr>
        <w:tc>
          <w:tcPr>
            <w:tcW w:w="73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3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52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750,621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531,375</w:t>
            </w:r>
          </w:p>
        </w:tc>
        <w:tc>
          <w:tcPr>
            <w:tcW w:w="0" w:type="dxa"/>
            <w:vAlign w:val="bottom"/>
          </w:tcPr>
          <w:p>
            <w:pPr>
              <w:spacing w:after="0"/>
              <w:rPr>
                <w:sz w:val="1"/>
                <w:szCs w:val="1"/>
                <w:color w:val="auto"/>
              </w:rPr>
            </w:pPr>
          </w:p>
        </w:tc>
      </w:tr>
      <w:tr>
        <w:trPr>
          <w:trHeight w:val="189"/>
        </w:trPr>
        <w:tc>
          <w:tcPr>
            <w:tcW w:w="7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(440,404)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(327,344)</w:t>
            </w:r>
          </w:p>
        </w:tc>
        <w:tc>
          <w:tcPr>
            <w:tcW w:w="0" w:type="dxa"/>
            <w:vAlign w:val="bottom"/>
          </w:tcPr>
          <w:p>
            <w:pPr>
              <w:spacing w:after="0"/>
              <w:rPr>
                <w:sz w:val="1"/>
                <w:szCs w:val="1"/>
                <w:color w:val="auto"/>
              </w:rPr>
            </w:pPr>
          </w:p>
        </w:tc>
      </w:tr>
      <w:tr>
        <w:trPr>
          <w:trHeight w:val="189"/>
        </w:trPr>
        <w:tc>
          <w:tcPr>
            <w:tcW w:w="73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(228,059)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(180,929)</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(15,218)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(14,582)</w:t>
            </w:r>
          </w:p>
        </w:tc>
        <w:tc>
          <w:tcPr>
            <w:tcW w:w="0" w:type="dxa"/>
            <w:vAlign w:val="bottom"/>
          </w:tcPr>
          <w:p>
            <w:pPr>
              <w:spacing w:after="0"/>
              <w:rPr>
                <w:sz w:val="1"/>
                <w:szCs w:val="1"/>
                <w:color w:val="auto"/>
              </w:rPr>
            </w:pPr>
          </w:p>
        </w:tc>
      </w:tr>
      <w:tr>
        <w:trPr>
          <w:trHeight w:val="189"/>
        </w:trPr>
        <w:tc>
          <w:tcPr>
            <w:tcW w:w="7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Asset impairment</w:t>
            </w:r>
          </w:p>
        </w:tc>
        <w:tc>
          <w:tcPr>
            <w:tcW w:w="3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183"/>
        </w:trPr>
        <w:tc>
          <w:tcPr>
            <w:tcW w:w="730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Income from operations</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66,940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8,234</w:t>
            </w:r>
          </w:p>
        </w:tc>
        <w:tc>
          <w:tcPr>
            <w:tcW w:w="0" w:type="dxa"/>
            <w:vAlign w:val="bottom"/>
          </w:tcPr>
          <w:p>
            <w:pPr>
              <w:spacing w:after="0"/>
              <w:rPr>
                <w:sz w:val="1"/>
                <w:szCs w:val="1"/>
                <w:color w:val="auto"/>
              </w:rPr>
            </w:pPr>
          </w:p>
        </w:tc>
      </w:tr>
      <w:tr>
        <w:trPr>
          <w:trHeight w:val="189"/>
        </w:trPr>
        <w:tc>
          <w:tcPr>
            <w:tcW w:w="7300" w:type="dxa"/>
            <w:vAlign w:val="bottom"/>
          </w:tcPr>
          <w:p>
            <w:pPr>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183"/>
        </w:trPr>
        <w:tc>
          <w:tcPr>
            <w:tcW w:w="7300" w:type="dxa"/>
            <w:vAlign w:val="bottom"/>
          </w:tcPr>
          <w:p>
            <w:pPr>
              <w:ind w:left="340"/>
              <w:spacing w:after="0" w:line="183" w:lineRule="exact"/>
              <w:rPr>
                <w:sz w:val="20"/>
                <w:szCs w:val="20"/>
                <w:color w:val="auto"/>
              </w:rPr>
            </w:pPr>
            <w:r>
              <w:rPr>
                <w:rFonts w:ascii="Arial" w:cs="Arial" w:eastAsia="Arial" w:hAnsi="Arial"/>
                <w:sz w:val="16"/>
                <w:szCs w:val="16"/>
                <w:color w:val="auto"/>
              </w:rPr>
              <w:t>Income before income taxes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66,764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7,736</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(14,363)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0" w:type="dxa"/>
            <w:vAlign w:val="bottom"/>
          </w:tcPr>
          <w:p>
            <w:pPr>
              <w:spacing w:after="0"/>
              <w:rPr>
                <w:sz w:val="1"/>
                <w:szCs w:val="1"/>
                <w:color w:val="auto"/>
              </w:rPr>
            </w:pPr>
          </w:p>
        </w:tc>
      </w:tr>
      <w:tr>
        <w:trPr>
          <w:trHeight w:val="223"/>
        </w:trPr>
        <w:tc>
          <w:tcPr>
            <w:tcW w:w="7300" w:type="dxa"/>
            <w:vAlign w:val="bottom"/>
          </w:tcPr>
          <w:p>
            <w:pPr>
              <w:ind w:left="340"/>
              <w:spacing w:after="0" w:line="183" w:lineRule="exact"/>
              <w:rPr>
                <w:sz w:val="20"/>
                <w:szCs w:val="20"/>
                <w:color w:val="auto"/>
              </w:rPr>
            </w:pPr>
            <w:r>
              <w:rPr>
                <w:rFonts w:ascii="Arial" w:cs="Arial" w:eastAsia="Arial" w:hAnsi="Arial"/>
                <w:sz w:val="16"/>
                <w:szCs w:val="16"/>
                <w:color w:val="auto"/>
              </w:rPr>
              <w:t>Net income</w:t>
            </w:r>
          </w:p>
        </w:tc>
        <w:tc>
          <w:tcPr>
            <w:tcW w:w="52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52,401</w:t>
            </w:r>
          </w:p>
        </w:tc>
        <w:tc>
          <w:tcPr>
            <w:tcW w:w="100" w:type="dxa"/>
            <w:vAlign w:val="bottom"/>
          </w:tcPr>
          <w:p>
            <w:pPr>
              <w:spacing w:after="0"/>
              <w:rPr>
                <w:sz w:val="19"/>
                <w:szCs w:val="19"/>
                <w:color w:val="auto"/>
              </w:rPr>
            </w:pPr>
          </w:p>
        </w:tc>
        <w:tc>
          <w:tcPr>
            <w:tcW w:w="100" w:type="dxa"/>
            <w:vAlign w:val="bottom"/>
          </w:tcPr>
          <w:p>
            <w:pPr>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5,940</w:t>
            </w:r>
          </w:p>
        </w:tc>
        <w:tc>
          <w:tcPr>
            <w:tcW w:w="0" w:type="dxa"/>
            <w:vAlign w:val="bottom"/>
          </w:tcPr>
          <w:p>
            <w:pPr>
              <w:spacing w:after="0"/>
              <w:rPr>
                <w:sz w:val="1"/>
                <w:szCs w:val="1"/>
                <w:color w:val="auto"/>
              </w:rPr>
            </w:pPr>
          </w:p>
        </w:tc>
      </w:tr>
      <w:tr>
        <w:trPr>
          <w:trHeight w:val="170"/>
        </w:trPr>
        <w:tc>
          <w:tcPr>
            <w:tcW w:w="73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00" w:type="dxa"/>
            <w:vAlign w:val="bottom"/>
          </w:tcPr>
          <w:p>
            <w:pPr>
              <w:spacing w:after="0"/>
              <w:rPr>
                <w:sz w:val="20"/>
                <w:szCs w:val="20"/>
                <w:color w:val="auto"/>
              </w:rPr>
            </w:pPr>
            <w:r>
              <w:rPr>
                <w:rFonts w:ascii="Arial" w:cs="Arial" w:eastAsia="Arial" w:hAnsi="Arial"/>
                <w:sz w:val="16"/>
                <w:szCs w:val="16"/>
                <w:color w:val="auto"/>
              </w:rPr>
              <w:t>Basic net income per common share</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0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Diluted net income per common share</w:t>
            </w:r>
          </w:p>
        </w:tc>
        <w:tc>
          <w:tcPr>
            <w:tcW w:w="520" w:type="dxa"/>
            <w:vAlign w:val="bottom"/>
            <w:gridSpan w:val="3"/>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gridSpan w:val="2"/>
            <w:shd w:val="clear" w:color="auto" w:fill="CCEEFF"/>
          </w:tcPr>
          <w:p>
            <w:pPr>
              <w:jc w:val="right"/>
              <w:ind w:right="120"/>
              <w:spacing w:after="0" w:line="170" w:lineRule="exact"/>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 outstanding</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9,081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10,420</w:t>
            </w:r>
          </w:p>
        </w:tc>
        <w:tc>
          <w:tcPr>
            <w:tcW w:w="0" w:type="dxa"/>
            <w:vAlign w:val="bottom"/>
          </w:tcPr>
          <w:p>
            <w:pPr>
              <w:spacing w:after="0"/>
              <w:rPr>
                <w:sz w:val="1"/>
                <w:szCs w:val="1"/>
                <w:color w:val="auto"/>
              </w:rPr>
            </w:pPr>
          </w:p>
        </w:tc>
      </w:tr>
      <w:tr>
        <w:trPr>
          <w:trHeight w:val="170"/>
        </w:trPr>
        <w:tc>
          <w:tcPr>
            <w:tcW w:w="730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6"/>
                <w:szCs w:val="16"/>
                <w:color w:val="auto"/>
              </w:rPr>
              <w:t>Diluted</w:t>
            </w:r>
          </w:p>
        </w:tc>
        <w:tc>
          <w:tcPr>
            <w:tcW w:w="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right w:val="single" w:sz="8" w:color="CCEEFF"/>
            </w:tcBorders>
            <w:gridSpan w:val="2"/>
            <w:shd w:val="clear" w:color="auto" w:fill="CCEEFF"/>
          </w:tcPr>
          <w:p>
            <w:pPr>
              <w:jc w:val="right"/>
              <w:ind w:right="120"/>
              <w:spacing w:after="0" w:line="170" w:lineRule="exact"/>
              <w:rPr>
                <w:sz w:val="20"/>
                <w:szCs w:val="20"/>
                <w:color w:val="auto"/>
              </w:rPr>
            </w:pPr>
            <w:r>
              <w:rPr>
                <w:rFonts w:ascii="Arial" w:cs="Arial" w:eastAsia="Arial" w:hAnsi="Arial"/>
                <w:sz w:val="16"/>
                <w:szCs w:val="16"/>
                <w:color w:val="auto"/>
              </w:rPr>
              <w:t>9,179</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10,444</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360"/>
              <w:spacing w:after="0" w:line="143" w:lineRule="exact"/>
              <w:rPr>
                <w:sz w:val="20"/>
                <w:szCs w:val="20"/>
                <w:color w:val="auto"/>
              </w:rPr>
            </w:pPr>
            <w:r>
              <w:rPr>
                <w:rFonts w:ascii="Arial" w:cs="Arial" w:eastAsia="Arial" w:hAnsi="Arial"/>
                <w:sz w:val="14"/>
                <w:szCs w:val="14"/>
                <w:b w:val="1"/>
                <w:bCs w:val="1"/>
                <w:color w:val="auto"/>
              </w:rPr>
              <w:t>October 30,</w:t>
            </w: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59"/>
              <w:spacing w:after="0" w:line="143" w:lineRule="exact"/>
              <w:rPr>
                <w:sz w:val="20"/>
                <w:szCs w:val="20"/>
                <w:color w:val="auto"/>
              </w:rPr>
            </w:pPr>
            <w:r>
              <w:rPr>
                <w:rFonts w:ascii="Arial" w:cs="Arial" w:eastAsia="Arial" w:hAnsi="Arial"/>
                <w:sz w:val="14"/>
                <w:szCs w:val="14"/>
                <w:b w:val="1"/>
                <w:bCs w:val="1"/>
                <w:color w:val="auto"/>
              </w:rPr>
              <w:t>October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8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activities:</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52,401</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5,940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340"/>
              <w:spacing w:after="0"/>
              <w:rPr>
                <w:sz w:val="20"/>
                <w:szCs w:val="20"/>
                <w:color w:val="auto"/>
              </w:rPr>
            </w:pPr>
            <w:r>
              <w:rPr>
                <w:rFonts w:ascii="Arial" w:cs="Arial" w:eastAsia="Arial" w:hAnsi="Arial"/>
                <w:sz w:val="16"/>
                <w:szCs w:val="16"/>
                <w:color w:val="auto"/>
              </w:rPr>
              <w:t>Depreciation</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Non-cash operating lease costs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36,082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340"/>
              <w:spacing w:after="0"/>
              <w:rPr>
                <w:sz w:val="20"/>
                <w:szCs w:val="20"/>
                <w:color w:val="auto"/>
              </w:rPr>
            </w:pPr>
            <w:r>
              <w:rPr>
                <w:rFonts w:ascii="Arial" w:cs="Arial" w:eastAsia="Arial" w:hAnsi="Arial"/>
                <w:sz w:val="16"/>
                <w:szCs w:val="16"/>
                <w:color w:val="auto"/>
              </w:rPr>
              <w:t>Asset impairment</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on disposal of property and equipment</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340"/>
              <w:spacing w:after="0"/>
              <w:rPr>
                <w:sz w:val="20"/>
                <w:szCs w:val="20"/>
                <w:color w:val="auto"/>
              </w:rPr>
            </w:pPr>
            <w:r>
              <w:rPr>
                <w:rFonts w:ascii="Arial" w:cs="Arial" w:eastAsia="Arial" w:hAnsi="Arial"/>
                <w:sz w:val="16"/>
                <w:szCs w:val="16"/>
                <w:color w:val="auto"/>
              </w:rPr>
              <w:t>Deferred income taxes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2,277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Insurance proceeds related to operating activities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800" w:type="dxa"/>
            <w:vAlign w:val="bottom"/>
          </w:tcPr>
          <w:p>
            <w:pPr>
              <w:ind w:left="340"/>
              <w:spacing w:after="0"/>
              <w:rPr>
                <w:sz w:val="20"/>
                <w:szCs w:val="20"/>
                <w:color w:val="auto"/>
              </w:rPr>
            </w:pPr>
            <w:r>
              <w:rPr>
                <w:rFonts w:ascii="Arial" w:cs="Arial" w:eastAsia="Arial" w:hAnsi="Arial"/>
                <w:sz w:val="16"/>
                <w:szCs w:val="16"/>
                <w:color w:val="auto"/>
              </w:rPr>
              <w:t>Non-cash stock-based compensation expense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2,883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assets and liabilities: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440"/>
              <w:spacing w:after="0"/>
              <w:rPr>
                <w:sz w:val="20"/>
                <w:szCs w:val="20"/>
                <w:color w:val="auto"/>
              </w:rPr>
            </w:pPr>
            <w:r>
              <w:rPr>
                <w:rFonts w:ascii="Arial" w:cs="Arial" w:eastAsia="Arial" w:hAnsi="Arial"/>
                <w:sz w:val="16"/>
                <w:szCs w:val="16"/>
                <w:color w:val="auto"/>
              </w:rPr>
              <w:t>Inventory</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(23,446)</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23,853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Prepaid and other current assets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(7,360)</w:t>
            </w:r>
          </w:p>
        </w:tc>
        <w:tc>
          <w:tcPr>
            <w:tcW w:w="0" w:type="dxa"/>
            <w:vAlign w:val="bottom"/>
          </w:tcPr>
          <w:p>
            <w:pPr>
              <w:spacing w:after="0"/>
              <w:rPr>
                <w:sz w:val="1"/>
                <w:szCs w:val="1"/>
                <w:color w:val="auto"/>
              </w:rPr>
            </w:pPr>
          </w:p>
        </w:tc>
      </w:tr>
      <w:tr>
        <w:trPr>
          <w:trHeight w:val="203"/>
        </w:trPr>
        <w:tc>
          <w:tcPr>
            <w:tcW w:w="6800" w:type="dxa"/>
            <w:vAlign w:val="bottom"/>
          </w:tcPr>
          <w:p>
            <w:pPr>
              <w:ind w:left="440"/>
              <w:spacing w:after="0"/>
              <w:rPr>
                <w:sz w:val="20"/>
                <w:szCs w:val="20"/>
                <w:color w:val="auto"/>
              </w:rPr>
            </w:pPr>
            <w:r>
              <w:rPr>
                <w:rFonts w:ascii="Arial" w:cs="Arial" w:eastAsia="Arial" w:hAnsi="Arial"/>
                <w:sz w:val="16"/>
                <w:szCs w:val="16"/>
                <w:color w:val="auto"/>
              </w:rPr>
              <w:t>Other assets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payable</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440"/>
              <w:spacing w:after="0"/>
              <w:rPr>
                <w:sz w:val="20"/>
                <w:szCs w:val="20"/>
                <w:color w:val="auto"/>
              </w:rPr>
            </w:pPr>
            <w:r>
              <w:rPr>
                <w:rFonts w:ascii="Arial" w:cs="Arial" w:eastAsia="Arial" w:hAnsi="Arial"/>
                <w:sz w:val="16"/>
                <w:szCs w:val="16"/>
                <w:color w:val="auto"/>
              </w:rPr>
              <w:t>Accrued expenses and other long-term liabilities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(36,324)</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(25,266)</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Accrued compensation</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(6,466)</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440"/>
              <w:spacing w:after="0"/>
              <w:rPr>
                <w:sz w:val="20"/>
                <w:szCs w:val="20"/>
                <w:color w:val="auto"/>
              </w:rPr>
            </w:pPr>
            <w:r>
              <w:rPr>
                <w:rFonts w:ascii="Arial" w:cs="Arial" w:eastAsia="Arial" w:hAnsi="Arial"/>
                <w:sz w:val="16"/>
                <w:szCs w:val="16"/>
                <w:color w:val="auto"/>
              </w:rPr>
              <w:t>Income tax receivable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(6,920)</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Layaway deposits</w:t>
            </w:r>
          </w:p>
        </w:tc>
        <w:tc>
          <w:tcPr>
            <w:tcW w:w="7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00" w:type="dxa"/>
            <w:vAlign w:val="bottom"/>
            <w:tcBorders>
              <w:bottom w:val="single" w:sz="8" w:color="CCEEFF"/>
            </w:tcBorders>
          </w:tcPr>
          <w:p>
            <w:pPr>
              <w:ind w:left="66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54,853</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63,043</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Investing activities:</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rPr>
                <w:sz w:val="20"/>
                <w:szCs w:val="20"/>
                <w:color w:val="auto"/>
              </w:rPr>
            </w:pPr>
            <w:r>
              <w:rPr>
                <w:rFonts w:ascii="Arial" w:cs="Arial" w:eastAsia="Arial" w:hAnsi="Arial"/>
                <w:sz w:val="16"/>
                <w:szCs w:val="16"/>
                <w:color w:val="auto"/>
              </w:rPr>
              <w:t>Sales/redemptions of investment securities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43,759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investment securities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(35,462)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rPr>
                <w:sz w:val="20"/>
                <w:szCs w:val="20"/>
                <w:color w:val="auto"/>
              </w:rPr>
            </w:pPr>
            <w:r>
              <w:rPr>
                <w:rFonts w:ascii="Arial" w:cs="Arial" w:eastAsia="Arial" w:hAnsi="Arial"/>
                <w:sz w:val="16"/>
                <w:szCs w:val="16"/>
                <w:color w:val="auto"/>
              </w:rPr>
              <w:t>Purchases of property and equipment</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(20,808)</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(11,888)</w:t>
            </w:r>
          </w:p>
        </w:tc>
        <w:tc>
          <w:tcPr>
            <w:tcW w:w="0" w:type="dxa"/>
            <w:vAlign w:val="bottom"/>
          </w:tcPr>
          <w:p>
            <w:pPr>
              <w:spacing w:after="0"/>
              <w:rPr>
                <w:sz w:val="1"/>
                <w:szCs w:val="1"/>
                <w:color w:val="auto"/>
              </w:rPr>
            </w:pPr>
          </w:p>
        </w:tc>
      </w:tr>
      <w:tr>
        <w:trPr>
          <w:trHeight w:val="202"/>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Insurance proceeds related to investing activities</w:t>
            </w:r>
          </w:p>
        </w:tc>
        <w:tc>
          <w:tcPr>
            <w:tcW w:w="7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00" w:type="dxa"/>
            <w:vAlign w:val="bottom"/>
          </w:tcPr>
          <w:p>
            <w:pPr>
              <w:ind w:left="660"/>
              <w:spacing w:after="0" w:line="183" w:lineRule="exact"/>
              <w:rPr>
                <w:sz w:val="20"/>
                <w:szCs w:val="20"/>
                <w:color w:val="auto"/>
              </w:rPr>
            </w:pPr>
            <w:r>
              <w:rPr>
                <w:rFonts w:ascii="Arial" w:cs="Arial" w:eastAsia="Arial" w:hAnsi="Arial"/>
                <w:sz w:val="16"/>
                <w:szCs w:val="16"/>
                <w:color w:val="auto"/>
              </w:rPr>
              <w:t>Net cash (used in) provided by investing activities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(56,078)</w:t>
            </w:r>
          </w:p>
        </w:tc>
        <w:tc>
          <w:tcPr>
            <w:tcW w:w="10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31,349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Financing activities:</w:t>
            </w:r>
          </w:p>
        </w:tc>
        <w:tc>
          <w:tcPr>
            <w:tcW w:w="7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rPr>
                <w:sz w:val="20"/>
                <w:szCs w:val="20"/>
                <w:color w:val="auto"/>
              </w:rPr>
            </w:pPr>
            <w:r>
              <w:rPr>
                <w:rFonts w:ascii="Arial" w:cs="Arial" w:eastAsia="Arial" w:hAnsi="Arial"/>
                <w:sz w:val="16"/>
                <w:szCs w:val="16"/>
                <w:color w:val="auto"/>
              </w:rPr>
              <w:t>Borrowings under revolving credit facility</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43,700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of revolving credit facility</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(43,700)</w:t>
            </w: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used to settle withholding taxes on the vesting of nonvested restricted stock</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(2,453)</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rPr>
                <w:sz w:val="20"/>
                <w:szCs w:val="20"/>
                <w:color w:val="auto"/>
              </w:rPr>
            </w:pPr>
            <w:r>
              <w:rPr>
                <w:rFonts w:ascii="Arial" w:cs="Arial" w:eastAsia="Arial" w:hAnsi="Arial"/>
                <w:sz w:val="16"/>
                <w:szCs w:val="16"/>
                <w:color w:val="auto"/>
              </w:rPr>
              <w:t>Dividends paid to stockholders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common stock</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(107,206)</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(16,142)</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660"/>
              <w:spacing w:after="0"/>
              <w:rPr>
                <w:sz w:val="20"/>
                <w:szCs w:val="20"/>
                <w:color w:val="auto"/>
              </w:rPr>
            </w:pPr>
            <w:r>
              <w:rPr>
                <w:rFonts w:ascii="Arial" w:cs="Arial" w:eastAsia="Arial" w:hAnsi="Arial"/>
                <w:sz w:val="16"/>
                <w:szCs w:val="16"/>
                <w:color w:val="auto"/>
              </w:rPr>
              <w:t>Net cash used in financing activities</w:t>
            </w: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0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(109,929)</w:t>
            </w:r>
          </w:p>
        </w:tc>
        <w:tc>
          <w:tcPr>
            <w:tcW w:w="100" w:type="dxa"/>
            <w:vAlign w:val="bottom"/>
          </w:tcPr>
          <w:p>
            <w:pPr>
              <w:spacing w:after="0"/>
              <w:rPr>
                <w:sz w:val="15"/>
                <w:szCs w:val="15"/>
                <w:color w:val="auto"/>
              </w:rPr>
            </w:pPr>
          </w:p>
        </w:tc>
        <w:tc>
          <w:tcPr>
            <w:tcW w:w="10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(17,553)</w:t>
            </w:r>
          </w:p>
        </w:tc>
        <w:tc>
          <w:tcPr>
            <w:tcW w:w="0" w:type="dxa"/>
            <w:vAlign w:val="bottom"/>
          </w:tcPr>
          <w:p>
            <w:pPr>
              <w:spacing w:after="0"/>
              <w:rPr>
                <w:sz w:val="1"/>
                <w:szCs w:val="1"/>
                <w:color w:val="auto"/>
              </w:rPr>
            </w:pPr>
          </w:p>
        </w:tc>
      </w:tr>
      <w:tr>
        <w:trPr>
          <w:trHeight w:val="20"/>
        </w:trPr>
        <w:tc>
          <w:tcPr>
            <w:tcW w:w="6800" w:type="dxa"/>
            <w:vAlign w:val="bottom"/>
            <w:vMerge w:val="restart"/>
            <w:shd w:val="clear" w:color="auto" w:fill="CCEEFF"/>
          </w:tcPr>
          <w:p>
            <w:pPr>
              <w:ind w:left="660"/>
              <w:spacing w:after="0"/>
              <w:rPr>
                <w:sz w:val="20"/>
                <w:szCs w:val="20"/>
                <w:color w:val="auto"/>
              </w:rPr>
            </w:pPr>
            <w:r>
              <w:rPr>
                <w:rFonts w:ascii="Arial" w:cs="Arial" w:eastAsia="Arial" w:hAnsi="Arial"/>
                <w:sz w:val="16"/>
                <w:szCs w:val="16"/>
                <w:color w:val="auto"/>
              </w:rPr>
              <w:t>Net (decrease) increase in cash and cash equivalents</w:t>
            </w: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00" w:type="dxa"/>
            <w:vAlign w:val="bottom"/>
            <w:vMerge w:val="continue"/>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6"/>
                <w:szCs w:val="16"/>
                <w:color w:val="auto"/>
              </w:rPr>
              <w:t>(111,154)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76,839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Beginning of period</w:t>
            </w:r>
          </w:p>
        </w:tc>
        <w:tc>
          <w:tcPr>
            <w:tcW w:w="7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123,177</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19,923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00" w:type="dxa"/>
            <w:vAlign w:val="bottom"/>
          </w:tcPr>
          <w:p>
            <w:pPr>
              <w:ind w:left="220"/>
              <w:spacing w:after="0" w:line="183" w:lineRule="exact"/>
              <w:rPr>
                <w:sz w:val="20"/>
                <w:szCs w:val="20"/>
                <w:color w:val="auto"/>
              </w:rPr>
            </w:pPr>
            <w:r>
              <w:rPr>
                <w:rFonts w:ascii="Arial" w:cs="Arial" w:eastAsia="Arial" w:hAnsi="Arial"/>
                <w:sz w:val="16"/>
                <w:szCs w:val="16"/>
                <w:color w:val="auto"/>
              </w:rPr>
              <w:t>End of period</w:t>
            </w:r>
          </w:p>
        </w:tc>
        <w:tc>
          <w:tcPr>
            <w:tcW w:w="8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12,023</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96,762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8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800" w:type="dxa"/>
            <w:vAlign w:val="bottom"/>
          </w:tcPr>
          <w:p>
            <w:pPr>
              <w:spacing w:after="0"/>
              <w:rPr>
                <w:sz w:val="20"/>
                <w:szCs w:val="20"/>
                <w:color w:val="auto"/>
              </w:rPr>
            </w:pPr>
            <w:r>
              <w:rPr>
                <w:rFonts w:ascii="Arial" w:cs="Arial" w:eastAsia="Arial" w:hAnsi="Arial"/>
                <w:sz w:val="16"/>
                <w:szCs w:val="16"/>
                <w:color w:val="auto"/>
              </w:rPr>
              <w:t>Supplemental disclosures of cash flow information:</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Cash paid for interest</w:t>
            </w: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660"/>
              <w:spacing w:after="0"/>
              <w:rPr>
                <w:sz w:val="20"/>
                <w:szCs w:val="20"/>
                <w:color w:val="auto"/>
              </w:rPr>
            </w:pPr>
            <w:r>
              <w:rPr>
                <w:rFonts w:ascii="Arial" w:cs="Arial" w:eastAsia="Arial" w:hAnsi="Arial"/>
                <w:sz w:val="16"/>
                <w:szCs w:val="16"/>
                <w:color w:val="auto"/>
              </w:rPr>
              <w:t>Cash payments of income taxes</w:t>
            </w: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840" w:type="dxa"/>
            <w:vAlign w:val="bottom"/>
            <w:gridSpan w:val="2"/>
          </w:tcPr>
          <w:p>
            <w:pPr>
              <w:jc w:val="right"/>
              <w:spacing w:after="0" w:line="170"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0" w:lineRule="exact"/>
              <w:rPr>
                <w:sz w:val="20"/>
                <w:szCs w:val="20"/>
                <w:color w:val="auto"/>
              </w:rPr>
            </w:pPr>
            <w:r>
              <w:rPr>
                <w:rFonts w:ascii="Arial" w:cs="Arial" w:eastAsia="Arial" w:hAnsi="Arial"/>
                <w:sz w:val="16"/>
                <w:szCs w:val="16"/>
                <w:color w:val="auto"/>
              </w:rPr>
              <w:t>19,006</w:t>
            </w:r>
          </w:p>
        </w:tc>
        <w:tc>
          <w:tcPr>
            <w:tcW w:w="24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70" w:lineRule="exact"/>
              <w:rPr>
                <w:sz w:val="20"/>
                <w:szCs w:val="20"/>
                <w:color w:val="auto"/>
              </w:rPr>
            </w:pPr>
            <w:r>
              <w:rPr>
                <w:rFonts w:ascii="Arial" w:cs="Arial" w:eastAsia="Arial" w:hAnsi="Arial"/>
                <w:sz w:val="16"/>
                <w:szCs w:val="16"/>
                <w:color w:val="auto"/>
              </w:rPr>
              <w:t>655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68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6"/>
                <w:szCs w:val="16"/>
                <w:color w:val="auto"/>
              </w:rPr>
              <w:t>Supplemental disclosures of non-cash investing activities:</w:t>
            </w: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00" w:type="dxa"/>
            <w:vAlign w:val="bottom"/>
          </w:tcPr>
          <w:p>
            <w:pPr>
              <w:ind w:left="660"/>
              <w:spacing w:after="0"/>
              <w:rPr>
                <w:sz w:val="20"/>
                <w:szCs w:val="20"/>
                <w:color w:val="auto"/>
              </w:rPr>
            </w:pPr>
            <w:r>
              <w:rPr>
                <w:rFonts w:ascii="Arial" w:cs="Arial" w:eastAsia="Arial" w:hAnsi="Arial"/>
                <w:sz w:val="16"/>
                <w:szCs w:val="16"/>
                <w:color w:val="auto"/>
              </w:rPr>
              <w:t>Accrual for purchases of property and equipment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3,192</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 w:name="page6"/>
    <w:bookmarkEnd w:id="5"/>
    <w:p>
      <w:pPr>
        <w:jc w:val="center"/>
        <w:ind w:right="60"/>
        <w:spacing w:after="0"/>
        <w:rPr>
          <w:sz w:val="20"/>
          <w:szCs w:val="20"/>
          <w:color w:val="auto"/>
        </w:rPr>
      </w:pPr>
      <w:r>
        <w:rPr>
          <w:rFonts w:ascii="Arial" w:cs="Arial" w:eastAsia="Arial" w:hAnsi="Arial"/>
          <w:sz w:val="16"/>
          <w:szCs w:val="16"/>
          <w:b w:val="1"/>
          <w:bCs w:val="1"/>
          <w:color w:val="auto"/>
        </w:rPr>
        <w:t>Citi Trends, Inc.</w:t>
      </w: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(in thousands, except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14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Common Stock</w:t>
            </w: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Paid in</w:t>
            </w:r>
          </w:p>
        </w:tc>
        <w:tc>
          <w:tcPr>
            <w:tcW w:w="2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Retained</w:t>
            </w:r>
          </w:p>
        </w:tc>
        <w:tc>
          <w:tcPr>
            <w:tcW w:w="166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98"/>
              </w:rPr>
              <w:t>Amount</w:t>
            </w: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Earnings</w:t>
            </w:r>
          </w:p>
        </w:tc>
        <w:tc>
          <w:tcPr>
            <w:tcW w:w="860" w:type="dxa"/>
            <w:vAlign w:val="bottom"/>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4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Balances — January 30, 2021</w:t>
            </w:r>
          </w:p>
        </w:tc>
        <w:tc>
          <w:tcPr>
            <w:tcW w:w="920" w:type="dxa"/>
            <w:vAlign w:val="bottom"/>
            <w:tcBorders>
              <w:top w:val="single" w:sz="8" w:color="auto"/>
              <w:lef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15,981,394</w:t>
            </w:r>
          </w:p>
        </w:tc>
        <w:tc>
          <w:tcPr>
            <w:tcW w:w="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top w:val="single" w:sz="8" w:color="auto"/>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158</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$ 95,484</w:t>
            </w:r>
          </w:p>
        </w:tc>
        <w:tc>
          <w:tcPr>
            <w:tcW w:w="860" w:type="dxa"/>
            <w:vAlign w:val="bottom"/>
            <w:tcBorders>
              <w:top w:val="single" w:sz="8" w:color="auto"/>
              <w:right w:val="single" w:sz="8" w:color="CCEEFF"/>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w w:val="98"/>
              </w:rPr>
              <w:t>$ 209,918</w:t>
            </w:r>
          </w:p>
        </w:tc>
        <w:tc>
          <w:tcPr>
            <w:tcW w:w="860" w:type="dxa"/>
            <w:vAlign w:val="bottom"/>
            <w:tcBorders>
              <w:top w:val="single" w:sz="8" w:color="auto"/>
              <w:right w:val="single" w:sz="8" w:color="CCEEFF"/>
            </w:tcBorders>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6,104,493</w:t>
            </w:r>
          </w:p>
        </w:tc>
        <w:tc>
          <w:tcPr>
            <w:tcW w:w="160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 (141,926)$ 163,634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Issuance of nonvested shares under incentive plan</w:t>
            </w:r>
          </w:p>
        </w:tc>
        <w:tc>
          <w:tcPr>
            <w:tcW w:w="920" w:type="dxa"/>
            <w:vAlign w:val="bottom"/>
          </w:tcPr>
          <w:p>
            <w:pPr>
              <w:jc w:val="right"/>
              <w:spacing w:after="0"/>
              <w:rPr>
                <w:sz w:val="20"/>
                <w:szCs w:val="20"/>
                <w:color w:val="auto"/>
              </w:rPr>
            </w:pPr>
            <w:r>
              <w:rPr>
                <w:rFonts w:ascii="Arial" w:cs="Arial" w:eastAsia="Arial" w:hAnsi="Arial"/>
                <w:sz w:val="16"/>
                <w:szCs w:val="16"/>
                <w:color w:val="auto"/>
              </w:rPr>
              <w:t>17,278</w:t>
            </w: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Forfeiture of nonvested shares</w:t>
            </w:r>
          </w:p>
        </w:tc>
        <w:tc>
          <w:tcPr>
            <w:tcW w:w="9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(3,005)</w:t>
            </w:r>
          </w:p>
        </w:tc>
        <w:tc>
          <w:tcPr>
            <w:tcW w:w="16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1,087</w:t>
            </w:r>
          </w:p>
        </w:tc>
        <w:tc>
          <w:tcPr>
            <w:tcW w:w="2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1,087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Net share settlement of nonvested shares</w:t>
            </w:r>
          </w:p>
        </w:tc>
        <w:tc>
          <w:tcPr>
            <w:tcW w:w="9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(22,666)</w:t>
            </w:r>
          </w:p>
        </w:tc>
        <w:tc>
          <w:tcPr>
            <w:tcW w:w="16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w:t>
            </w:r>
          </w:p>
        </w:tc>
        <w:tc>
          <w:tcPr>
            <w:tcW w:w="2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537,496</w:t>
            </w:r>
          </w:p>
        </w:tc>
        <w:tc>
          <w:tcPr>
            <w:tcW w:w="800" w:type="dxa"/>
            <w:vAlign w:val="bottom"/>
          </w:tcPr>
          <w:p>
            <w:pPr>
              <w:jc w:val="right"/>
              <w:spacing w:after="0"/>
              <w:rPr>
                <w:sz w:val="20"/>
                <w:szCs w:val="20"/>
                <w:color w:val="auto"/>
              </w:rPr>
            </w:pPr>
            <w:r>
              <w:rPr>
                <w:rFonts w:ascii="Arial" w:cs="Arial" w:eastAsia="Arial" w:hAnsi="Arial"/>
                <w:sz w:val="16"/>
                <w:szCs w:val="16"/>
                <w:color w:val="auto"/>
              </w:rPr>
              <w:t>(45,470)</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(45,470)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2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30,897</w:t>
            </w:r>
          </w:p>
        </w:tc>
        <w:tc>
          <w:tcPr>
            <w:tcW w:w="860" w:type="dxa"/>
            <w:vAlign w:val="bottom"/>
            <w:tcBorders>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30,897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Balances — May 1, 2021</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15,973,001</w:t>
            </w:r>
          </w:p>
        </w:tc>
        <w:tc>
          <w:tcPr>
            <w:tcW w:w="1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158</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6"/>
              </w:rPr>
              <w:t>$ 94,416</w:t>
            </w:r>
          </w:p>
        </w:tc>
        <w:tc>
          <w:tcPr>
            <w:tcW w:w="860" w:type="dxa"/>
            <w:vAlign w:val="bottom"/>
            <w:tcBorders>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w w:val="98"/>
              </w:rPr>
              <w:t>$ 240,815</w:t>
            </w:r>
          </w:p>
        </w:tc>
        <w:tc>
          <w:tcPr>
            <w:tcW w:w="86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6,641,989</w:t>
            </w:r>
          </w:p>
        </w:tc>
        <w:tc>
          <w:tcPr>
            <w:tcW w:w="1600" w:type="dxa"/>
            <w:vAlign w:val="bottom"/>
            <w:tcBorders>
              <w:bottom w:val="single" w:sz="8" w:color="auto"/>
            </w:tcBorders>
            <w:gridSpan w:val="3"/>
          </w:tcPr>
          <w:p>
            <w:pPr>
              <w:jc w:val="right"/>
              <w:spacing w:after="0" w:line="183" w:lineRule="exact"/>
              <w:rPr>
                <w:sz w:val="20"/>
                <w:szCs w:val="20"/>
                <w:color w:val="auto"/>
              </w:rPr>
            </w:pPr>
            <w:r>
              <w:rPr>
                <w:rFonts w:ascii="Arial" w:cs="Arial" w:eastAsia="Arial" w:hAnsi="Arial"/>
                <w:sz w:val="16"/>
                <w:szCs w:val="16"/>
                <w:color w:val="auto"/>
                <w:w w:val="99"/>
              </w:rPr>
              <w:t xml:space="preserve">$ </w:t>
            </w:r>
            <w:r>
              <w:rPr>
                <w:rFonts w:ascii="Arial" w:cs="Arial" w:eastAsia="Arial" w:hAnsi="Arial"/>
                <w:sz w:val="16"/>
                <w:szCs w:val="16"/>
                <w:u w:val="single" w:color="auto"/>
                <w:color w:val="auto"/>
                <w:w w:val="99"/>
              </w:rPr>
              <w:t>(187,396)</w:t>
            </w:r>
            <w:r>
              <w:rPr>
                <w:rFonts w:ascii="Arial" w:cs="Arial" w:eastAsia="Arial" w:hAnsi="Arial"/>
                <w:sz w:val="16"/>
                <w:szCs w:val="16"/>
                <w:color w:val="auto"/>
                <w:w w:val="99"/>
              </w:rPr>
              <w:t>$ 147,993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440" w:type="dxa"/>
            <w:vAlign w:val="bottom"/>
            <w:shd w:val="clear" w:color="auto" w:fill="CCEEFF"/>
          </w:tcPr>
          <w:p>
            <w:pPr>
              <w:spacing w:after="0" w:line="164" w:lineRule="exact"/>
              <w:rPr>
                <w:sz w:val="20"/>
                <w:szCs w:val="20"/>
                <w:color w:val="auto"/>
              </w:rPr>
            </w:pPr>
            <w:r>
              <w:rPr>
                <w:rFonts w:ascii="Arial" w:cs="Arial" w:eastAsia="Arial" w:hAnsi="Arial"/>
                <w:sz w:val="16"/>
                <w:szCs w:val="16"/>
                <w:color w:val="auto"/>
              </w:rPr>
              <w:t>Issuance of nonvested shares under incentive plan</w:t>
            </w:r>
          </w:p>
        </w:tc>
        <w:tc>
          <w:tcPr>
            <w:tcW w:w="920" w:type="dxa"/>
            <w:vAlign w:val="bottom"/>
            <w:tcBorders>
              <w:left w:val="single" w:sz="8" w:color="CCEEFF"/>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4,680</w:t>
            </w:r>
          </w:p>
        </w:tc>
        <w:tc>
          <w:tcPr>
            <w:tcW w:w="16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shd w:val="clear" w:color="auto" w:fill="CCEEFF"/>
          </w:tcPr>
          <w:p>
            <w:pPr>
              <w:jc w:val="right"/>
              <w:ind w:right="20"/>
              <w:spacing w:after="0" w:line="170"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2"/>
            <w:shd w:val="clear" w:color="auto" w:fill="CCEEFF"/>
          </w:tcPr>
          <w:p>
            <w:pPr>
              <w:jc w:val="right"/>
              <w:ind w:right="120"/>
              <w:spacing w:after="0" w:line="170"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Forfeiture of nonvested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(6,161)</w:t>
            </w: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2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Net share settlement of nonvested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(171)</w:t>
            </w: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9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214,761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(18,907)</w:t>
            </w:r>
          </w:p>
        </w:tc>
        <w:tc>
          <w:tcPr>
            <w:tcW w:w="6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12,490</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July 31, 2021</w:t>
            </w:r>
          </w:p>
        </w:tc>
        <w:tc>
          <w:tcPr>
            <w:tcW w:w="920" w:type="dxa"/>
            <w:vAlign w:val="bottom"/>
            <w:tcBorders>
              <w:left w:val="single" w:sz="8" w:color="CCEEFF"/>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15,971,349</w:t>
            </w:r>
          </w:p>
        </w:tc>
        <w:tc>
          <w:tcPr>
            <w:tcW w:w="1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auto"/>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158</w:t>
            </w: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$ 95,214</w:t>
            </w:r>
          </w:p>
        </w:tc>
        <w:tc>
          <w:tcPr>
            <w:tcW w:w="860" w:type="dxa"/>
            <w:vAlign w:val="bottom"/>
            <w:tcBorders>
              <w:bottom w:val="single" w:sz="8" w:color="auto"/>
              <w:right w:val="single" w:sz="8" w:color="CCEEFF"/>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w w:val="98"/>
              </w:rPr>
              <w:t>$ 253,305</w:t>
            </w:r>
          </w:p>
        </w:tc>
        <w:tc>
          <w:tcPr>
            <w:tcW w:w="860" w:type="dxa"/>
            <w:vAlign w:val="bottom"/>
            <w:tcBorders>
              <w:bottom w:val="single" w:sz="8" w:color="auto"/>
              <w:right w:val="single" w:sz="8" w:color="CCEEFF"/>
            </w:tcBorders>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6,856,750</w:t>
            </w:r>
          </w:p>
        </w:tc>
        <w:tc>
          <w:tcPr>
            <w:tcW w:w="1600" w:type="dxa"/>
            <w:vAlign w:val="bottom"/>
            <w:tcBorders>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 xml:space="preserve">$ </w:t>
            </w:r>
            <w:r>
              <w:rPr>
                <w:rFonts w:ascii="Arial" w:cs="Arial" w:eastAsia="Arial" w:hAnsi="Arial"/>
                <w:sz w:val="16"/>
                <w:szCs w:val="16"/>
                <w:u w:val="single" w:color="auto"/>
                <w:color w:val="auto"/>
                <w:w w:val="99"/>
              </w:rPr>
              <w:t>(206,303)</w:t>
            </w:r>
            <w:r>
              <w:rPr>
                <w:rFonts w:ascii="Arial" w:cs="Arial" w:eastAsia="Arial" w:hAnsi="Arial"/>
                <w:sz w:val="16"/>
                <w:szCs w:val="16"/>
                <w:color w:val="auto"/>
                <w:w w:val="99"/>
              </w:rPr>
              <w:t>$ 142,374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6"/>
                <w:szCs w:val="16"/>
                <w:color w:val="auto"/>
              </w:rPr>
              <w:t>Vesting of nonvested restricted stock units</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40" w:type="dxa"/>
            <w:vAlign w:val="bottom"/>
            <w:vMerge w:val="continue"/>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400" w:type="dxa"/>
            <w:vAlign w:val="bottom"/>
          </w:tcPr>
          <w:p>
            <w:pPr>
              <w:jc w:val="right"/>
              <w:spacing w:after="0" w:line="170" w:lineRule="exact"/>
              <w:rPr>
                <w:sz w:val="20"/>
                <w:szCs w:val="20"/>
                <w:color w:val="auto"/>
              </w:rPr>
            </w:pPr>
            <w:r>
              <w:rPr>
                <w:rFonts w:ascii="Arial" w:cs="Arial" w:eastAsia="Arial" w:hAnsi="Arial"/>
                <w:sz w:val="16"/>
                <w:szCs w:val="16"/>
                <w:color w:val="auto"/>
              </w:rPr>
              <w:t>1</w:t>
            </w:r>
          </w:p>
        </w:tc>
        <w:tc>
          <w:tcPr>
            <w:tcW w:w="68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40" w:type="dxa"/>
            <w:vAlign w:val="bottom"/>
          </w:tcPr>
          <w:p>
            <w:pPr>
              <w:jc w:val="right"/>
              <w:ind w:right="60"/>
              <w:spacing w:after="0" w:line="170"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line="170"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line="170"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70" w:lineRule="exact"/>
              <w:rPr>
                <w:sz w:val="20"/>
                <w:szCs w:val="20"/>
                <w:color w:val="auto"/>
              </w:rPr>
            </w:pPr>
            <w:r>
              <w:rPr>
                <w:rFonts w:ascii="Arial" w:cs="Arial" w:eastAsia="Arial" w:hAnsi="Arial"/>
                <w:sz w:val="16"/>
                <w:szCs w:val="16"/>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Issuance of nonvested shares under incentive plan</w:t>
            </w:r>
          </w:p>
        </w:tc>
        <w:tc>
          <w:tcPr>
            <w:tcW w:w="9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6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982</w:t>
            </w:r>
          </w:p>
        </w:tc>
        <w:tc>
          <w:tcPr>
            <w:tcW w:w="2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982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Net share settlement of nonvested shares and restricted</w:t>
            </w:r>
          </w:p>
        </w:tc>
        <w:tc>
          <w:tcPr>
            <w:tcW w:w="92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stock units</w:t>
            </w:r>
          </w:p>
        </w:tc>
        <w:tc>
          <w:tcPr>
            <w:tcW w:w="9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(3,799)</w:t>
            </w:r>
          </w:p>
        </w:tc>
        <w:tc>
          <w:tcPr>
            <w:tcW w:w="16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2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521,086</w:t>
            </w:r>
          </w:p>
        </w:tc>
        <w:tc>
          <w:tcPr>
            <w:tcW w:w="800" w:type="dxa"/>
            <w:vAlign w:val="bottom"/>
          </w:tcPr>
          <w:p>
            <w:pPr>
              <w:jc w:val="right"/>
              <w:spacing w:after="0"/>
              <w:rPr>
                <w:sz w:val="20"/>
                <w:szCs w:val="20"/>
                <w:color w:val="auto"/>
              </w:rPr>
            </w:pPr>
            <w:r>
              <w:rPr>
                <w:rFonts w:ascii="Arial" w:cs="Arial" w:eastAsia="Arial" w:hAnsi="Arial"/>
                <w:sz w:val="16"/>
                <w:szCs w:val="16"/>
                <w:color w:val="auto"/>
              </w:rPr>
              <w:t>(42,829)</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(42,829)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2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9,014</w:t>
            </w:r>
          </w:p>
        </w:tc>
        <w:tc>
          <w:tcPr>
            <w:tcW w:w="860" w:type="dxa"/>
            <w:vAlign w:val="bottom"/>
            <w:tcBorders>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Balances — October 30, 2021</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15,967,965</w:t>
            </w:r>
          </w:p>
        </w:tc>
        <w:tc>
          <w:tcPr>
            <w:tcW w:w="1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6"/>
              </w:rPr>
              <w:t>$ 95,914</w:t>
            </w:r>
          </w:p>
        </w:tc>
        <w:tc>
          <w:tcPr>
            <w:tcW w:w="860" w:type="dxa"/>
            <w:vAlign w:val="bottom"/>
            <w:tcBorders>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w w:val="98"/>
              </w:rPr>
              <w:t>$ 262,319</w:t>
            </w:r>
          </w:p>
        </w:tc>
        <w:tc>
          <w:tcPr>
            <w:tcW w:w="86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7,377,836</w:t>
            </w:r>
          </w:p>
        </w:tc>
        <w:tc>
          <w:tcPr>
            <w:tcW w:w="1600" w:type="dxa"/>
            <w:vAlign w:val="bottom"/>
            <w:tcBorders>
              <w:bottom w:val="single" w:sz="8" w:color="auto"/>
            </w:tcBorders>
            <w:gridSpan w:val="3"/>
          </w:tcPr>
          <w:p>
            <w:pPr>
              <w:jc w:val="right"/>
              <w:spacing w:after="0" w:line="183" w:lineRule="exact"/>
              <w:rPr>
                <w:sz w:val="20"/>
                <w:szCs w:val="20"/>
                <w:color w:val="auto"/>
              </w:rPr>
            </w:pPr>
            <w:r>
              <w:rPr>
                <w:rFonts w:ascii="Arial" w:cs="Arial" w:eastAsia="Arial" w:hAnsi="Arial"/>
                <w:sz w:val="16"/>
                <w:szCs w:val="16"/>
                <w:color w:val="auto"/>
                <w:w w:val="99"/>
              </w:rPr>
              <w:t xml:space="preserve">$ </w:t>
            </w:r>
            <w:r>
              <w:rPr>
                <w:rFonts w:ascii="Arial" w:cs="Arial" w:eastAsia="Arial" w:hAnsi="Arial"/>
                <w:sz w:val="16"/>
                <w:szCs w:val="16"/>
                <w:u w:val="single" w:color="auto"/>
                <w:color w:val="auto"/>
                <w:w w:val="99"/>
              </w:rPr>
              <w:t>(249,132)</w:t>
            </w:r>
            <w:r>
              <w:rPr>
                <w:rFonts w:ascii="Arial" w:cs="Arial" w:eastAsia="Arial" w:hAnsi="Arial"/>
                <w:sz w:val="16"/>
                <w:szCs w:val="16"/>
                <w:color w:val="auto"/>
                <w:w w:val="99"/>
              </w:rPr>
              <w:t>$ 109,260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440" w:type="dxa"/>
            <w:vAlign w:val="bottom"/>
            <w:shd w:val="clear" w:color="auto" w:fill="CCEEFF"/>
          </w:tcPr>
          <w:p>
            <w:pPr>
              <w:spacing w:after="0"/>
              <w:rPr>
                <w:sz w:val="14"/>
                <w:szCs w:val="14"/>
                <w:color w:val="auto"/>
              </w:rPr>
            </w:pPr>
          </w:p>
        </w:tc>
        <w:tc>
          <w:tcPr>
            <w:tcW w:w="92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0"/>
        </w:trPr>
        <w:tc>
          <w:tcPr>
            <w:tcW w:w="4440" w:type="dxa"/>
            <w:vAlign w:val="bottom"/>
          </w:tcPr>
          <w:p>
            <w:pPr>
              <w:spacing w:after="0"/>
              <w:rPr>
                <w:sz w:val="24"/>
                <w:szCs w:val="24"/>
                <w:color w:val="auto"/>
              </w:rPr>
            </w:pPr>
          </w:p>
        </w:tc>
        <w:tc>
          <w:tcPr>
            <w:tcW w:w="14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Common Stock</w:t>
            </w: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Paid in</w:t>
            </w:r>
          </w:p>
        </w:tc>
        <w:tc>
          <w:tcPr>
            <w:tcW w:w="2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4"/>
                <w:szCs w:val="14"/>
                <w:b w:val="1"/>
                <w:bCs w:val="1"/>
                <w:color w:val="auto"/>
              </w:rPr>
              <w:t>Retained</w:t>
            </w:r>
          </w:p>
        </w:tc>
        <w:tc>
          <w:tcPr>
            <w:tcW w:w="17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Treasury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98"/>
              </w:rPr>
              <w:t>Amount</w:t>
            </w: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840" w:type="dxa"/>
            <w:vAlign w:val="bottom"/>
          </w:tcPr>
          <w:p>
            <w:pPr>
              <w:jc w:val="right"/>
              <w:ind w:right="60"/>
              <w:spacing w:after="0"/>
              <w:rPr>
                <w:sz w:val="20"/>
                <w:szCs w:val="20"/>
                <w:color w:val="auto"/>
              </w:rPr>
            </w:pPr>
            <w:r>
              <w:rPr>
                <w:rFonts w:ascii="Arial" w:cs="Arial" w:eastAsia="Arial" w:hAnsi="Arial"/>
                <w:sz w:val="14"/>
                <w:szCs w:val="14"/>
                <w:b w:val="1"/>
                <w:bCs w:val="1"/>
                <w:color w:val="auto"/>
              </w:rPr>
              <w:t>Earnings</w:t>
            </w:r>
          </w:p>
        </w:tc>
        <w:tc>
          <w:tcPr>
            <w:tcW w:w="860" w:type="dxa"/>
            <w:vAlign w:val="bottom"/>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44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Balances — February 1, 2020</w:t>
            </w:r>
          </w:p>
        </w:tc>
        <w:tc>
          <w:tcPr>
            <w:tcW w:w="9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CCEEFF"/>
            </w:tcBorders>
            <w:gridSpan w:val="2"/>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vMerge w:val="continue"/>
            <w:shd w:val="clear" w:color="auto" w:fill="CCEEFF"/>
          </w:tcPr>
          <w:p>
            <w:pPr>
              <w:spacing w:after="0"/>
              <w:rPr>
                <w:sz w:val="15"/>
                <w:szCs w:val="15"/>
                <w:color w:val="auto"/>
              </w:rPr>
            </w:pPr>
          </w:p>
        </w:tc>
        <w:tc>
          <w:tcPr>
            <w:tcW w:w="920" w:type="dxa"/>
            <w:vAlign w:val="bottom"/>
            <w:tcBorders>
              <w:lef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15,907,666</w:t>
            </w:r>
          </w:p>
        </w:tc>
        <w:tc>
          <w:tcPr>
            <w:tcW w:w="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157</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$ 93,180</w:t>
            </w:r>
          </w:p>
        </w:tc>
        <w:tc>
          <w:tcPr>
            <w:tcW w:w="2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$ 186,772</w:t>
            </w:r>
          </w:p>
        </w:tc>
        <w:tc>
          <w:tcPr>
            <w:tcW w:w="860" w:type="dxa"/>
            <w:vAlign w:val="bottom"/>
            <w:tcBorders>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5,073,532</w:t>
            </w:r>
          </w:p>
        </w:tc>
        <w:tc>
          <w:tcPr>
            <w:tcW w:w="860" w:type="dxa"/>
            <w:vAlign w:val="bottom"/>
            <w:tcBorders>
              <w:right w:val="single" w:sz="8" w:color="CCEEFF"/>
            </w:tcBorders>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 (109,065)</w:t>
            </w:r>
          </w:p>
        </w:tc>
        <w:tc>
          <w:tcPr>
            <w:tcW w:w="80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$ 171,044</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Vesting of nonvested restricted stock units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Issuance of nonvested shares under incentive plan</w:t>
            </w:r>
          </w:p>
        </w:tc>
        <w:tc>
          <w:tcPr>
            <w:tcW w:w="9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86,025</w:t>
            </w:r>
          </w:p>
        </w:tc>
        <w:tc>
          <w:tcPr>
            <w:tcW w:w="16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Forfeiture of nonvested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(8,872)</w:t>
            </w: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2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Net share settlement of nonvested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(34,487)</w:t>
            </w: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(479)</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9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260,254</w:t>
            </w:r>
          </w:p>
        </w:tc>
        <w:tc>
          <w:tcPr>
            <w:tcW w:w="8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(6,254)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(6,254)</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Dividends to stockholders ($0.08 per common share)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(831)</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2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(20,892)</w:t>
            </w: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(20,892)</w:t>
            </w:r>
          </w:p>
        </w:tc>
        <w:tc>
          <w:tcPr>
            <w:tcW w:w="0" w:type="dxa"/>
            <w:vAlign w:val="bottom"/>
          </w:tcPr>
          <w:p>
            <w:pPr>
              <w:spacing w:after="0"/>
              <w:rPr>
                <w:sz w:val="1"/>
                <w:szCs w:val="1"/>
                <w:color w:val="auto"/>
              </w:rPr>
            </w:pPr>
          </w:p>
        </w:tc>
      </w:tr>
      <w:tr>
        <w:trPr>
          <w:trHeight w:val="222"/>
        </w:trPr>
        <w:tc>
          <w:tcPr>
            <w:tcW w:w="4440" w:type="dxa"/>
            <w:vAlign w:val="bottom"/>
          </w:tcPr>
          <w:p>
            <w:pPr>
              <w:spacing w:after="0" w:line="183" w:lineRule="exact"/>
              <w:rPr>
                <w:sz w:val="20"/>
                <w:szCs w:val="20"/>
                <w:color w:val="auto"/>
              </w:rPr>
            </w:pPr>
            <w:r>
              <w:rPr>
                <w:rFonts w:ascii="Arial" w:cs="Arial" w:eastAsia="Arial" w:hAnsi="Arial"/>
                <w:sz w:val="16"/>
                <w:szCs w:val="16"/>
                <w:color w:val="auto"/>
              </w:rPr>
              <w:t>Balances — May 2, 2020</w:t>
            </w: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15,950,332</w:t>
            </w:r>
          </w:p>
        </w:tc>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158</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w w:val="99"/>
              </w:rPr>
              <w:t>$ 93,170</w:t>
            </w:r>
          </w:p>
        </w:tc>
        <w:tc>
          <w:tcPr>
            <w:tcW w:w="20" w:type="dxa"/>
            <w:vAlign w:val="bottom"/>
          </w:tcPr>
          <w:p>
            <w:pPr>
              <w:spacing w:after="0"/>
              <w:rPr>
                <w:sz w:val="19"/>
                <w:szCs w:val="19"/>
                <w:color w:val="auto"/>
              </w:rPr>
            </w:pPr>
          </w:p>
        </w:tc>
        <w:tc>
          <w:tcPr>
            <w:tcW w:w="840" w:type="dxa"/>
            <w:vAlign w:val="bottom"/>
          </w:tcPr>
          <w:p>
            <w:pPr>
              <w:jc w:val="right"/>
              <w:ind w:right="20"/>
              <w:spacing w:after="0" w:line="183" w:lineRule="exact"/>
              <w:rPr>
                <w:sz w:val="20"/>
                <w:szCs w:val="20"/>
                <w:color w:val="auto"/>
              </w:rPr>
            </w:pPr>
            <w:r>
              <w:rPr>
                <w:rFonts w:ascii="Arial" w:cs="Arial" w:eastAsia="Arial" w:hAnsi="Arial"/>
                <w:sz w:val="16"/>
                <w:szCs w:val="16"/>
                <w:color w:val="auto"/>
              </w:rPr>
              <w:t>$ 165,049</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5,333,786</w:t>
            </w:r>
          </w:p>
        </w:tc>
        <w:tc>
          <w:tcPr>
            <w:tcW w:w="8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 (115,319)</w:t>
            </w:r>
          </w:p>
        </w:tc>
        <w:tc>
          <w:tcPr>
            <w:tcW w:w="8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$ 143,058</w:t>
            </w:r>
          </w:p>
        </w:tc>
        <w:tc>
          <w:tcPr>
            <w:tcW w:w="0" w:type="dxa"/>
            <w:vAlign w:val="bottom"/>
          </w:tcPr>
          <w:p>
            <w:pPr>
              <w:spacing w:after="0"/>
              <w:rPr>
                <w:sz w:val="1"/>
                <w:szCs w:val="1"/>
                <w:color w:val="auto"/>
              </w:rPr>
            </w:pPr>
          </w:p>
        </w:tc>
      </w:tr>
      <w:tr>
        <w:trPr>
          <w:trHeight w:val="170"/>
        </w:trPr>
        <w:tc>
          <w:tcPr>
            <w:tcW w:w="44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6"/>
                <w:szCs w:val="16"/>
                <w:color w:val="auto"/>
              </w:rPr>
              <w:t>Issuance of nonvested shares under incentive plan</w:t>
            </w:r>
          </w:p>
        </w:tc>
        <w:tc>
          <w:tcPr>
            <w:tcW w:w="920" w:type="dxa"/>
            <w:vAlign w:val="bottom"/>
            <w:tcBorders>
              <w:top w:val="single" w:sz="8" w:color="auto"/>
              <w:left w:val="single" w:sz="8" w:color="CCEEFF"/>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17,808</w:t>
            </w:r>
          </w:p>
        </w:tc>
        <w:tc>
          <w:tcPr>
            <w:tcW w:w="1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right w:val="single" w:sz="8" w:color="CCEEFF"/>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right w:val="single" w:sz="8" w:color="CCEEFF"/>
            </w:tcBorders>
            <w:shd w:val="clear" w:color="auto" w:fill="CCEEFF"/>
          </w:tcPr>
          <w:p>
            <w:pPr>
              <w:jc w:val="right"/>
              <w:ind w:right="20"/>
              <w:spacing w:after="0" w:line="170" w:lineRule="exact"/>
              <w:rPr>
                <w:sz w:val="20"/>
                <w:szCs w:val="20"/>
                <w:color w:val="auto"/>
              </w:rPr>
            </w:pPr>
            <w:r>
              <w:rPr>
                <w:rFonts w:ascii="Arial" w:cs="Arial" w:eastAsia="Arial" w:hAnsi="Arial"/>
                <w:sz w:val="16"/>
                <w:szCs w:val="16"/>
                <w:color w:val="auto"/>
              </w:rPr>
              <w:t>—</w:t>
            </w:r>
          </w:p>
        </w:tc>
        <w:tc>
          <w:tcPr>
            <w:tcW w:w="860" w:type="dxa"/>
            <w:vAlign w:val="bottom"/>
            <w:tcBorders>
              <w:top w:val="single" w:sz="8" w:color="auto"/>
              <w:right w:val="single" w:sz="8" w:color="CCEEFF"/>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860" w:type="dxa"/>
            <w:vAlign w:val="bottom"/>
            <w:tcBorders>
              <w:top w:val="single" w:sz="8" w:color="auto"/>
              <w:right w:val="single" w:sz="8" w:color="CCEEFF"/>
            </w:tcBorders>
            <w:gridSpan w:val="2"/>
            <w:shd w:val="clear" w:color="auto" w:fill="CCEEFF"/>
          </w:tcPr>
          <w:p>
            <w:pPr>
              <w:jc w:val="right"/>
              <w:ind w:right="80"/>
              <w:spacing w:after="0" w:line="170"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gridSpan w:val="2"/>
            <w:shd w:val="clear" w:color="auto" w:fill="CCEEFF"/>
          </w:tcPr>
          <w:p>
            <w:pPr>
              <w:jc w:val="right"/>
              <w:ind w:right="40"/>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536</w:t>
            </w:r>
          </w:p>
        </w:tc>
        <w:tc>
          <w:tcPr>
            <w:tcW w:w="20" w:type="dxa"/>
            <w:vAlign w:val="bottom"/>
          </w:tcPr>
          <w:p>
            <w:pPr>
              <w:spacing w:after="0"/>
              <w:rPr>
                <w:sz w:val="16"/>
                <w:szCs w:val="16"/>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Net share settlement of nonvested shares</w:t>
            </w:r>
          </w:p>
        </w:tc>
        <w:tc>
          <w:tcPr>
            <w:tcW w:w="9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6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4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19,867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19,867</w:t>
            </w:r>
          </w:p>
        </w:tc>
        <w:tc>
          <w:tcPr>
            <w:tcW w:w="0" w:type="dxa"/>
            <w:vAlign w:val="bottom"/>
          </w:tcPr>
          <w:p>
            <w:pPr>
              <w:spacing w:after="0"/>
              <w:rPr>
                <w:sz w:val="1"/>
                <w:szCs w:val="1"/>
                <w:color w:val="auto"/>
              </w:rPr>
            </w:pPr>
          </w:p>
        </w:tc>
      </w:tr>
      <w:tr>
        <w:trPr>
          <w:trHeight w:val="183"/>
        </w:trPr>
        <w:tc>
          <w:tcPr>
            <w:tcW w:w="44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Balances — August 1, 2020</w:t>
            </w:r>
          </w:p>
        </w:tc>
        <w:tc>
          <w:tcPr>
            <w:tcW w:w="920" w:type="dxa"/>
            <w:vAlign w:val="bottom"/>
            <w:tcBorders>
              <w:lef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15,967,948</w:t>
            </w:r>
          </w:p>
        </w:tc>
        <w:tc>
          <w:tcPr>
            <w:tcW w:w="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158</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$ 93,702</w:t>
            </w:r>
          </w:p>
        </w:tc>
        <w:tc>
          <w:tcPr>
            <w:tcW w:w="2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$ 184,916</w:t>
            </w:r>
          </w:p>
        </w:tc>
        <w:tc>
          <w:tcPr>
            <w:tcW w:w="860" w:type="dxa"/>
            <w:vAlign w:val="bottom"/>
            <w:tcBorders>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5,333,786</w:t>
            </w:r>
          </w:p>
        </w:tc>
        <w:tc>
          <w:tcPr>
            <w:tcW w:w="860" w:type="dxa"/>
            <w:vAlign w:val="bottom"/>
            <w:tcBorders>
              <w:right w:val="single" w:sz="8" w:color="CCEEFF"/>
            </w:tcBorders>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 (115,319)</w:t>
            </w:r>
          </w:p>
        </w:tc>
        <w:tc>
          <w:tcPr>
            <w:tcW w:w="80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$ 163,457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40" w:type="dxa"/>
            <w:vAlign w:val="bottom"/>
          </w:tcPr>
          <w:p>
            <w:pPr>
              <w:spacing w:after="0" w:line="170" w:lineRule="exact"/>
              <w:rPr>
                <w:sz w:val="20"/>
                <w:szCs w:val="20"/>
                <w:color w:val="auto"/>
              </w:rPr>
            </w:pPr>
            <w:r>
              <w:rPr>
                <w:rFonts w:ascii="Arial" w:cs="Arial" w:eastAsia="Arial" w:hAnsi="Arial"/>
                <w:sz w:val="16"/>
                <w:szCs w:val="16"/>
                <w:color w:val="auto"/>
              </w:rPr>
              <w:t>Issuance of nonvested shares under incentive plan</w:t>
            </w:r>
          </w:p>
        </w:tc>
        <w:tc>
          <w:tcPr>
            <w:tcW w:w="920" w:type="dxa"/>
            <w:vAlign w:val="bottom"/>
          </w:tcPr>
          <w:p>
            <w:pPr>
              <w:jc w:val="right"/>
              <w:spacing w:after="0" w:line="170" w:lineRule="exact"/>
              <w:rPr>
                <w:sz w:val="20"/>
                <w:szCs w:val="20"/>
                <w:color w:val="auto"/>
              </w:rPr>
            </w:pPr>
            <w:r>
              <w:rPr>
                <w:rFonts w:ascii="Arial" w:cs="Arial" w:eastAsia="Arial" w:hAnsi="Arial"/>
                <w:sz w:val="16"/>
                <w:szCs w:val="16"/>
                <w:color w:val="auto"/>
              </w:rPr>
              <w:t>11,047</w:t>
            </w:r>
          </w:p>
        </w:tc>
        <w:tc>
          <w:tcPr>
            <w:tcW w:w="160" w:type="dxa"/>
            <w:vAlign w:val="bottom"/>
          </w:tcPr>
          <w:p>
            <w:pPr>
              <w:spacing w:after="0"/>
              <w:rPr>
                <w:sz w:val="14"/>
                <w:szCs w:val="14"/>
                <w:color w:val="auto"/>
              </w:rPr>
            </w:pPr>
          </w:p>
        </w:tc>
        <w:tc>
          <w:tcPr>
            <w:tcW w:w="40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40" w:type="dxa"/>
            <w:vAlign w:val="bottom"/>
          </w:tcPr>
          <w:p>
            <w:pPr>
              <w:jc w:val="right"/>
              <w:ind w:right="20"/>
              <w:spacing w:after="0" w:line="170"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170" w:lineRule="exact"/>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Forfeiture of nonvested shares by employees and directors</w:t>
            </w:r>
          </w:p>
        </w:tc>
        <w:tc>
          <w:tcPr>
            <w:tcW w:w="9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(6,346)</w:t>
            </w:r>
          </w:p>
        </w:tc>
        <w:tc>
          <w:tcPr>
            <w:tcW w:w="16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497</w:t>
            </w:r>
          </w:p>
        </w:tc>
        <w:tc>
          <w:tcPr>
            <w:tcW w:w="20" w:type="dxa"/>
            <w:vAlign w:val="bottom"/>
          </w:tcPr>
          <w:p>
            <w:pPr>
              <w:spacing w:after="0"/>
              <w:rPr>
                <w:sz w:val="16"/>
                <w:szCs w:val="16"/>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191"/>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Net share settlement of nonvested shares and restricted</w:t>
            </w:r>
          </w:p>
        </w:tc>
        <w:tc>
          <w:tcPr>
            <w:tcW w:w="92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stock units</w:t>
            </w:r>
          </w:p>
        </w:tc>
        <w:tc>
          <w:tcPr>
            <w:tcW w:w="9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(3,800)</w:t>
            </w:r>
          </w:p>
        </w:tc>
        <w:tc>
          <w:tcPr>
            <w:tcW w:w="16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4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375,803</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(9,888)</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(9,888)</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2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6,965</w:t>
            </w: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6,965</w:t>
            </w:r>
          </w:p>
        </w:tc>
        <w:tc>
          <w:tcPr>
            <w:tcW w:w="0" w:type="dxa"/>
            <w:vAlign w:val="bottom"/>
          </w:tcPr>
          <w:p>
            <w:pPr>
              <w:spacing w:after="0"/>
              <w:rPr>
                <w:sz w:val="1"/>
                <w:szCs w:val="1"/>
                <w:color w:val="auto"/>
              </w:rPr>
            </w:pPr>
          </w:p>
        </w:tc>
      </w:tr>
      <w:tr>
        <w:trPr>
          <w:trHeight w:val="183"/>
        </w:trPr>
        <w:tc>
          <w:tcPr>
            <w:tcW w:w="4440" w:type="dxa"/>
            <w:vAlign w:val="bottom"/>
          </w:tcPr>
          <w:p>
            <w:pPr>
              <w:spacing w:after="0" w:line="183" w:lineRule="exact"/>
              <w:rPr>
                <w:sz w:val="20"/>
                <w:szCs w:val="20"/>
                <w:color w:val="auto"/>
              </w:rPr>
            </w:pPr>
            <w:r>
              <w:rPr>
                <w:rFonts w:ascii="Arial" w:cs="Arial" w:eastAsia="Arial" w:hAnsi="Arial"/>
                <w:sz w:val="16"/>
                <w:szCs w:val="16"/>
                <w:color w:val="auto"/>
              </w:rPr>
              <w:t>Balances — October 31, 2020</w:t>
            </w: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15,968,849</w:t>
            </w:r>
          </w:p>
        </w:tc>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158</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w w:val="99"/>
              </w:rPr>
              <w:t>$ 94,101</w:t>
            </w:r>
          </w:p>
        </w:tc>
        <w:tc>
          <w:tcPr>
            <w:tcW w:w="20" w:type="dxa"/>
            <w:vAlign w:val="bottom"/>
          </w:tcPr>
          <w:p>
            <w:pPr>
              <w:spacing w:after="0"/>
              <w:rPr>
                <w:sz w:val="15"/>
                <w:szCs w:val="15"/>
                <w:color w:val="auto"/>
              </w:rPr>
            </w:pPr>
          </w:p>
        </w:tc>
        <w:tc>
          <w:tcPr>
            <w:tcW w:w="840" w:type="dxa"/>
            <w:vAlign w:val="bottom"/>
          </w:tcPr>
          <w:p>
            <w:pPr>
              <w:jc w:val="right"/>
              <w:ind w:right="20"/>
              <w:spacing w:after="0" w:line="183" w:lineRule="exact"/>
              <w:rPr>
                <w:sz w:val="20"/>
                <w:szCs w:val="20"/>
                <w:color w:val="auto"/>
              </w:rPr>
            </w:pPr>
            <w:r>
              <w:rPr>
                <w:rFonts w:ascii="Arial" w:cs="Arial" w:eastAsia="Arial" w:hAnsi="Arial"/>
                <w:sz w:val="16"/>
                <w:szCs w:val="16"/>
                <w:color w:val="auto"/>
              </w:rPr>
              <w:t>$ 191,881</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5,709,589</w:t>
            </w:r>
          </w:p>
        </w:tc>
        <w:tc>
          <w:tcPr>
            <w:tcW w:w="8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 (125,207)</w:t>
            </w:r>
          </w:p>
        </w:tc>
        <w:tc>
          <w:tcPr>
            <w:tcW w:w="8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$ 160,933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80"/>
          </w:cols>
          <w:pgMar w:left="980" w:top="121" w:right="9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auto"/>
        </w:rPr>
        <w:t>Citi Trends,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Notes to the Condensed Consolidated Financial Statements (unaudited)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October 30, 2021</w:t>
      </w:r>
    </w:p>
    <w:p>
      <w:pPr>
        <w:spacing w:after="0" w:line="30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Significant Accounting Policies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w:t>
      </w:r>
    </w:p>
    <w:p>
      <w:pPr>
        <w:spacing w:after="0" w:line="251" w:lineRule="exact"/>
        <w:rPr>
          <w:sz w:val="20"/>
          <w:szCs w:val="20"/>
          <w:color w:val="auto"/>
        </w:rPr>
      </w:pPr>
    </w:p>
    <w:p>
      <w:pPr>
        <w:jc w:val="both"/>
        <w:ind w:right="60"/>
        <w:spacing w:after="0" w:line="271" w:lineRule="auto"/>
        <w:rPr>
          <w:sz w:val="20"/>
          <w:szCs w:val="20"/>
          <w:color w:val="auto"/>
        </w:rPr>
      </w:pPr>
      <w:r>
        <w:rPr>
          <w:rFonts w:ascii="Arial" w:cs="Arial" w:eastAsia="Arial" w:hAnsi="Arial"/>
          <w:sz w:val="16"/>
          <w:szCs w:val="16"/>
          <w:color w:val="auto"/>
        </w:rPr>
        <w:t>Citi Trends, Inc. and its subsidiary (the “Company”) is a growing specialty value retailer of apparel, accessories and home trends primarily for African American and Latinx families. As of October 30, 2021, the Company operated 600 stores in urban, suburban and rural markets in 33 states.</w:t>
      </w:r>
    </w:p>
    <w:p>
      <w:pPr>
        <w:spacing w:after="0" w:line="20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condensed consolidated financial statements are prepared in accordance with U.S. generally accepted accounting principles (“U.S. GAAP”) for interim reporting and are unaudited. In the opinion of management, the condensed consolidated financial statements reflect all adjustments, which are normal and recurring in nature, necessary for fair financial statement presentation. The condensed consolidated balance sheet as of January 30, 2021 is derived from the audited financial statements in the Company’s Annual Report on Form 10-K for the fiscal year ended January 30, 2021 (the “2020 Form 10-K”). These condensed consolidated financial statements should be read in conjunction with the audited consolidated financial statements and notes thereto included in the 2020 Form 10-K. Operating results for the third quarter of 2021 are not necessarily indicative of the results that may be expected for the fiscal year as a result of the seasonality of the business and continued uncertainty surrounding the economic impact of the novel coronavirus, including variants of the coronavirus (“COVID-19”) and the duration and extent of any economic stimulus programs.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w:t>
      </w:r>
    </w:p>
    <w:p>
      <w:pPr>
        <w:spacing w:after="0" w:line="251"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The following contains references to fiscal years 2021 and 2020, which represent fiscal years ending or ended on January 29, 2022 and January 30, 2021, respectively. Fiscal 2021 and 2020 both have 52-week accounting periods.</w:t>
      </w:r>
    </w:p>
    <w:p>
      <w:pPr>
        <w:spacing w:after="0" w:line="19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COVID-19 Pandemic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 March 2020, the World Health Organization declared the spread of the COVID-19 a global pandemic.</w:t>
      </w:r>
    </w:p>
    <w:p>
      <w:pPr>
        <w:spacing w:after="0" w:line="235"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pandemic has resulted in periods of disruption for the Company, including the temporary closure of stores and limited store operating hours, reduced customer traffic and consumer spending, and delays in the manufacturing and shipping of products. The Company saw improvement in its financial results and positive trends during the latter half of 2020 and through the first three quarters of 2021 as governments eased restrictions and provided economic stimulus, along with the acceleration of vaccine distribution, leading to an increase in spending and increased customer demand.</w:t>
      </w:r>
    </w:p>
    <w:p>
      <w:pPr>
        <w:spacing w:after="0" w:line="19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Company expects continued uncertainty in its business and the global economy due to the COVID-19 pandemic, including potential volatility in employment trends and consumer confidence, current or future restrictive actions that may be imposed by governments or public health authorities, the duration and extent of any economic stimulus programs, supply chain interruptions, increased distribution and transportation costs, increased payroll expenses, and increased costs to maintain safe work and shopping environments. The impacts of the pandemic have had, and may continue to have, an adverse impact on the Company’s financial condition, results of operations and liquidity. The Company will continue to monitor the effects of COVID-19 and take the necessary actions to serve our associates, customers, communities and shareholders.</w:t>
      </w:r>
    </w:p>
    <w:p>
      <w:pPr>
        <w:spacing w:after="0" w:line="24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Cash and Cash Equivalents/Concentration of Credit Risk</w:t>
      </w:r>
    </w:p>
    <w:p>
      <w:pPr>
        <w:spacing w:after="0" w:line="221" w:lineRule="exact"/>
        <w:rPr>
          <w:sz w:val="20"/>
          <w:szCs w:val="20"/>
          <w:color w:val="auto"/>
        </w:rPr>
      </w:pPr>
    </w:p>
    <w:p>
      <w:pPr>
        <w:ind w:right="300"/>
        <w:spacing w:after="0" w:line="267" w:lineRule="auto"/>
        <w:rPr>
          <w:sz w:val="20"/>
          <w:szCs w:val="20"/>
          <w:color w:val="auto"/>
        </w:rPr>
      </w:pPr>
      <w:r>
        <w:rPr>
          <w:rFonts w:ascii="Arial" w:cs="Arial" w:eastAsia="Arial" w:hAnsi="Arial"/>
          <w:sz w:val="16"/>
          <w:szCs w:val="16"/>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 w:name="page8"/>
    <w:bookmarkEnd w:id="7"/>
    <w:p>
      <w:pPr>
        <w:ind w:left="180" w:hanging="172"/>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Earnings per Share</w:t>
      </w:r>
    </w:p>
    <w:p>
      <w:pPr>
        <w:spacing w:after="0" w:line="221" w:lineRule="exact"/>
        <w:rPr>
          <w:sz w:val="20"/>
          <w:szCs w:val="20"/>
          <w:color w:val="auto"/>
        </w:rPr>
      </w:pPr>
    </w:p>
    <w:p>
      <w:pPr>
        <w:ind w:right="200"/>
        <w:spacing w:after="0" w:line="267" w:lineRule="auto"/>
        <w:rPr>
          <w:sz w:val="20"/>
          <w:szCs w:val="20"/>
          <w:color w:val="auto"/>
        </w:rPr>
      </w:pPr>
      <w:r>
        <w:rPr>
          <w:rFonts w:ascii="Arial" w:cs="Arial" w:eastAsia="Arial" w:hAnsi="Arial"/>
          <w:sz w:val="16"/>
          <w:szCs w:val="16"/>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273"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dilutive effect of stock-based compensation arrangements is accounted for using the treasury stock method. The Company includes as assumed proceeds the amount of compensation cost attributed to future services and not yet recognized. For the thirteen weeks ended October 30, 2021 and October 31, 2020, there were 38,000 and 134,000 shares of nonvested restricted stock, respectively, excluded from the calculation of diluted earnings per share because of antidilution. For the thirty-nine weeks ended October 30, 2021 and</w:t>
      </w:r>
    </w:p>
    <w:p>
      <w:pPr>
        <w:ind w:right="380"/>
        <w:spacing w:after="0" w:line="278" w:lineRule="auto"/>
        <w:rPr>
          <w:sz w:val="20"/>
          <w:szCs w:val="20"/>
          <w:color w:val="auto"/>
        </w:rPr>
      </w:pPr>
      <w:r>
        <w:rPr>
          <w:rFonts w:ascii="Arial" w:cs="Arial" w:eastAsia="Arial" w:hAnsi="Arial"/>
          <w:sz w:val="16"/>
          <w:szCs w:val="16"/>
          <w:color w:val="auto"/>
        </w:rPr>
        <w:t>October 31, 2020, there were 38,000 and 150,000 shares of nonvested restricted stock, respectively, excluded from the calculation of diluted earnings per share because of antidilution.</w:t>
      </w:r>
    </w:p>
    <w:p>
      <w:pPr>
        <w:spacing w:after="0" w:line="181"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The following table provides a reconciliation of the weighted average number of common shares outstanding used to calculate basic earnings per share to the number of common shares and common stock equivalents outstanding used in calculating diluted earnings per share: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2640" w:type="dxa"/>
            <w:vAlign w:val="bottom"/>
            <w:gridSpan w:val="3"/>
          </w:tcPr>
          <w:p>
            <w:pPr>
              <w:jc w:val="right"/>
              <w:ind w:right="461"/>
              <w:spacing w:after="0"/>
              <w:rPr>
                <w:sz w:val="20"/>
                <w:szCs w:val="20"/>
                <w:color w:val="auto"/>
              </w:rPr>
            </w:pPr>
            <w:r>
              <w:rPr>
                <w:rFonts w:ascii="Arial" w:cs="Arial" w:eastAsia="Arial" w:hAnsi="Arial"/>
                <w:sz w:val="14"/>
                <w:szCs w:val="14"/>
                <w:b w:val="1"/>
                <w:bCs w:val="1"/>
                <w:color w:val="auto"/>
              </w:rPr>
              <w:t>Thirteen Weeks Ended</w:t>
            </w:r>
          </w:p>
        </w:tc>
      </w:tr>
      <w:tr>
        <w:trPr>
          <w:trHeight w:val="39"/>
        </w:trPr>
        <w:tc>
          <w:tcPr>
            <w:tcW w:w="7280" w:type="dxa"/>
            <w:vAlign w:val="bottom"/>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728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30, 2021</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October 31, 2020</w:t>
            </w:r>
          </w:p>
        </w:tc>
      </w:tr>
      <w:tr>
        <w:trPr>
          <w:trHeight w:val="26"/>
        </w:trPr>
        <w:tc>
          <w:tcPr>
            <w:tcW w:w="7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number of common shares outstanding</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8,706,219</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10,364,842</w:t>
            </w:r>
          </w:p>
        </w:tc>
      </w:tr>
      <w:tr>
        <w:trPr>
          <w:trHeight w:val="197"/>
        </w:trPr>
        <w:tc>
          <w:tcPr>
            <w:tcW w:w="7280" w:type="dxa"/>
            <w:vAlign w:val="bottom"/>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200" w:type="dxa"/>
            <w:vAlign w:val="bottom"/>
          </w:tcPr>
          <w:p>
            <w:pPr>
              <w:jc w:val="right"/>
              <w:spacing w:after="0"/>
              <w:rPr>
                <w:sz w:val="20"/>
                <w:szCs w:val="20"/>
                <w:color w:val="auto"/>
              </w:rPr>
            </w:pPr>
            <w:r>
              <w:rPr>
                <w:rFonts w:ascii="Arial" w:cs="Arial" w:eastAsia="Arial" w:hAnsi="Arial"/>
                <w:sz w:val="16"/>
                <w:szCs w:val="16"/>
                <w:color w:val="auto"/>
              </w:rPr>
              <w:t>80,668</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36,311</w:t>
            </w:r>
          </w:p>
        </w:tc>
      </w:tr>
      <w:tr>
        <w:trPr>
          <w:trHeight w:val="46"/>
        </w:trPr>
        <w:tc>
          <w:tcPr>
            <w:tcW w:w="728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2"/>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number of common shares and common stock equivalents outstanding</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8,786,887</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10,401,153</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372"/>
        </w:trPr>
        <w:tc>
          <w:tcPr>
            <w:tcW w:w="7280" w:type="dxa"/>
            <w:vAlign w:val="bottom"/>
          </w:tcPr>
          <w:p>
            <w:pPr>
              <w:spacing w:after="0"/>
              <w:rPr>
                <w:sz w:val="24"/>
                <w:szCs w:val="24"/>
                <w:color w:val="auto"/>
              </w:rPr>
            </w:pPr>
          </w:p>
        </w:tc>
        <w:tc>
          <w:tcPr>
            <w:tcW w:w="264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Thirty-Nine Weeks Ended</w:t>
            </w:r>
          </w:p>
        </w:tc>
      </w:tr>
      <w:tr>
        <w:trPr>
          <w:trHeight w:val="156"/>
        </w:trPr>
        <w:tc>
          <w:tcPr>
            <w:tcW w:w="7280" w:type="dxa"/>
            <w:vAlign w:val="bottom"/>
          </w:tcPr>
          <w:p>
            <w:pPr>
              <w:spacing w:after="0"/>
              <w:rPr>
                <w:sz w:val="13"/>
                <w:szCs w:val="13"/>
                <w:color w:val="auto"/>
              </w:rPr>
            </w:pPr>
          </w:p>
        </w:tc>
        <w:tc>
          <w:tcPr>
            <w:tcW w:w="14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October 30, 2021</w:t>
            </w:r>
          </w:p>
        </w:tc>
        <w:tc>
          <w:tcPr>
            <w:tcW w:w="1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October 31, 2020</w:t>
            </w:r>
          </w:p>
        </w:tc>
      </w:tr>
      <w:tr>
        <w:trPr>
          <w:trHeight w:val="183"/>
        </w:trPr>
        <w:tc>
          <w:tcPr>
            <w:tcW w:w="7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outstanding</w:t>
            </w:r>
          </w:p>
        </w:tc>
        <w:tc>
          <w:tcPr>
            <w:tcW w:w="1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9,081,240</w:t>
            </w: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10,419,557</w:t>
            </w:r>
          </w:p>
        </w:tc>
      </w:tr>
      <w:tr>
        <w:trPr>
          <w:trHeight w:val="189"/>
        </w:trPr>
        <w:tc>
          <w:tcPr>
            <w:tcW w:w="7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97,325</w:t>
            </w:r>
          </w:p>
        </w:tc>
        <w:tc>
          <w:tcPr>
            <w:tcW w:w="2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24,549</w:t>
            </w:r>
          </w:p>
        </w:tc>
      </w:tr>
      <w:tr>
        <w:trPr>
          <w:trHeight w:val="183"/>
        </w:trPr>
        <w:tc>
          <w:tcPr>
            <w:tcW w:w="72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and common stock equivalents outstanding</w:t>
            </w:r>
          </w:p>
        </w:tc>
        <w:tc>
          <w:tcPr>
            <w:tcW w:w="1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9,178,565</w:t>
            </w:r>
          </w:p>
        </w:tc>
        <w:tc>
          <w:tcPr>
            <w:tcW w:w="2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10,444,106</w:t>
            </w:r>
          </w:p>
        </w:tc>
      </w:tr>
      <w:tr>
        <w:trPr>
          <w:trHeight w:val="20"/>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 </w:t>
      </w:r>
      <w:r>
        <w:rPr>
          <w:rFonts w:ascii="Arial" w:cs="Arial" w:eastAsia="Arial" w:hAnsi="Arial"/>
          <w:sz w:val="16"/>
          <w:szCs w:val="16"/>
          <w:u w:val="single" w:color="auto"/>
          <w:color w:val="auto"/>
        </w:rPr>
        <w:t>Fair Value Measurement</w:t>
      </w:r>
    </w:p>
    <w:p>
      <w:pPr>
        <w:spacing w:after="0" w:line="235"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in the principal or most advantageous market at the measurement date. Fair value is established according to a hierarchy that prioritizes observable and unobservable inputs used to measure fair value into three broad levels, which are described below:</w:t>
      </w:r>
    </w:p>
    <w:p>
      <w:pPr>
        <w:spacing w:after="0" w:line="204" w:lineRule="exact"/>
        <w:rPr>
          <w:sz w:val="20"/>
          <w:szCs w:val="20"/>
          <w:color w:val="auto"/>
        </w:rPr>
      </w:pPr>
    </w:p>
    <w:p>
      <w:pPr>
        <w:ind w:left="660" w:right="40"/>
        <w:spacing w:after="0" w:line="278" w:lineRule="auto"/>
        <w:rPr>
          <w:sz w:val="20"/>
          <w:szCs w:val="20"/>
          <w:color w:val="auto"/>
        </w:rPr>
      </w:pPr>
      <w:r>
        <w:rPr>
          <w:rFonts w:ascii="Arial" w:cs="Arial" w:eastAsia="Arial" w:hAnsi="Arial"/>
          <w:sz w:val="16"/>
          <w:szCs w:val="16"/>
          <w:color w:val="auto"/>
        </w:rPr>
        <w:t>Level 1: Unadjusted quoted prices in active markets that are accessible at the measurement date for assets or liabilities. The fair value hierarchy gives the highest priority to Level 1 inputs.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2: Observable prices that are based on inputs not quoted on active markets, but corroborated by market data.</w:t>
      </w:r>
    </w:p>
    <w:p>
      <w:pPr>
        <w:spacing w:after="0" w:line="235" w:lineRule="exact"/>
        <w:rPr>
          <w:sz w:val="20"/>
          <w:szCs w:val="20"/>
          <w:color w:val="auto"/>
        </w:rPr>
      </w:pPr>
    </w:p>
    <w:p>
      <w:pPr>
        <w:ind w:left="660" w:right="260"/>
        <w:spacing w:after="0" w:line="278" w:lineRule="auto"/>
        <w:rPr>
          <w:sz w:val="20"/>
          <w:szCs w:val="20"/>
          <w:color w:val="auto"/>
        </w:rPr>
      </w:pPr>
      <w:r>
        <w:rPr>
          <w:rFonts w:ascii="Arial" w:cs="Arial" w:eastAsia="Arial" w:hAnsi="Arial"/>
          <w:sz w:val="16"/>
          <w:szCs w:val="16"/>
          <w:color w:val="auto"/>
        </w:rPr>
        <w:t>Level 3: Unobservable inputs are used when little or no market data is available. Level 3 inputs are given the lowest priority in the fair value hierarchy.</w:t>
      </w:r>
    </w:p>
    <w:p>
      <w:pPr>
        <w:spacing w:after="0" w:line="195"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As of October 30, 2021, the Company’s investment securities are classified as held-to-maturity since the Company has the intent and ability to hold the investments to maturity. Such securities are carried at amortized cost plus accrued interest and consist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4"/>
              <w:spacing w:after="0"/>
              <w:rPr>
                <w:sz w:val="20"/>
                <w:szCs w:val="20"/>
                <w:color w:val="auto"/>
              </w:rPr>
            </w:pPr>
            <w:r>
              <w:rPr>
                <w:rFonts w:ascii="Arial" w:cs="Arial" w:eastAsia="Arial" w:hAnsi="Arial"/>
                <w:sz w:val="14"/>
                <w:szCs w:val="14"/>
                <w:b w:val="1"/>
                <w:bCs w:val="1"/>
                <w:color w:val="auto"/>
                <w:w w:val="98"/>
              </w:rPr>
              <w:t>Gross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63"/>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4"/>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 Market</w:t>
            </w:r>
          </w:p>
        </w:tc>
      </w:tr>
      <w:tr>
        <w:trPr>
          <w:trHeight w:val="175"/>
        </w:trPr>
        <w:tc>
          <w:tcPr>
            <w:tcW w:w="4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43"/>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44"/>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r>
      <w:tr>
        <w:trPr>
          <w:trHeight w:val="196"/>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Short-term:</w:t>
            </w:r>
          </w:p>
        </w:tc>
        <w:tc>
          <w:tcPr>
            <w:tcW w:w="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4540" w:type="dxa"/>
            <w:vAlign w:val="bottom"/>
          </w:tcPr>
          <w:p>
            <w:pPr>
              <w:ind w:left="220"/>
              <w:spacing w:after="0"/>
              <w:rPr>
                <w:sz w:val="20"/>
                <w:szCs w:val="20"/>
                <w:color w:val="auto"/>
              </w:rPr>
            </w:pPr>
            <w:r>
              <w:rPr>
                <w:rFonts w:ascii="Arial" w:cs="Arial" w:eastAsia="Arial" w:hAnsi="Arial"/>
                <w:sz w:val="16"/>
                <w:szCs w:val="16"/>
                <w:color w:val="auto"/>
              </w:rPr>
              <w:t>Corporate debt securities (Level 2)</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28,676</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ind w:left="6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7"/>
                <w:szCs w:val="17"/>
                <w:color w:val="auto"/>
              </w:rPr>
            </w:pP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28,642</w:t>
            </w:r>
          </w:p>
        </w:tc>
        <w:tc>
          <w:tcPr>
            <w:tcW w:w="100" w:type="dxa"/>
            <w:vAlign w:val="bottom"/>
          </w:tcPr>
          <w:p>
            <w:pPr>
              <w:spacing w:after="0"/>
              <w:rPr>
                <w:sz w:val="17"/>
                <w:szCs w:val="17"/>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Obligations of states and municipalities (Level 2)</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6,783</w:t>
            </w:r>
          </w:p>
        </w:tc>
        <w:tc>
          <w:tcPr>
            <w:tcW w:w="100" w:type="dxa"/>
            <w:vAlign w:val="bottom"/>
            <w:shd w:val="clear" w:color="auto" w:fill="CCEEFF"/>
          </w:tcPr>
          <w:p>
            <w:pPr>
              <w:spacing w:after="0"/>
              <w:rPr>
                <w:sz w:val="18"/>
                <w:szCs w:val="18"/>
                <w:color w:val="auto"/>
              </w:rPr>
            </w:pPr>
          </w:p>
        </w:tc>
      </w:tr>
      <w:tr>
        <w:trPr>
          <w:trHeight w:val="196"/>
        </w:trPr>
        <w:tc>
          <w:tcPr>
            <w:tcW w:w="4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35,462</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35,425</w:t>
            </w:r>
          </w:p>
        </w:tc>
        <w:tc>
          <w:tcPr>
            <w:tcW w:w="100" w:type="dxa"/>
            <w:vAlign w:val="bottom"/>
          </w:tcPr>
          <w:p>
            <w:pPr>
              <w:spacing w:after="0"/>
              <w:rPr>
                <w:sz w:val="17"/>
                <w:szCs w:val="17"/>
                <w:color w:val="auto"/>
              </w:rPr>
            </w:pPr>
          </w:p>
        </w:tc>
      </w:tr>
      <w:tr>
        <w:trPr>
          <w:trHeight w:val="20"/>
        </w:trPr>
        <w:tc>
          <w:tcPr>
            <w:tcW w:w="4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41" w:right="999" w:bottom="1440" w:gutter="0" w:footer="0" w:header="0"/>
        </w:sectPr>
      </w:pPr>
    </w:p>
    <w:bookmarkStart w:id="8" w:name="page9"/>
    <w:bookmarkEnd w:id="8"/>
    <w:p>
      <w:pPr>
        <w:ind w:right="620"/>
        <w:spacing w:after="0" w:line="313" w:lineRule="auto"/>
        <w:rPr>
          <w:sz w:val="20"/>
          <w:szCs w:val="20"/>
          <w:color w:val="auto"/>
        </w:rPr>
      </w:pPr>
      <w:r>
        <w:rPr>
          <w:rFonts w:ascii="Arial" w:cs="Arial" w:eastAsia="Arial" w:hAnsi="Arial"/>
          <w:sz w:val="16"/>
          <w:szCs w:val="16"/>
          <w:color w:val="auto"/>
        </w:rPr>
        <w:t>The amortized cost and fair market value of investment securities as of October 30, 2021 by contractual maturity are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65"/>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 Market</w:t>
            </w:r>
          </w:p>
        </w:tc>
      </w:tr>
      <w:tr>
        <w:trPr>
          <w:trHeight w:val="175"/>
        </w:trPr>
        <w:tc>
          <w:tcPr>
            <w:tcW w:w="18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2960" w:type="dxa"/>
            <w:vAlign w:val="bottom"/>
            <w:tcBorders>
              <w:bottom w:val="single" w:sz="8" w:color="CCEEFF"/>
            </w:tcBorders>
          </w:tcPr>
          <w:p>
            <w:pPr>
              <w:spacing w:after="0"/>
              <w:rPr>
                <w:sz w:val="15"/>
                <w:szCs w:val="15"/>
                <w:color w:val="auto"/>
              </w:rPr>
            </w:pPr>
          </w:p>
        </w:tc>
        <w:tc>
          <w:tcPr>
            <w:tcW w:w="27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Value</w:t>
            </w:r>
          </w:p>
        </w:tc>
        <w:tc>
          <w:tcPr>
            <w:tcW w:w="40" w:type="dxa"/>
            <w:vAlign w:val="bottom"/>
            <w:tcBorders>
              <w:bottom w:val="single" w:sz="8" w:color="CCEEFF"/>
            </w:tcBorders>
          </w:tcPr>
          <w:p>
            <w:pPr>
              <w:spacing w:after="0"/>
              <w:rPr>
                <w:sz w:val="15"/>
                <w:szCs w:val="15"/>
                <w:color w:val="auto"/>
              </w:rPr>
            </w:pPr>
          </w:p>
        </w:tc>
      </w:tr>
      <w:tr>
        <w:trPr>
          <w:trHeight w:val="183"/>
        </w:trPr>
        <w:tc>
          <w:tcPr>
            <w:tcW w:w="4660" w:type="dxa"/>
            <w:vAlign w:val="bottom"/>
            <w:gridSpan w:val="3"/>
            <w:shd w:val="clear" w:color="auto" w:fill="CCEEFF"/>
          </w:tcPr>
          <w:p>
            <w:pPr>
              <w:spacing w:after="0" w:line="183" w:lineRule="exact"/>
              <w:rPr>
                <w:sz w:val="20"/>
                <w:szCs w:val="20"/>
                <w:color w:val="auto"/>
              </w:rPr>
            </w:pPr>
            <w:r>
              <w:rPr>
                <w:rFonts w:ascii="Arial" w:cs="Arial" w:eastAsia="Arial" w:hAnsi="Arial"/>
                <w:sz w:val="16"/>
                <w:szCs w:val="16"/>
                <w:color w:val="auto"/>
              </w:rPr>
              <w:t>Mature in one year or less</w:t>
            </w:r>
          </w:p>
        </w:tc>
        <w:tc>
          <w:tcPr>
            <w:tcW w:w="290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35,462</w:t>
            </w:r>
          </w:p>
        </w:tc>
        <w:tc>
          <w:tcPr>
            <w:tcW w:w="3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35,425</w:t>
            </w:r>
          </w:p>
        </w:tc>
        <w:tc>
          <w:tcPr>
            <w:tcW w:w="40" w:type="dxa"/>
            <w:vAlign w:val="bottom"/>
            <w:shd w:val="clear" w:color="auto" w:fill="CCEEFF"/>
          </w:tcPr>
          <w:p>
            <w:pPr>
              <w:spacing w:after="0"/>
              <w:rPr>
                <w:sz w:val="15"/>
                <w:szCs w:val="15"/>
                <w:color w:val="auto"/>
              </w:rPr>
            </w:pPr>
          </w:p>
        </w:tc>
      </w:tr>
      <w:tr>
        <w:trPr>
          <w:trHeight w:val="391"/>
        </w:trPr>
        <w:tc>
          <w:tcPr>
            <w:tcW w:w="4660" w:type="dxa"/>
            <w:vAlign w:val="bottom"/>
            <w:gridSpan w:val="3"/>
          </w:tcPr>
          <w:p>
            <w:pPr>
              <w:spacing w:after="0"/>
              <w:rPr>
                <w:sz w:val="20"/>
                <w:szCs w:val="20"/>
                <w:color w:val="auto"/>
              </w:rPr>
            </w:pPr>
            <w:r>
              <w:rPr>
                <w:rFonts w:ascii="Arial" w:cs="Arial" w:eastAsia="Arial" w:hAnsi="Arial"/>
                <w:sz w:val="16"/>
                <w:szCs w:val="16"/>
                <w:color w:val="auto"/>
              </w:rPr>
              <w:t>6. Impairment of Assets</w:t>
            </w: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If facts and circumstances indicate that a long-lived asset or operating lease right-of-use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There was no impairment expense recorded in the first thirty-nine weeks of 2021. In the first thirty-nine weeks of 2020, non-cash impairment charges related to an underperforming store totaled $0.3 million, comprised of $0.2 million for an operating lease right-of-use asset and $0.1 million for leasehold improvements and fixtures and equipment.</w:t>
      </w:r>
    </w:p>
    <w:p>
      <w:pPr>
        <w:spacing w:after="0" w:line="27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Revolving Credit Facility</w:t>
      </w:r>
    </w:p>
    <w:p>
      <w:pPr>
        <w:spacing w:after="0" w:line="235"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In October 2011, the Company entered into a five-year, $50 million credit facility with Bank of America. The facility was amended in August 2015 and May 2020 to extend the maturity dates. The facility was further amended on April 15, 2021 to modify terms and extend the maturity date to April 15, 2026. The amended facility provides a $75 million credit commitment and a $25 million uncommitted “accordion” feature that under certain circumstances could allow the Company to increase the size of the facility to $100 million. 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0.20% and permits the payment of cash dividends subject to certain limitations. Borrowings under the credit facility bear interest (a) for Eurodollar Loans, at a rate equal to the Eurodollar Rate plus either 1.25%, 1.50% or 1.75%, or (b) for Base Rate Loans, at a rate equal to the highest of (i) the prime rate, (ii) the Federal Funds Rate plus 0.5% or (iii) the Eurodollar Rate plus 1.0%, plus, in each case either 0.25%, 0.50% or 0.75%, based in any such case on the average daily availability for borrowings under the facility. The Company had no borrowings under the credit facility as of October 30, 2021.</w:t>
      </w:r>
    </w:p>
    <w:p>
      <w:pPr>
        <w:spacing w:after="0" w:line="209"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Income Taxes</w:t>
      </w:r>
    </w:p>
    <w:p>
      <w:pPr>
        <w:spacing w:after="0" w:line="23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 If there is a change in tax rates, the Company would recognize the impact of such change in income in the period that includes the enactment date.</w:t>
      </w:r>
    </w:p>
    <w:p>
      <w:pPr>
        <w:spacing w:after="0" w:line="205" w:lineRule="exact"/>
        <w:rPr>
          <w:sz w:val="20"/>
          <w:szCs w:val="20"/>
          <w:color w:val="auto"/>
        </w:rPr>
      </w:pPr>
    </w:p>
    <w:p>
      <w:pPr>
        <w:jc w:val="both"/>
        <w:ind w:right="300"/>
        <w:spacing w:after="0" w:line="268" w:lineRule="auto"/>
        <w:rPr>
          <w:sz w:val="20"/>
          <w:szCs w:val="20"/>
          <w:color w:val="auto"/>
        </w:rPr>
      </w:pPr>
      <w:r>
        <w:rPr>
          <w:rFonts w:ascii="Arial" w:cs="Arial" w:eastAsia="Arial" w:hAnsi="Arial"/>
          <w:sz w:val="16"/>
          <w:szCs w:val="16"/>
          <w:color w:val="auto"/>
        </w:rPr>
        <w:t>For the thirty-nine weeks ended October 30, 2021 and October 31, 2020, the Company utilized the annual effective tax rate method to calculate income taxes. The effective income tax rate was 21.5% for the first thirty-nine weeks of 2021, compared to 23.2% for the first thirty-nine weeks of 2020. The difference in the effective income tax rate was primarily due to a favorable tax impact of restricted stock vestings in the current year, partially offset by an increase in pretax income compared to the same period of 2020.</w:t>
      </w:r>
    </w:p>
    <w:p>
      <w:pPr>
        <w:spacing w:after="0" w:line="204"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Commitments and Contingencies</w:t>
      </w:r>
    </w:p>
    <w:p>
      <w:pPr>
        <w:spacing w:after="0" w:line="235"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The Company from time to time is involved in various legal proceedings incidental to the conduct of its business, including claims by customers, landlords, employees or former employees. Once it becomes probable that the Company will incur costs in connection with a legal proceeding and such costs can be reasonably estimated, the Company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55" w:right="999" w:bottom="1440" w:gutter="0" w:footer="0" w:header="0"/>
        </w:sectPr>
      </w:pPr>
    </w:p>
    <w:bookmarkStart w:id="9" w:name="page10"/>
    <w:bookmarkEnd w:id="9"/>
    <w:p>
      <w:pPr>
        <w:ind w:left="280" w:hanging="272"/>
        <w:spacing w:after="0"/>
        <w:tabs>
          <w:tab w:leader="none" w:pos="28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Stock Repurchases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Repurchases of Common Stock</w:t>
      </w:r>
    </w:p>
    <w:p>
      <w:pPr>
        <w:spacing w:after="0" w:line="251"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In November 2019, the Company’s board of directors approved a stock repurchase program that authorized the repurchase of up to $25 million of the Company’s common stock. In the first quarter of 2020, the Company repurchased 260,254 shares of its common stock at an aggregate cost of $6.3 million.</w:t>
      </w:r>
    </w:p>
    <w:p>
      <w:pPr>
        <w:spacing w:after="0" w:line="200"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In March 2020, the Company’s board of directors approved another $30 million stock repurchase program. Shortly thereafter, due to the economic uncertainty stemming from the COVID-19 pandemic, the Company suspended its stock repurchase program until September 2020 when the program was reinstated. Further, the Company announced that its board of directors approved new $30 million stock repurchase programs in each of December 2020, June 2021 and August 2021.</w:t>
      </w:r>
    </w:p>
    <w:p>
      <w:pPr>
        <w:spacing w:after="0" w:line="204" w:lineRule="exact"/>
        <w:rPr>
          <w:sz w:val="20"/>
          <w:szCs w:val="20"/>
          <w:color w:val="auto"/>
        </w:rPr>
      </w:pPr>
    </w:p>
    <w:p>
      <w:pPr>
        <w:jc w:val="both"/>
        <w:ind w:right="140"/>
        <w:spacing w:after="0" w:line="271" w:lineRule="auto"/>
        <w:rPr>
          <w:sz w:val="20"/>
          <w:szCs w:val="20"/>
          <w:color w:val="auto"/>
        </w:rPr>
      </w:pPr>
      <w:r>
        <w:rPr>
          <w:rFonts w:ascii="Arial" w:cs="Arial" w:eastAsia="Arial" w:hAnsi="Arial"/>
          <w:sz w:val="16"/>
          <w:szCs w:val="16"/>
          <w:color w:val="auto"/>
        </w:rPr>
        <w:t>In the first thirty-nine weeks of 2021, the Company repurchased 1,023,343 shares of its common stock under its repurchase programs at an aggregate cost of $85.3 million. In addition, the Company completed a block repurchase of 250,000 shares of its common stock at an aggregate cost of $21.9 million.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As of October 30, 2021, the Company had approximately $8.1 million available under its previously announced stock repurchase program.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On November 30, 2021, the Company announced that its board of directors authorized another $30 million stock repurchase program.</w:t>
      </w:r>
    </w:p>
    <w:p>
      <w:pPr>
        <w:spacing w:after="0" w:line="235"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Revenue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Company’s primary source of revenue is derived from the sale of apparel, accessories and home trends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Returns</w:t>
      </w:r>
    </w:p>
    <w:p>
      <w:pPr>
        <w:spacing w:after="0" w:line="251" w:lineRule="exact"/>
        <w:rPr>
          <w:sz w:val="20"/>
          <w:szCs w:val="20"/>
          <w:color w:val="auto"/>
        </w:rPr>
      </w:pPr>
    </w:p>
    <w:p>
      <w:pPr>
        <w:ind w:right="600"/>
        <w:spacing w:after="0" w:line="278" w:lineRule="auto"/>
        <w:rPr>
          <w:sz w:val="20"/>
          <w:szCs w:val="20"/>
          <w:color w:val="auto"/>
        </w:rPr>
      </w:pPr>
      <w:r>
        <w:rPr>
          <w:rFonts w:ascii="Arial" w:cs="Arial" w:eastAsia="Arial" w:hAnsi="Arial"/>
          <w:sz w:val="16"/>
          <w:szCs w:val="16"/>
          <w:color w:val="auto"/>
        </w:rPr>
        <w:t>The Company allows customers to return merchandise for up to 30 days after the date of sale. Expected refunds to customers are recorded based on estimated margin using historical return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Disaggregation of Revenue</w:t>
      </w:r>
    </w:p>
    <w:p>
      <w:pPr>
        <w:spacing w:after="0" w:line="251"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204"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 the following table, the Company’s revenue is disaggregated by “CITI” or major merchandise category. The percentage of net sales for each CITI within the merchandise assortment was approximately:</w:t>
      </w:r>
    </w:p>
    <w:p>
      <w:pPr>
        <w:spacing w:after="0" w:line="247"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2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Pr>
          <w:p>
            <w:pPr>
              <w:spacing w:after="0"/>
              <w:rPr>
                <w:sz w:val="15"/>
                <w:szCs w:val="15"/>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40" w:type="dxa"/>
            <w:vAlign w:val="bottom"/>
          </w:tcPr>
          <w:p>
            <w:pPr>
              <w:spacing w:after="0"/>
              <w:rPr>
                <w:sz w:val="15"/>
                <w:szCs w:val="15"/>
                <w:color w:val="auto"/>
              </w:rPr>
            </w:pPr>
          </w:p>
        </w:tc>
      </w:tr>
      <w:tr>
        <w:trPr>
          <w:trHeight w:val="211"/>
        </w:trPr>
        <w:tc>
          <w:tcPr>
            <w:tcW w:w="2900" w:type="dxa"/>
            <w:vAlign w:val="bottom"/>
          </w:tcPr>
          <w:p>
            <w:pPr>
              <w:spacing w:after="0"/>
              <w:rPr>
                <w:sz w:val="18"/>
                <w:szCs w:val="18"/>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October 30,</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October 31,</w:t>
            </w: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auto"/>
              </w:rPr>
              <w:t>October 30,</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October 31,</w:t>
            </w:r>
          </w:p>
        </w:tc>
      </w:tr>
      <w:tr>
        <w:trPr>
          <w:trHeight w:val="201"/>
        </w:trPr>
        <w:tc>
          <w:tcPr>
            <w:tcW w:w="29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7"/>
                <w:szCs w:val="17"/>
                <w:color w:val="auto"/>
              </w:rPr>
            </w:pPr>
          </w:p>
        </w:tc>
      </w:tr>
      <w:tr>
        <w:trPr>
          <w:trHeight w:val="182"/>
        </w:trPr>
        <w:tc>
          <w:tcPr>
            <w:tcW w:w="29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Kids</w:t>
            </w:r>
          </w:p>
        </w:tc>
        <w:tc>
          <w:tcPr>
            <w:tcW w:w="20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26 %</w:t>
            </w:r>
          </w:p>
        </w:tc>
        <w:tc>
          <w:tcPr>
            <w:tcW w:w="9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24 %</w:t>
            </w:r>
          </w:p>
        </w:tc>
        <w:tc>
          <w:tcPr>
            <w:tcW w:w="9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22 %</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22 %</w:t>
            </w:r>
          </w:p>
        </w:tc>
        <w:tc>
          <w:tcPr>
            <w:tcW w:w="40" w:type="dxa"/>
            <w:vAlign w:val="bottom"/>
            <w:shd w:val="clear" w:color="auto" w:fill="CCEEFF"/>
          </w:tcPr>
          <w:p>
            <w:pPr>
              <w:spacing w:after="0"/>
              <w:rPr>
                <w:sz w:val="15"/>
                <w:szCs w:val="15"/>
                <w:color w:val="auto"/>
              </w:rPr>
            </w:pPr>
          </w:p>
        </w:tc>
      </w:tr>
      <w:tr>
        <w:trPr>
          <w:trHeight w:val="189"/>
        </w:trPr>
        <w:tc>
          <w:tcPr>
            <w:tcW w:w="2900" w:type="dxa"/>
            <w:vAlign w:val="bottom"/>
          </w:tcPr>
          <w:p>
            <w:pPr>
              <w:spacing w:after="0" w:line="189" w:lineRule="exact"/>
              <w:rPr>
                <w:sz w:val="20"/>
                <w:szCs w:val="20"/>
                <w:color w:val="auto"/>
              </w:rPr>
            </w:pPr>
            <w:r>
              <w:rPr>
                <w:rFonts w:ascii="Arial" w:cs="Arial" w:eastAsia="Arial" w:hAnsi="Arial"/>
                <w:sz w:val="17"/>
                <w:szCs w:val="17"/>
                <w:color w:val="auto"/>
              </w:rPr>
              <w:t>Women</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27 %</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27 %</w:t>
            </w:r>
          </w:p>
        </w:tc>
        <w:tc>
          <w:tcPr>
            <w:tcW w:w="40" w:type="dxa"/>
            <w:vAlign w:val="bottom"/>
          </w:tcPr>
          <w:p>
            <w:pPr>
              <w:spacing w:after="0"/>
              <w:rPr>
                <w:sz w:val="16"/>
                <w:szCs w:val="16"/>
                <w:color w:val="auto"/>
              </w:rPr>
            </w:pPr>
          </w:p>
        </w:tc>
      </w:tr>
      <w:tr>
        <w:trPr>
          <w:trHeight w:val="189"/>
        </w:trPr>
        <w:tc>
          <w:tcPr>
            <w:tcW w:w="2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Men</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40" w:type="dxa"/>
            <w:vAlign w:val="bottom"/>
            <w:shd w:val="clear" w:color="auto" w:fill="CCEEFF"/>
          </w:tcPr>
          <w:p>
            <w:pPr>
              <w:spacing w:after="0"/>
              <w:rPr>
                <w:sz w:val="16"/>
                <w:szCs w:val="16"/>
                <w:color w:val="auto"/>
              </w:rPr>
            </w:pPr>
          </w:p>
        </w:tc>
      </w:tr>
      <w:tr>
        <w:trPr>
          <w:trHeight w:val="189"/>
        </w:trPr>
        <w:tc>
          <w:tcPr>
            <w:tcW w:w="2900" w:type="dxa"/>
            <w:vAlign w:val="bottom"/>
          </w:tcPr>
          <w:p>
            <w:pPr>
              <w:spacing w:after="0" w:line="189" w:lineRule="exact"/>
              <w:rPr>
                <w:sz w:val="20"/>
                <w:szCs w:val="20"/>
                <w:color w:val="auto"/>
              </w:rPr>
            </w:pPr>
            <w:r>
              <w:rPr>
                <w:rFonts w:ascii="Arial" w:cs="Arial" w:eastAsia="Arial" w:hAnsi="Arial"/>
                <w:sz w:val="17"/>
                <w:szCs w:val="17"/>
                <w:color w:val="auto"/>
              </w:rPr>
              <w:t>Beauty &amp; Accessories</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16 %</w:t>
            </w:r>
          </w:p>
        </w:tc>
        <w:tc>
          <w:tcPr>
            <w:tcW w:w="40" w:type="dxa"/>
            <w:vAlign w:val="bottom"/>
          </w:tcPr>
          <w:p>
            <w:pPr>
              <w:spacing w:after="0"/>
              <w:rPr>
                <w:sz w:val="16"/>
                <w:szCs w:val="16"/>
                <w:color w:val="auto"/>
              </w:rPr>
            </w:pPr>
          </w:p>
        </w:tc>
      </w:tr>
      <w:tr>
        <w:trPr>
          <w:trHeight w:val="189"/>
        </w:trPr>
        <w:tc>
          <w:tcPr>
            <w:tcW w:w="2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Home &amp; Lifestyle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40" w:type="dxa"/>
            <w:vAlign w:val="bottom"/>
            <w:shd w:val="clear" w:color="auto" w:fill="CCEEFF"/>
          </w:tcPr>
          <w:p>
            <w:pPr>
              <w:spacing w:after="0"/>
              <w:rPr>
                <w:sz w:val="16"/>
                <w:szCs w:val="16"/>
                <w:color w:val="auto"/>
              </w:rPr>
            </w:pPr>
          </w:p>
        </w:tc>
      </w:tr>
      <w:tr>
        <w:trPr>
          <w:trHeight w:val="205"/>
        </w:trPr>
        <w:tc>
          <w:tcPr>
            <w:tcW w:w="2900" w:type="dxa"/>
            <w:vAlign w:val="bottom"/>
          </w:tcPr>
          <w:p>
            <w:pPr>
              <w:spacing w:after="0"/>
              <w:rPr>
                <w:sz w:val="20"/>
                <w:szCs w:val="20"/>
                <w:color w:val="auto"/>
              </w:rPr>
            </w:pPr>
            <w:r>
              <w:rPr>
                <w:rFonts w:ascii="Arial" w:cs="Arial" w:eastAsia="Arial" w:hAnsi="Arial"/>
                <w:sz w:val="17"/>
                <w:szCs w:val="17"/>
                <w:color w:val="auto"/>
              </w:rPr>
              <w:t>Footwear</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7 %</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8 %</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8 %</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9 %</w:t>
            </w:r>
          </w:p>
        </w:tc>
        <w:tc>
          <w:tcPr>
            <w:tcW w:w="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41" w:right="1019" w:bottom="1440" w:gutter="0" w:footer="0" w:header="0"/>
        </w:sectPr>
      </w:pPr>
    </w:p>
    <w:bookmarkStart w:id="10" w:name="page11"/>
    <w:bookmarkEnd w:id="10"/>
    <w:p>
      <w:pPr>
        <w:ind w:left="280" w:hanging="272"/>
        <w:spacing w:after="0"/>
        <w:tabs>
          <w:tab w:leader="none" w:pos="28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Leases</w:t>
      </w:r>
    </w:p>
    <w:p>
      <w:pPr>
        <w:spacing w:after="0" w:line="235"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Company leases its retail store locations and certain office space and equipment. Leases for store locations are typically for a term of five years with options to extend for one or more five-year periods. The Company analyzes all leases at inception to determine if a right-of-use asset and lease liability should be recognized. Leases with an initial term of 12 months or less and leases with mutual termination clauses are not included on the condensed consolidated balance sheets. The lease liability is measured at the present value of future lease payments as of the lease commencement date.</w:t>
      </w:r>
    </w:p>
    <w:p>
      <w:pPr>
        <w:spacing w:after="0" w:line="205" w:lineRule="exact"/>
        <w:rPr>
          <w:sz w:val="20"/>
          <w:szCs w:val="20"/>
          <w:color w:val="auto"/>
        </w:rPr>
      </w:pPr>
    </w:p>
    <w:p>
      <w:pPr>
        <w:jc w:val="both"/>
        <w:ind w:right="480"/>
        <w:spacing w:after="0" w:line="271" w:lineRule="auto"/>
        <w:rPr>
          <w:sz w:val="20"/>
          <w:szCs w:val="20"/>
          <w:color w:val="auto"/>
        </w:rPr>
      </w:pPr>
      <w:r>
        <w:rPr>
          <w:rFonts w:ascii="Arial" w:cs="Arial" w:eastAsia="Arial" w:hAnsi="Arial"/>
          <w:sz w:val="16"/>
          <w:szCs w:val="16"/>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Thirty-Nine Weeks Ended</w:t>
            </w:r>
          </w:p>
        </w:tc>
      </w:tr>
      <w:tr>
        <w:trPr>
          <w:trHeight w:val="196"/>
        </w:trPr>
        <w:tc>
          <w:tcPr>
            <w:tcW w:w="306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October 30, 2021</w:t>
            </w:r>
          </w:p>
        </w:tc>
        <w:tc>
          <w:tcPr>
            <w:tcW w:w="2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October 31, 2020</w:t>
            </w:r>
          </w:p>
        </w:tc>
        <w:tc>
          <w:tcPr>
            <w:tcW w:w="2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October 30, 2021</w:t>
            </w:r>
          </w:p>
        </w:tc>
        <w:tc>
          <w:tcPr>
            <w:tcW w:w="2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October 31, 2020</w:t>
            </w:r>
          </w:p>
        </w:tc>
      </w:tr>
      <w:tr>
        <w:trPr>
          <w:trHeight w:val="196"/>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1840" w:type="dxa"/>
            <w:vAlign w:val="bottom"/>
            <w:gridSpan w:val="2"/>
            <w:shd w:val="clear" w:color="auto" w:fill="CCEEFF"/>
          </w:tcPr>
          <w:p>
            <w:pPr>
              <w:ind w:left="15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13,320</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39,384</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36,918</w:t>
            </w:r>
          </w:p>
        </w:tc>
      </w:tr>
      <w:tr>
        <w:trPr>
          <w:trHeight w:val="216"/>
        </w:trPr>
        <w:tc>
          <w:tcPr>
            <w:tcW w:w="3060" w:type="dxa"/>
            <w:vAlign w:val="bottom"/>
          </w:tcPr>
          <w:p>
            <w:pPr>
              <w:spacing w:after="0"/>
              <w:rPr>
                <w:sz w:val="20"/>
                <w:szCs w:val="20"/>
                <w:color w:val="auto"/>
              </w:rPr>
            </w:pPr>
            <w:r>
              <w:rPr>
                <w:rFonts w:ascii="Arial" w:cs="Arial" w:eastAsia="Arial" w:hAnsi="Arial"/>
                <w:sz w:val="16"/>
                <w:szCs w:val="16"/>
                <w:color w:val="auto"/>
              </w:rPr>
              <w:t>Variable lease cost</w:t>
            </w: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2,685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2,333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8,264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6,458</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Short term lease cost</w:t>
            </w:r>
          </w:p>
        </w:tc>
        <w:tc>
          <w:tcPr>
            <w:tcW w:w="1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w:t>
            </w:r>
          </w:p>
        </w:tc>
      </w:tr>
      <w:tr>
        <w:trPr>
          <w:trHeight w:val="183"/>
        </w:trPr>
        <w:tc>
          <w:tcPr>
            <w:tcW w:w="3060" w:type="dxa"/>
            <w:vAlign w:val="bottom"/>
          </w:tcPr>
          <w:p>
            <w:pPr>
              <w:spacing w:after="0" w:line="183" w:lineRule="exact"/>
              <w:rPr>
                <w:sz w:val="20"/>
                <w:szCs w:val="20"/>
                <w:color w:val="auto"/>
              </w:rPr>
            </w:pPr>
            <w:r>
              <w:rPr>
                <w:rFonts w:ascii="Arial" w:cs="Arial" w:eastAsia="Arial" w:hAnsi="Arial"/>
                <w:sz w:val="16"/>
                <w:szCs w:val="16"/>
                <w:color w:val="auto"/>
              </w:rPr>
              <w:t>Total lease cost</w:t>
            </w:r>
          </w:p>
        </w:tc>
        <w:tc>
          <w:tcPr>
            <w:tcW w:w="1840" w:type="dxa"/>
            <w:vAlign w:val="bottom"/>
            <w:gridSpan w:val="2"/>
          </w:tcPr>
          <w:p>
            <w:pPr>
              <w:ind w:left="1540"/>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16,218</w:t>
            </w:r>
          </w:p>
        </w:tc>
        <w:tc>
          <w:tcPr>
            <w:tcW w:w="200" w:type="dxa"/>
            <w:vAlign w:val="bottom"/>
          </w:tcPr>
          <w:p>
            <w:pPr>
              <w:spacing w:after="0"/>
              <w:rPr>
                <w:sz w:val="15"/>
                <w:szCs w:val="15"/>
                <w:color w:val="auto"/>
              </w:rPr>
            </w:pPr>
          </w:p>
        </w:tc>
        <w:tc>
          <w:tcPr>
            <w:tcW w:w="3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15,141</w:t>
            </w:r>
          </w:p>
        </w:tc>
        <w:tc>
          <w:tcPr>
            <w:tcW w:w="200" w:type="dxa"/>
            <w:vAlign w:val="bottom"/>
          </w:tcPr>
          <w:p>
            <w:pPr>
              <w:spacing w:after="0"/>
              <w:rPr>
                <w:sz w:val="15"/>
                <w:szCs w:val="15"/>
                <w:color w:val="auto"/>
              </w:rPr>
            </w:pPr>
          </w:p>
        </w:tc>
        <w:tc>
          <w:tcPr>
            <w:tcW w:w="2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48,423</w:t>
            </w:r>
          </w:p>
        </w:tc>
        <w:tc>
          <w:tcPr>
            <w:tcW w:w="220" w:type="dxa"/>
            <w:vAlign w:val="bottom"/>
          </w:tcPr>
          <w:p>
            <w:pPr>
              <w:spacing w:after="0"/>
              <w:rPr>
                <w:sz w:val="15"/>
                <w:szCs w:val="15"/>
                <w:color w:val="auto"/>
              </w:rPr>
            </w:pPr>
          </w:p>
        </w:tc>
        <w:tc>
          <w:tcPr>
            <w:tcW w:w="3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44,548</w:t>
            </w:r>
          </w:p>
        </w:tc>
      </w:tr>
      <w:tr>
        <w:trPr>
          <w:trHeight w:val="20"/>
        </w:trPr>
        <w:tc>
          <w:tcPr>
            <w:tcW w:w="3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In response to the impact of the COVID-19 pandemic on the Company’s operations, the Company suspended certain lease payments in 2020 under its existing lease agreements. During the suspension of payments, the Company continued to recognize expenses and liabilities for lease obligations and corresponding right-of-use assets on the balance sheet in accordance with the applicable accounting guidance. The Company continues to engage in discussions with landlords regarding the potential restructuring of lease payments and rent concessions. As of October 30, 2021, the Company negotiated contractual rent concessions on many leases in the form of early renewals, rent deferrals and rent abatements. The Company elected to account for qualifying COVID-19 related rent concessions as if they were part of the enforceable rights and obligations under the existing lease agreements, as permitted by the updated guidance provided by the Financial Accounting Standards Board in April 2020. As a result of this election, the Company recognized rent abatement credits of approximately $0.1 million and $0.8 million during the thirteen weeks ended October 30, 2021 and October 31, 2020, respectively.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as of October 30, 2021 are as follows (in thousands):</w:t>
      </w:r>
    </w:p>
    <w:p>
      <w:pPr>
        <w:spacing w:after="0" w:line="287"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6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Lease Costs</w:t>
            </w:r>
          </w:p>
        </w:tc>
        <w:tc>
          <w:tcPr>
            <w:tcW w:w="300" w:type="dxa"/>
            <w:vAlign w:val="bottom"/>
            <w:tcBorders>
              <w:bottom w:val="single" w:sz="8" w:color="CCEEFF"/>
            </w:tcBorders>
          </w:tcPr>
          <w:p>
            <w:pPr>
              <w:spacing w:after="0"/>
              <w:rPr>
                <w:sz w:val="15"/>
                <w:szCs w:val="15"/>
                <w:color w:val="auto"/>
              </w:rPr>
            </w:pPr>
          </w:p>
        </w:tc>
      </w:tr>
      <w:tr>
        <w:trPr>
          <w:trHeight w:val="183"/>
        </w:trPr>
        <w:tc>
          <w:tcPr>
            <w:tcW w:w="62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Remainder of 2021</w:t>
            </w:r>
          </w:p>
        </w:tc>
        <w:tc>
          <w:tcPr>
            <w:tcW w:w="500" w:type="dxa"/>
            <w:vAlign w:val="bottom"/>
            <w:gridSpan w:val="2"/>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10,694</w:t>
            </w:r>
          </w:p>
        </w:tc>
        <w:tc>
          <w:tcPr>
            <w:tcW w:w="300" w:type="dxa"/>
            <w:vAlign w:val="bottom"/>
            <w:shd w:val="clear" w:color="auto" w:fill="CCEEFF"/>
          </w:tcPr>
          <w:p>
            <w:pPr>
              <w:spacing w:after="0"/>
              <w:rPr>
                <w:sz w:val="15"/>
                <w:szCs w:val="15"/>
                <w:color w:val="auto"/>
              </w:rPr>
            </w:pPr>
          </w:p>
        </w:tc>
      </w:tr>
      <w:tr>
        <w:trPr>
          <w:trHeight w:val="189"/>
        </w:trPr>
        <w:tc>
          <w:tcPr>
            <w:tcW w:w="6220" w:type="dxa"/>
            <w:vAlign w:val="bottom"/>
          </w:tcPr>
          <w:p>
            <w:pPr>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54,646</w:t>
            </w:r>
          </w:p>
        </w:tc>
        <w:tc>
          <w:tcPr>
            <w:tcW w:w="300" w:type="dxa"/>
            <w:vAlign w:val="bottom"/>
          </w:tcPr>
          <w:p>
            <w:pPr>
              <w:spacing w:after="0"/>
              <w:rPr>
                <w:sz w:val="16"/>
                <w:szCs w:val="16"/>
                <w:color w:val="auto"/>
              </w:rPr>
            </w:pPr>
          </w:p>
        </w:tc>
      </w:tr>
      <w:tr>
        <w:trPr>
          <w:trHeight w:val="189"/>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47,252</w:t>
            </w:r>
          </w:p>
        </w:tc>
        <w:tc>
          <w:tcPr>
            <w:tcW w:w="300" w:type="dxa"/>
            <w:vAlign w:val="bottom"/>
            <w:shd w:val="clear" w:color="auto" w:fill="CCEEFF"/>
          </w:tcPr>
          <w:p>
            <w:pPr>
              <w:spacing w:after="0"/>
              <w:rPr>
                <w:sz w:val="16"/>
                <w:szCs w:val="16"/>
                <w:color w:val="auto"/>
              </w:rPr>
            </w:pPr>
          </w:p>
        </w:tc>
      </w:tr>
      <w:tr>
        <w:trPr>
          <w:trHeight w:val="189"/>
        </w:trPr>
        <w:tc>
          <w:tcPr>
            <w:tcW w:w="6220" w:type="dxa"/>
            <w:vAlign w:val="bottom"/>
          </w:tcPr>
          <w:p>
            <w:pPr>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38,686</w:t>
            </w:r>
          </w:p>
        </w:tc>
        <w:tc>
          <w:tcPr>
            <w:tcW w:w="300" w:type="dxa"/>
            <w:vAlign w:val="bottom"/>
          </w:tcPr>
          <w:p>
            <w:pPr>
              <w:spacing w:after="0"/>
              <w:rPr>
                <w:sz w:val="16"/>
                <w:szCs w:val="16"/>
                <w:color w:val="auto"/>
              </w:rPr>
            </w:pPr>
          </w:p>
        </w:tc>
      </w:tr>
      <w:tr>
        <w:trPr>
          <w:trHeight w:val="189"/>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28,346</w:t>
            </w:r>
          </w:p>
        </w:tc>
        <w:tc>
          <w:tcPr>
            <w:tcW w:w="300" w:type="dxa"/>
            <w:vAlign w:val="bottom"/>
            <w:shd w:val="clear" w:color="auto" w:fill="CCEEFF"/>
          </w:tcPr>
          <w:p>
            <w:pPr>
              <w:spacing w:after="0"/>
              <w:rPr>
                <w:sz w:val="16"/>
                <w:szCs w:val="16"/>
                <w:color w:val="auto"/>
              </w:rPr>
            </w:pPr>
          </w:p>
        </w:tc>
      </w:tr>
      <w:tr>
        <w:trPr>
          <w:trHeight w:val="189"/>
        </w:trPr>
        <w:tc>
          <w:tcPr>
            <w:tcW w:w="6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48,062</w:t>
            </w:r>
          </w:p>
        </w:tc>
        <w:tc>
          <w:tcPr>
            <w:tcW w:w="300" w:type="dxa"/>
            <w:vAlign w:val="bottom"/>
            <w:tcBorders>
              <w:bottom w:val="single" w:sz="8" w:color="CCEEFF"/>
            </w:tcBorders>
          </w:tcPr>
          <w:p>
            <w:pPr>
              <w:spacing w:after="0"/>
              <w:rPr>
                <w:sz w:val="16"/>
                <w:szCs w:val="16"/>
                <w:color w:val="auto"/>
              </w:rPr>
            </w:pPr>
          </w:p>
        </w:tc>
      </w:tr>
      <w:tr>
        <w:trPr>
          <w:trHeight w:val="183"/>
        </w:trPr>
        <w:tc>
          <w:tcPr>
            <w:tcW w:w="62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future minimum lease payments</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227,686</w:t>
            </w:r>
          </w:p>
        </w:tc>
        <w:tc>
          <w:tcPr>
            <w:tcW w:w="300" w:type="dxa"/>
            <w:vAlign w:val="bottom"/>
            <w:shd w:val="clear" w:color="auto" w:fill="CCEEFF"/>
          </w:tcPr>
          <w:p>
            <w:pPr>
              <w:spacing w:after="0"/>
              <w:rPr>
                <w:sz w:val="15"/>
                <w:szCs w:val="15"/>
                <w:color w:val="auto"/>
              </w:rPr>
            </w:pPr>
          </w:p>
        </w:tc>
      </w:tr>
      <w:tr>
        <w:trPr>
          <w:trHeight w:val="189"/>
        </w:trPr>
        <w:tc>
          <w:tcPr>
            <w:tcW w:w="6220" w:type="dxa"/>
            <w:vAlign w:val="bottom"/>
          </w:tcPr>
          <w:p>
            <w:pPr>
              <w:spacing w:after="0"/>
              <w:rPr>
                <w:sz w:val="20"/>
                <w:szCs w:val="20"/>
                <w:color w:val="auto"/>
              </w:rPr>
            </w:pPr>
            <w:r>
              <w:rPr>
                <w:rFonts w:ascii="Arial" w:cs="Arial" w:eastAsia="Arial" w:hAnsi="Arial"/>
                <w:sz w:val="16"/>
                <w:szCs w:val="16"/>
                <w:color w:val="auto"/>
              </w:rPr>
              <w:t>Less: imputed interest</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right"/>
              <w:ind w:right="17"/>
              <w:spacing w:after="0"/>
              <w:rPr>
                <w:sz w:val="20"/>
                <w:szCs w:val="20"/>
                <w:color w:val="auto"/>
              </w:rPr>
            </w:pPr>
            <w:r>
              <w:rPr>
                <w:rFonts w:ascii="Arial" w:cs="Arial" w:eastAsia="Arial" w:hAnsi="Arial"/>
                <w:sz w:val="16"/>
                <w:szCs w:val="16"/>
                <w:color w:val="auto"/>
              </w:rPr>
              <w:t xml:space="preserve">(17,155) </w:t>
            </w:r>
            <w:r>
              <w:rPr>
                <w:rFonts w:ascii="Arial" w:cs="Arial" w:eastAsia="Arial" w:hAnsi="Arial"/>
                <w:sz w:val="12"/>
                <w:szCs w:val="12"/>
                <w:color w:val="auto"/>
              </w:rPr>
              <w:t>(1)</w:t>
            </w:r>
          </w:p>
        </w:tc>
      </w:tr>
      <w:tr>
        <w:trPr>
          <w:trHeight w:val="183"/>
        </w:trPr>
        <w:tc>
          <w:tcPr>
            <w:tcW w:w="622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present value of lease liabilities</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210,531</w:t>
            </w:r>
          </w:p>
        </w:tc>
        <w:tc>
          <w:tcPr>
            <w:tcW w:w="300" w:type="dxa"/>
            <w:vAlign w:val="bottom"/>
            <w:tcBorders>
              <w:top w:val="single" w:sz="8" w:color="CCEEFF"/>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r>
      <w:tr>
        <w:trPr>
          <w:trHeight w:val="20"/>
        </w:trPr>
        <w:tc>
          <w:tcPr>
            <w:tcW w:w="6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13" w:lineRule="exact"/>
        <w:rPr>
          <w:sz w:val="20"/>
          <w:szCs w:val="20"/>
          <w:color w:val="auto"/>
        </w:rPr>
      </w:pPr>
    </w:p>
    <w:p>
      <w:pPr>
        <w:ind w:left="1380" w:hanging="319"/>
        <w:spacing w:after="0"/>
        <w:tabs>
          <w:tab w:leader="none" w:pos="1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Calculated using the discount rate for each lease.</w:t>
      </w:r>
    </w:p>
    <w:p>
      <w:pPr>
        <w:spacing w:after="0" w:line="55" w:lineRule="exact"/>
        <w:rPr>
          <w:rFonts w:ascii="Arial" w:cs="Arial" w:eastAsia="Arial" w:hAnsi="Arial"/>
          <w:sz w:val="14"/>
          <w:szCs w:val="14"/>
          <w:color w:val="auto"/>
        </w:rPr>
      </w:pPr>
    </w:p>
    <w:p>
      <w:pPr>
        <w:ind w:left="1380" w:hanging="319"/>
        <w:spacing w:after="0"/>
        <w:tabs>
          <w:tab w:leader="none" w:pos="1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short-term and long-term portions of operating lease liabilities.</w:t>
      </w:r>
    </w:p>
    <w:p>
      <w:pPr>
        <w:spacing w:after="0" w:line="255"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41" w:right="999" w:bottom="1440" w:gutter="0" w:footer="0" w:header="0"/>
        </w:sectPr>
      </w:pPr>
    </w:p>
    <w:bookmarkStart w:id="11" w:name="page12"/>
    <w:bookmarkEnd w:id="11"/>
    <w:p>
      <w:pPr>
        <w:ind w:right="420"/>
        <w:spacing w:after="0" w:line="278" w:lineRule="auto"/>
        <w:rPr>
          <w:sz w:val="20"/>
          <w:szCs w:val="20"/>
          <w:color w:val="auto"/>
        </w:rPr>
      </w:pPr>
      <w:r>
        <w:rPr>
          <w:rFonts w:ascii="Arial" w:cs="Arial" w:eastAsia="Arial" w:hAnsi="Arial"/>
          <w:sz w:val="16"/>
          <w:szCs w:val="16"/>
          <w:color w:val="auto"/>
        </w:rPr>
        <w:t>Supplemental cash flows and other information related to operating leases are as follows (in thousands, except for weighted average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Thirty-Nine Weeks Ended</w:t>
            </w:r>
          </w:p>
        </w:tc>
      </w:tr>
      <w:tr>
        <w:trPr>
          <w:trHeight w:val="156"/>
        </w:trPr>
        <w:tc>
          <w:tcPr>
            <w:tcW w:w="586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October 30, 2021</w:t>
            </w:r>
          </w:p>
        </w:tc>
        <w:tc>
          <w:tcPr>
            <w:tcW w:w="3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81"/>
              <w:spacing w:after="0" w:line="155" w:lineRule="exact"/>
              <w:rPr>
                <w:sz w:val="20"/>
                <w:szCs w:val="20"/>
                <w:color w:val="auto"/>
              </w:rPr>
            </w:pPr>
            <w:r>
              <w:rPr>
                <w:rFonts w:ascii="Arial" w:cs="Arial" w:eastAsia="Arial" w:hAnsi="Arial"/>
                <w:sz w:val="14"/>
                <w:szCs w:val="14"/>
                <w:b w:val="1"/>
                <w:bCs w:val="1"/>
                <w:color w:val="auto"/>
              </w:rPr>
              <w:t>October 31, 2020</w:t>
            </w:r>
          </w:p>
        </w:tc>
      </w:tr>
      <w:tr>
        <w:trPr>
          <w:trHeight w:val="183"/>
        </w:trPr>
        <w:tc>
          <w:tcPr>
            <w:tcW w:w="58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paid for operating leases</w:t>
            </w:r>
          </w:p>
        </w:tc>
        <w:tc>
          <w:tcPr>
            <w:tcW w:w="66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42,315</w:t>
            </w:r>
          </w:p>
        </w:tc>
        <w:tc>
          <w:tcPr>
            <w:tcW w:w="46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32,870</w:t>
            </w:r>
          </w:p>
        </w:tc>
      </w:tr>
      <w:tr>
        <w:trPr>
          <w:trHeight w:val="189"/>
        </w:trPr>
        <w:tc>
          <w:tcPr>
            <w:tcW w:w="5860" w:type="dxa"/>
            <w:vAlign w:val="bottom"/>
          </w:tcPr>
          <w:p>
            <w:pPr>
              <w:spacing w:after="0"/>
              <w:rPr>
                <w:sz w:val="20"/>
                <w:szCs w:val="20"/>
                <w:color w:val="auto"/>
              </w:rPr>
            </w:pPr>
            <w:r>
              <w:rPr>
                <w:rFonts w:ascii="Arial" w:cs="Arial" w:eastAsia="Arial" w:hAnsi="Arial"/>
                <w:sz w:val="16"/>
                <w:szCs w:val="16"/>
                <w:color w:val="auto"/>
              </w:rPr>
              <w:t>Right of use assets obtained in exchange for new operating lease liabilities</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54,263</w:t>
            </w: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50,926</w:t>
            </w:r>
          </w:p>
        </w:tc>
      </w:tr>
      <w:tr>
        <w:trPr>
          <w:trHeight w:val="189"/>
        </w:trPr>
        <w:tc>
          <w:tcPr>
            <w:tcW w:w="5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9"/>
        </w:trPr>
        <w:tc>
          <w:tcPr>
            <w:tcW w:w="5860" w:type="dxa"/>
            <w:vAlign w:val="bottom"/>
          </w:tcPr>
          <w:p>
            <w:pPr>
              <w:spacing w:after="0"/>
              <w:rPr>
                <w:sz w:val="20"/>
                <w:szCs w:val="20"/>
                <w:color w:val="auto"/>
              </w:rPr>
            </w:pPr>
            <w:r>
              <w:rPr>
                <w:rFonts w:ascii="Arial" w:cs="Arial" w:eastAsia="Arial" w:hAnsi="Arial"/>
                <w:sz w:val="16"/>
                <w:szCs w:val="16"/>
                <w:color w:val="auto"/>
              </w:rPr>
              <w:t>Weighted average remaining lease term (years) - operating leases</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5.31</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189"/>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discount rate - operating leases</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41" w:right="99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5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209"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factors that may result in actual results differing from such forward-looking information include, but are not limited to: uncertainties relating to general economic conditions, including any deterioration whether caused by acts of war, terrorism, political or social unrest (including any resulting store closures, damage or loss of inventory); natural disasters such as hurricanes; public health emergencies such as the ongoing COVID-19 pandemic and associated containment and remediation efforts; the potential negative impacts of COVID-19 on the global economy and foreign sourcing; the impacts of COVID-19 on the Company’s financial condition, business operations and liquidity, including the re-closure of any or all of the Company’s retail stores and distribution centers; growth risks, consumer spending patterns; competition within the industry; competition in our markets; the ability to anticipate and respond to fashion trends; the duration and extent of any economic stimulus programs; transportation and distribution delays or interruptions; changes in freight rates; the Company’s ability to attract and retain workers; the Company’s ability to negotiate effectively the cost and purchase of merchandise; inventory risks due to shifts in market demand; the Company’s ability to gauge fashion trends and changing consumer preferences; changes in consumer spending on apparel; changes in product mix; interruptions in suppliers’ businesses; the results of pending or threatened litigation; temporary changes in demand due to weather patterns; seasonality of the Company’s business; delays associated with building, opening and operating new stores; delays associated with building, opening or expanding new or existing distribution centers; and other factors described in the section titled “Item 1A. Risk Factors” and elsewhere in the Company’s Annual Report on Form 10-K for the fiscal year ended January 30, 2021, and in Part II, “Item 1A. Risk Factors” and elsewhere in the Company’s Quarterly Reports on Form 10-Q and any amendments thereto and in the other documents the Company files with the SEC, including reports on Form 8-K.</w:t>
      </w:r>
    </w:p>
    <w:p>
      <w:pPr>
        <w:spacing w:after="0" w:line="200" w:lineRule="exact"/>
        <w:rPr>
          <w:sz w:val="20"/>
          <w:szCs w:val="20"/>
          <w:color w:val="auto"/>
        </w:rPr>
      </w:pPr>
    </w:p>
    <w:p>
      <w:pPr>
        <w:spacing w:after="0" w:line="208"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55" w:lineRule="exact"/>
        <w:rPr>
          <w:sz w:val="20"/>
          <w:szCs w:val="20"/>
          <w:color w:val="auto"/>
        </w:rPr>
      </w:pPr>
    </w:p>
    <w:p>
      <w:pPr>
        <w:jc w:val="both"/>
        <w:ind w:right="120"/>
        <w:spacing w:after="0" w:line="271" w:lineRule="auto"/>
        <w:rPr>
          <w:sz w:val="20"/>
          <w:szCs w:val="20"/>
          <w:color w:val="auto"/>
        </w:rPr>
      </w:pPr>
      <w:r>
        <w:rPr>
          <w:rFonts w:ascii="Arial" w:cs="Arial" w:eastAsia="Arial" w:hAnsi="Arial"/>
          <w:sz w:val="16"/>
          <w:szCs w:val="16"/>
          <w:color w:val="auto"/>
        </w:rPr>
        <w:t>We are a growing specialty value retailer of apparel, accessories and home trends primarily for African American and Latinx families. Our high-quality and trend-right merchandise offerings at everyday low prices are designed to appeal to the fashion and trend preferences of value-conscious customers. As of October 30, 2021, we operated 600 stores in urban, suburban and rural markets in 33 states.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25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March 2020, the World Health Organization declared COVID-19 a global pandemic. The pandemic has caused and may continue to cause significant disruptions in the global and U.S. economies as the virus continues to spread or has a resurgence in certain jurisdictions. In response to the COVID-19 pandemic, effective March 20, 2020, we temporarily closed all of our retail store locations and distribution centers. At the end of April 2020, we started to reopen stores in select states in accordance with government guidelines. As of July 18, 2020, we safely reopened all of our stores. The COVID-19 pandemic has resulted in periods of disruption for our business, including the temporary closure of our stores and limited store operating hours, reduced customer traffic and consumer spending, and delays in the manufacturing and shipping of products. We saw improvement in our financial results and positive trends during the latter half of 2020 and through the first three quarters of 2021 as governments eased restrictions and provided economic stimulus, along with the acceleration of vaccine distribution, leading to an increase in spending and increased customer demand.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 w:name="page14"/>
    <w:bookmarkEnd w:id="13"/>
    <w:p>
      <w:pPr>
        <w:ind w:right="160"/>
        <w:spacing w:after="0" w:line="266" w:lineRule="auto"/>
        <w:rPr>
          <w:sz w:val="20"/>
          <w:szCs w:val="20"/>
          <w:color w:val="auto"/>
        </w:rPr>
      </w:pPr>
      <w:r>
        <w:rPr>
          <w:rFonts w:ascii="Arial" w:cs="Arial" w:eastAsia="Arial" w:hAnsi="Arial"/>
          <w:sz w:val="16"/>
          <w:szCs w:val="16"/>
          <w:color w:val="auto"/>
        </w:rPr>
        <w:t>We expect continued uncertainty in our business and the global economy due to the COVID-19 pandemic, including potential volatility in employment trends and consumer confidence, current or future restrictive actions that may be imposed by governments or public health authorities, the duration and extent of any economic stimulus programs, supply chain interruptions, increased distribution and transportation costs, increased payroll expenses, and increased costs to maintain safe work and shopping environments. Due to the significant uncertainty surrounding the COVID-19 pandemic and its effects, there may be consequences that we do not anticipate at this time or that develop in unexpected ways. The impacts of the pandemic have had, and may continue to have, an adverse impact on the Company’s financial condition, results of operations and liquidity. We will continue to monitor the effects of COVID-19 and take the necessary actions to safely serve our associates, customers, communities and shareholders.</w:t>
      </w:r>
    </w:p>
    <w:p>
      <w:pPr>
        <w:spacing w:after="0" w:line="205"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For a further discussion of trends, uncertainties and other factors that could affect our future operating results related to the effects of the COVID-19 pandemic, see the section entitled "ITEM 1A. RISK FACTORS" in the Company’s Annual Report on Form 10-K for the fiscal year ended January 30, 2021.</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Periods</w:t>
      </w:r>
    </w:p>
    <w:p>
      <w:pPr>
        <w:spacing w:after="0" w:line="255"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The following discussion contains references to fiscal years 2021 and 2020, which represent fiscal years ending or ended on January 29, 2022 and January 30, 2021, respectively. Fiscal 2021 and 2020 both have 52-week accounting periods. This discussion and analysis should be read with the unaudited condensed consolidated financial statements and the notes thereto contained in Part I, Item 1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5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following discussion of the Company’s financial performance is based on the unaudited condensed consolidated financial statements set forth herein. The nature of the Company’s business is seasonal. Historically, sales in the first and fourth quarters have been higher than sales achieved in the second and third quarters of the fiscal year. Expenses and, to a greater extent, operating income, vary by quarter. Results of a period shorter than a full year may not be indicative of results expected for the entire fiscal year, particularly in light of the continued uncertainty surrounding the economic impact of the COVID-19 pandemic. Furthermore, as a result of the closure of our stores for at least five weeks in 2020 related to the COVID-19 pandemic, comparisons of expense ratios and year-over-year trends are not a meaningful way to evaluate our operating results for the thirty-nine weeks ended October 30, 2021.</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Operating Statistics</w:t>
      </w:r>
    </w:p>
    <w:p>
      <w:pPr>
        <w:spacing w:after="0" w:line="25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measure performance using key operating statistics. One of the main performance measures we use is comparable store sales growth. We define a comparable store as a store that has been opened for an entire fiscal year. Therefore, a store will not be considered a comparable store until its 13th month of operation at the earliest or until its 24th month at the latest. As an example, stores opened in fiscal 2020 and fiscal 2021 are not considered comparable stores in fiscal 2021. Relocated and expanded stores are included in the comparable store sales results. Stores that are closed permanently or for an extended period are excluded from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Finally, we monitor corporate expenses against budgeted amounts.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Thirteen Weeks Ended October 30, 2021 and October 31, 2020</w:t>
      </w:r>
    </w:p>
    <w:p>
      <w:pPr>
        <w:spacing w:after="0" w:line="239" w:lineRule="exact"/>
        <w:rPr>
          <w:sz w:val="20"/>
          <w:szCs w:val="20"/>
          <w:color w:val="auto"/>
        </w:rPr>
      </w:pPr>
    </w:p>
    <w:p>
      <w:pPr>
        <w:spacing w:after="0" w:line="275"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$28.9 million, or 14.5%, to $228.0 million in the third quarter of 2021 from $199.1 million in the third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2020. The increase in sales was due to a 13.1% increase in comparable store sales and the opening of 19 new stores since the third quarter of 2020, partially offset by the impact of closing four stores and lost sales due to Hurricane Ida. The 13.1% increase in comparable store sales contributed $25.3 million in sales, while store opening and closing activity resulted in a net increase of $3.6 million.</w:t>
      </w:r>
    </w:p>
    <w:p>
      <w:pPr>
        <w:spacing w:after="0" w:line="199" w:lineRule="exact"/>
        <w:rPr>
          <w:sz w:val="20"/>
          <w:szCs w:val="20"/>
          <w:color w:val="auto"/>
        </w:rPr>
      </w:pPr>
    </w:p>
    <w:p>
      <w:pPr>
        <w:jc w:val="both"/>
        <w:ind w:right="120"/>
        <w:spacing w:after="0" w:line="271" w:lineRule="auto"/>
        <w:rPr>
          <w:sz w:val="20"/>
          <w:szCs w:val="20"/>
          <w:color w:val="auto"/>
        </w:rPr>
      </w:pPr>
      <w:r>
        <w:rPr>
          <w:rFonts w:ascii="Arial" w:cs="Arial" w:eastAsia="Arial" w:hAnsi="Arial"/>
          <w:sz w:val="16"/>
          <w:szCs w:val="16"/>
          <w:color w:val="auto"/>
        </w:rPr>
        <w:t>The 13.1% increase in comparable store sales was reflected in an increase of 12% in the average basket size and an increase of 1% in customer transactions. Comparable store sales changes by “CITI” or major merchandise category were as follows: Kids +20%; Beauty &amp; Accessories +20%; Men +12%; Women +6%; Footwear +6%; and Home &amp; Lifestyle -7%.</w:t>
      </w:r>
    </w:p>
    <w:p>
      <w:pPr>
        <w:spacing w:after="0" w:line="184"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increased $20.3 million, or 17.5%, to $136.1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third quarter of 2021 from $115.8 million in the third quarter of 2020. Cost of sales as a percentage of sales increased to 59.7% from 58.2% due to an increase of 110 basis points in freight costs and a decrease of 80 basis points in the core merchandise margin (initial mark-up, net of markdowns), partially offset by an improvement of 40 basis points in shrinkage.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41" w:right="1019" w:bottom="1440" w:gutter="0" w:footer="0" w:header="0"/>
        </w:sectPr>
      </w:pPr>
    </w:p>
    <w:bookmarkStart w:id="14" w:name="page15"/>
    <w:bookmarkEnd w:id="14"/>
    <w:p>
      <w:pPr>
        <w:ind w:right="100"/>
        <w:spacing w:after="0" w:line="27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$5.6 million, or 8.0%, to $74.8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third quarter of 2021 from $69.2 million in the third quarter of 2020. The increase was due primarily to the general impact on expenses of opening 19 new stores since the third quarter of 2020. Also contributing to the increase was a $1.0 million increase in incentive compensation resulting from favorable operating results in relation to budget. As a percentage of sales, selling, general and administrative expenses improved 200 basis points to 32.8% in the third quarter of 2021 from 34.8% in the third quarter of 2020.</w:t>
      </w:r>
    </w:p>
    <w:p>
      <w:pPr>
        <w:spacing w:after="0" w:line="18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expense increased $0.8 million, or 17.5%, to $5.5 million in the third quarter of 2021 from $4.7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third quarter of 2020.</w:t>
      </w:r>
    </w:p>
    <w:p>
      <w:pPr>
        <w:spacing w:after="0" w:line="164"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Income tax expense was $2.5 million in the third quarter of 2021 compared to $2.2 million in the third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2020 due primarily to an increase in pretax income.</w:t>
      </w:r>
    </w:p>
    <w:p>
      <w:pPr>
        <w:spacing w:after="0" w:line="164"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increased $2.0 million to $9.0 million in the third quarter of 2021 compared to $7.0 million in the third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2020 due to the factors discussed above.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Thirty-Nine Weeks Ended October 30, 2021 and October 31, 2020</w:t>
      </w:r>
    </w:p>
    <w:p>
      <w:pPr>
        <w:spacing w:after="0" w:line="239"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$219.2 million, or 41.3%, to $750.6 million in the first thirty-nine weeks of 2021 from $531.4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of 2020. The increase in sales was primarily due to the temporary closure of all of our stores in the first half of 2020 as a result of the COVID-19 pandemic, combined with strong comparable store sales and the opening of 19 new stores since the end of the third quarter of 2020, partially offset by the impact of closing four stores and lost sales due to Hurricane Ida.</w:t>
      </w:r>
    </w:p>
    <w:p>
      <w:pPr>
        <w:spacing w:after="0" w:line="183"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increased $113.1 million, or 34.5%, to $440.4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thirty-nine weeks of 2021 from $327.3 million in the same period of 2020. Cost of sales as a percentage of sales decreased to</w:t>
      </w:r>
    </w:p>
    <w:p>
      <w:pPr>
        <w:spacing w:after="0" w:line="1"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58.7% in the first thirty-nine weeks of 2021 from 61.6% in the same period of 2020 due to an improvement of 340 basis points in the core merchandise margin (initial mark-up, net of markdowns) driven primarily by lower markdowns, along with an improvement of 70 basis points in shrinkage, partially offset by an increase of 120 basis points in freight costs.</w:t>
      </w:r>
    </w:p>
    <w:p>
      <w:pPr>
        <w:spacing w:after="0" w:line="184"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$47.2 million, or 26.0%, to $228.1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first thirty-nine weeks of 2021 from $180.9 million in the same period of 2020. The increase was due primarily to significant favorable one-time expense reductions in the first half of 2020 related to the COVID-19 pandemic, including furloughs, store closures and reduced operating hours, abated rents and other COVID-19 cost credits. Also contributing to the increase was a $14.0 million increase in incentive compensation resulting from favorable operating results in relation to budget, as well as the general impact on expenses of opening 19 new stores since the third quarter of 2020. As a percentage of sales, selling, general and administrative expenses improved 360 basis points to 30.4% in the first thirty-nine weeks of 2021 from 34.0% in the first thirty-nine weeks of 2020.</w:t>
      </w:r>
    </w:p>
    <w:p>
      <w:pPr>
        <w:spacing w:after="0" w:line="190" w:lineRule="exact"/>
        <w:rPr>
          <w:sz w:val="20"/>
          <w:szCs w:val="20"/>
          <w:color w:val="auto"/>
        </w:rPr>
      </w:pPr>
    </w:p>
    <w:p>
      <w:pPr>
        <w:ind w:right="480"/>
        <w:spacing w:after="0" w:line="298"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expense increased $0.6 million, or 4.4%, to $15.2 million in the first thirty-nine weeks of 2021 from $14.6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same period last year.</w:t>
      </w:r>
    </w:p>
    <w:p>
      <w:pPr>
        <w:spacing w:after="0" w:line="164"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i w:val="1"/>
          <w:iCs w:val="1"/>
          <w:color w:val="auto"/>
        </w:rPr>
        <w:t xml:space="preserve">Asset Impairment. </w:t>
      </w:r>
      <w:r>
        <w:rPr>
          <w:rFonts w:ascii="Arial" w:cs="Arial" w:eastAsia="Arial" w:hAnsi="Arial"/>
          <w:sz w:val="16"/>
          <w:szCs w:val="16"/>
          <w:color w:val="auto"/>
        </w:rPr>
        <w:t>There were no asset impairment charges in the first thirty-nine weeks of 2021. In the first thirty-nine weeks of 2020,</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charges related to an underperforming store totaled $0.3 million, comprised of $0.2 million for an operating lease right-of-use asset and $0.1 million for leasehold improvements and fixtures and equipment.</w:t>
      </w:r>
    </w:p>
    <w:p>
      <w:pPr>
        <w:spacing w:after="0" w:line="177"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Income tax expense was $14.4 million in the first thirty-nine weeks of 2021 compared to $1.8 million in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thirty-nine weeks of 2020 due primarily to higher pretax income this year.</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was $52.4 million in the first thirty-nine weeks of 2021 compared to $5.9 million in the same period of 2020 due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factors discussed above.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55"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Our principal sources of liquidity consist of: (i) cash and cash equivalents (which equaled $12.0 million as of October 30, 2021); (ii) short-term investment securities (which equaled $35.5 million as of October 30, 2021); (iii) short-term trade credit; (iv) cash generated from operations on an ongoing basis as we sell our merchandise inventory; and (v) a revolving credit facility with a $75 million credit commitment (with no borrowings as of October 30, 2021). Trade credit represents a significant source of financing for inventory purchases and arises from customary payment terms and trade practices with our vendors.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5" w:name="page16"/>
    <w:bookmarkEnd w:id="15"/>
    <w:p>
      <w:pPr>
        <w:ind w:right="20"/>
        <w:spacing w:after="0" w:line="269" w:lineRule="auto"/>
        <w:rPr>
          <w:sz w:val="20"/>
          <w:szCs w:val="20"/>
          <w:color w:val="auto"/>
        </w:rPr>
      </w:pPr>
      <w:r>
        <w:rPr>
          <w:rFonts w:ascii="Arial" w:cs="Arial" w:eastAsia="Arial" w:hAnsi="Arial"/>
          <w:sz w:val="16"/>
          <w:szCs w:val="16"/>
          <w:i w:val="1"/>
          <w:iCs w:val="1"/>
          <w:color w:val="auto"/>
        </w:rPr>
        <w:t>Cash Flows From Operating Activities</w:t>
      </w:r>
      <w:r>
        <w:rPr>
          <w:rFonts w:ascii="Arial" w:cs="Arial" w:eastAsia="Arial" w:hAnsi="Arial"/>
          <w:sz w:val="16"/>
          <w:szCs w:val="16"/>
          <w:color w:val="auto"/>
        </w:rPr>
        <w:t>. Net cash provided by operating activities was $54.9 million in the first thirty-nine weeks of 2021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$63.0 million in the same period of 2020. Sources of cash this year included net income adjusted for insurance proceeds and non-cash expenses such as depreciation, non-cash operating lease costs, loss on disposal of property and equipment, deferred income taxes and stock-based compensation expense, totaling $110.8 million (compared to $59.6 million in the first thirty-nine weeks of 2020). Other significant sources of cash included a $15.9 million increase in accounts payable (compared to a $7.7 million increase in the same period last year) due to the timing of invoices and payments, as well as an increase in inventory balances compared to the third quarter of last year.</w:t>
      </w:r>
    </w:p>
    <w:p>
      <w:pPr>
        <w:spacing w:after="0" w:line="20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Significant uses of cash from operating activities in the first thirty-nine weeks of 2021 were (1) a $36.3 million decrease in accrued expenses and other long-term liabilities (compared to a $25.3 million decrease in the first thirty-nine weeks of 2020) due primarily to payments of operating lease liabilities; (2) a $23.4 million increase in inventory (compared to a $23.9 million decrease in the same period last year) due to replenishing our merchandise in 2021 following robust sales in the fourth quarter of 2020; (3) a $6.9 million decrease in income taxes payable/receivable due to the payment of income taxes; and (4) a $6.5 million decrease in accrued compensation (compared to a $3.4 million increase in the same period last year) due to payment in the first quarter of 2021 of incentive compensation accrued in the second half of 2020.</w:t>
      </w:r>
    </w:p>
    <w:p>
      <w:pPr>
        <w:spacing w:after="0" w:line="190"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Cash used in investing activities was $56.1 million in the first thirty-nine weeks of 2021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cash provided of $31.3 million in the same period last year. Cash used in the first thirty-nine weeks of 2021 consisted of $35.5 million for purchases of short-term investment securities and $20.8 million for purchases of property and equipment. Cash provided in the first thirty-nine weeks of 2020 was primarily from the sales of investment securities due to the COVID-19 pandemic, partially offset by $11.9 million used for purchases of property and equipment.</w:t>
      </w:r>
    </w:p>
    <w:p>
      <w:pPr>
        <w:spacing w:after="0" w:line="186"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i w:val="1"/>
          <w:iCs w:val="1"/>
          <w:color w:val="auto"/>
        </w:rPr>
        <w:t xml:space="preserve">Cash Flows From Financing Activities. </w:t>
      </w:r>
      <w:r>
        <w:rPr>
          <w:rFonts w:ascii="Arial" w:cs="Arial" w:eastAsia="Arial" w:hAnsi="Arial"/>
          <w:sz w:val="16"/>
          <w:szCs w:val="16"/>
          <w:color w:val="auto"/>
        </w:rPr>
        <w:t>Cash used in financing activities was $109.9 million in the first thirty-nine weeks of 2021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$17.6 million in the same period last year. Cash used in the first thirty-nine weeks of 2021 consisted primarily of $107.2 million for repurchases of our common stock. Cash used in the first thirty-nine weeks of 2020 consisted primarily of $17.0 million used for repurchases of our common stock and dividend payments.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Requirements</w:t>
      </w:r>
    </w:p>
    <w:p>
      <w:pPr>
        <w:spacing w:after="0" w:line="255"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Our cash requirements are primarily for working capital and capital expenditures for stores, distribution infrastructure and information systems. Historically, we have met these cash requirements using cash flow from operations and short-term trade credit. We have also used cash to repurchase shares of our common stock. In the first thirty-nine weeks of 2021, pursuant to our stock repurchase programs, we repurchased 1,023,343 shares of our common stock at an aggregate cost of $85.3 million. In addition, we repurchased in a block trade 250,000 shares of our common stock at an aggregate cost of $21.9 million.</w:t>
      </w:r>
    </w:p>
    <w:p>
      <w:pPr>
        <w:spacing w:after="0" w:line="20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believe that our existing sources of liquidity will be sufficient to fund our operations for at least the next 12 months as well as the foreseeable future. However, any significant reduction in customer willingness to visit shopping centers or levels of customer spending at our stores, or any future temporary closures of our stores or distribution centers, or any disruptions in the supply chains related to our merchandise could require us to take actions that could include material changes in our operations and seeking additional debt or equity capital. We will continue to monitor the situation and take action as necessary to reduce our expenses and preserve our financial flexibility.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55"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204"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There have been no material changes to the Critical Accounting Policies outlined in the Company’s Annual Report on Form 10-K for the year ended January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5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There have been no material changes in our market risk during the thirty-nine weeks ended October 30, 2021 compared to the disclosures in Part II, Item 7A of our Annual Report on Form 10-K for the year ended January 30, 2021</w:t>
      </w:r>
      <w:r>
        <w:rPr>
          <w:rFonts w:ascii="Arial" w:cs="Arial" w:eastAsia="Arial" w:hAnsi="Arial"/>
          <w:sz w:val="17"/>
          <w:szCs w:val="17"/>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55"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the principal executive officer and the principal financial officer, of the effectiveness of the design and operation of our disclosure controls and procedures as of October 30, 2021 pursuant to Rules 13a-15 and 15d-15 of the Exchange Act. Based on that evaluation, the principal executive officer and the principal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205"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200"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There were no changes in our internal control over financial reporting that occurred during the fiscal quarter ended October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PART II —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5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are from time to time involved in various legal proceedings incidental to the conduct of our business, including claims by customers, landlords,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55" w:lineRule="exact"/>
        <w:rPr>
          <w:sz w:val="20"/>
          <w:szCs w:val="20"/>
          <w:color w:val="auto"/>
        </w:rPr>
      </w:pPr>
    </w:p>
    <w:p>
      <w:pPr>
        <w:ind w:right="400"/>
        <w:spacing w:after="0" w:line="278" w:lineRule="auto"/>
        <w:rPr>
          <w:sz w:val="20"/>
          <w:szCs w:val="20"/>
          <w:color w:val="auto"/>
        </w:rPr>
      </w:pPr>
      <w:r>
        <w:rPr>
          <w:rFonts w:ascii="Arial" w:cs="Arial" w:eastAsia="Arial" w:hAnsi="Arial"/>
          <w:sz w:val="16"/>
          <w:szCs w:val="16"/>
          <w:color w:val="auto"/>
        </w:rPr>
        <w:t>There have been no material changes to the Risk Factors described under the section “ITEM 1A. RISK FACTORS” in the Company’s Annual Report on Form 10-K for the fiscal year ended January 30, 2021.</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Information on Share Repurchases</w:t>
      </w:r>
    </w:p>
    <w:p>
      <w:pPr>
        <w:spacing w:after="0" w:line="251" w:lineRule="exact"/>
        <w:rPr>
          <w:sz w:val="20"/>
          <w:szCs w:val="20"/>
          <w:color w:val="auto"/>
        </w:rPr>
      </w:pPr>
    </w:p>
    <w:p>
      <w:pPr>
        <w:ind w:right="380"/>
        <w:spacing w:after="0" w:line="278" w:lineRule="auto"/>
        <w:rPr>
          <w:sz w:val="20"/>
          <w:szCs w:val="20"/>
          <w:color w:val="auto"/>
        </w:rPr>
      </w:pPr>
      <w:r>
        <w:rPr>
          <w:rFonts w:ascii="Arial" w:cs="Arial" w:eastAsia="Arial" w:hAnsi="Arial"/>
          <w:sz w:val="16"/>
          <w:szCs w:val="16"/>
          <w:color w:val="auto"/>
        </w:rPr>
        <w:t>The number of shares of common stock repurchased by the Company during the third quarter of 2021 and the average price paid per share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Maximum number (or</w:t>
            </w:r>
          </w:p>
        </w:tc>
      </w:tr>
      <w:tr>
        <w:trPr>
          <w:trHeight w:val="162"/>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4"/>
                <w:szCs w:val="14"/>
                <w:color w:val="auto"/>
              </w:rPr>
            </w:pPr>
          </w:p>
        </w:tc>
        <w:tc>
          <w:tcPr>
            <w:tcW w:w="1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60" w:type="dxa"/>
            <w:vAlign w:val="bottom"/>
          </w:tcPr>
          <w:p>
            <w:pPr>
              <w:spacing w:after="0"/>
              <w:rPr>
                <w:sz w:val="14"/>
                <w:szCs w:val="14"/>
                <w:color w:val="auto"/>
              </w:rPr>
            </w:pPr>
          </w:p>
        </w:tc>
        <w:tc>
          <w:tcPr>
            <w:tcW w:w="1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22"/>
              <w:spacing w:after="0"/>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Average price paid</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160" w:type="dxa"/>
            <w:vAlign w:val="bottom"/>
          </w:tcPr>
          <w:p>
            <w:pPr>
              <w:spacing w:after="0"/>
              <w:rPr>
                <w:sz w:val="14"/>
                <w:szCs w:val="14"/>
                <w:color w:val="auto"/>
              </w:rPr>
            </w:pPr>
          </w:p>
        </w:tc>
        <w:tc>
          <w:tcPr>
            <w:tcW w:w="1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purchased under the plans</w:t>
            </w:r>
          </w:p>
        </w:tc>
      </w:tr>
      <w:tr>
        <w:trPr>
          <w:trHeight w:val="175"/>
        </w:trPr>
        <w:tc>
          <w:tcPr>
            <w:tcW w:w="3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1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2"/>
                <w:szCs w:val="12"/>
                <w:b w:val="1"/>
                <w:bCs w:val="1"/>
                <w:color w:val="auto"/>
              </w:rPr>
              <w:t>(1)</w:t>
            </w:r>
          </w:p>
        </w:tc>
        <w:tc>
          <w:tcPr>
            <w:tcW w:w="16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12"/>
                <w:szCs w:val="12"/>
                <w:b w:val="1"/>
                <w:bCs w:val="1"/>
                <w:color w:val="auto"/>
              </w:rPr>
              <w:t>(2)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 xml:space="preserve">or programs </w:t>
            </w:r>
            <w:r>
              <w:rPr>
                <w:rFonts w:ascii="Arial" w:cs="Arial" w:eastAsia="Arial" w:hAnsi="Arial"/>
                <w:sz w:val="12"/>
                <w:szCs w:val="12"/>
                <w:b w:val="1"/>
                <w:bCs w:val="1"/>
                <w:color w:val="auto"/>
              </w:rPr>
              <w:t>(2)</w:t>
            </w:r>
          </w:p>
        </w:tc>
        <w:tc>
          <w:tcPr>
            <w:tcW w:w="40" w:type="dxa"/>
            <w:vAlign w:val="bottom"/>
            <w:tcBorders>
              <w:bottom w:val="single" w:sz="8" w:color="CCEEFF"/>
            </w:tcBorders>
          </w:tcPr>
          <w:p>
            <w:pPr>
              <w:spacing w:after="0"/>
              <w:rPr>
                <w:sz w:val="15"/>
                <w:szCs w:val="15"/>
                <w:color w:val="auto"/>
              </w:rPr>
            </w:pPr>
          </w:p>
        </w:tc>
      </w:tr>
      <w:tr>
        <w:trPr>
          <w:trHeight w:val="183"/>
        </w:trPr>
        <w:tc>
          <w:tcPr>
            <w:tcW w:w="332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August (8/1/21 - 8/28/21)</w:t>
            </w:r>
          </w:p>
        </w:tc>
        <w:tc>
          <w:tcPr>
            <w:tcW w:w="12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67,233</w:t>
            </w:r>
          </w:p>
        </w:tc>
        <w:tc>
          <w:tcPr>
            <w:tcW w:w="320" w:type="dxa"/>
            <w:vAlign w:val="bottom"/>
            <w:gridSpan w:val="2"/>
            <w:shd w:val="clear" w:color="auto" w:fill="CCEEFF"/>
          </w:tcPr>
          <w:p>
            <w:pPr>
              <w:ind w:left="160"/>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77.59</w:t>
            </w:r>
          </w:p>
        </w:tc>
        <w:tc>
          <w:tcPr>
            <w:tcW w:w="16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67,233</w:t>
            </w:r>
          </w:p>
        </w:tc>
        <w:tc>
          <w:tcPr>
            <w:tcW w:w="3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15,685,288</w:t>
            </w:r>
          </w:p>
        </w:tc>
        <w:tc>
          <w:tcPr>
            <w:tcW w:w="40" w:type="dxa"/>
            <w:vAlign w:val="bottom"/>
            <w:shd w:val="clear" w:color="auto" w:fill="CCEEFF"/>
          </w:tcPr>
          <w:p>
            <w:pPr>
              <w:spacing w:after="0"/>
              <w:rPr>
                <w:sz w:val="15"/>
                <w:szCs w:val="15"/>
                <w:color w:val="auto"/>
              </w:rPr>
            </w:pPr>
          </w:p>
        </w:tc>
      </w:tr>
      <w:tr>
        <w:trPr>
          <w:trHeight w:val="189"/>
        </w:trPr>
        <w:tc>
          <w:tcPr>
            <w:tcW w:w="3320" w:type="dxa"/>
            <w:vAlign w:val="bottom"/>
            <w:gridSpan w:val="2"/>
          </w:tcPr>
          <w:p>
            <w:pPr>
              <w:spacing w:after="0"/>
              <w:rPr>
                <w:sz w:val="20"/>
                <w:szCs w:val="20"/>
                <w:color w:val="auto"/>
              </w:rPr>
            </w:pPr>
            <w:r>
              <w:rPr>
                <w:rFonts w:ascii="Arial" w:cs="Arial" w:eastAsia="Arial" w:hAnsi="Arial"/>
                <w:sz w:val="16"/>
                <w:szCs w:val="16"/>
                <w:color w:val="auto"/>
              </w:rPr>
              <w:t>September (8/29/21 - 10/2/21)</w:t>
            </w:r>
          </w:p>
        </w:tc>
        <w:tc>
          <w:tcPr>
            <w:tcW w:w="1260" w:type="dxa"/>
            <w:vAlign w:val="bottom"/>
          </w:tcPr>
          <w:p>
            <w:pPr>
              <w:jc w:val="right"/>
              <w:spacing w:after="0"/>
              <w:rPr>
                <w:sz w:val="20"/>
                <w:szCs w:val="20"/>
                <w:color w:val="auto"/>
              </w:rPr>
            </w:pPr>
            <w:r>
              <w:rPr>
                <w:rFonts w:ascii="Arial" w:cs="Arial" w:eastAsia="Arial" w:hAnsi="Arial"/>
                <w:sz w:val="16"/>
                <w:szCs w:val="16"/>
                <w:color w:val="auto"/>
              </w:rPr>
              <w:t>361,706</w:t>
            </w: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84.94</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361,706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14,970,006</w:t>
            </w:r>
          </w:p>
        </w:tc>
        <w:tc>
          <w:tcPr>
            <w:tcW w:w="40" w:type="dxa"/>
            <w:vAlign w:val="bottom"/>
          </w:tcPr>
          <w:p>
            <w:pPr>
              <w:spacing w:after="0"/>
              <w:rPr>
                <w:sz w:val="16"/>
                <w:szCs w:val="16"/>
                <w:color w:val="auto"/>
              </w:rPr>
            </w:pPr>
          </w:p>
        </w:tc>
      </w:tr>
      <w:tr>
        <w:trPr>
          <w:trHeight w:val="189"/>
        </w:trPr>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October (10/3/21 - 10/30/21)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92,147</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74.77</w:t>
            </w:r>
          </w:p>
        </w:tc>
        <w:tc>
          <w:tcPr>
            <w:tcW w:w="160" w:type="dxa"/>
            <w:vAlign w:val="bottom"/>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8,081,792</w:t>
            </w:r>
          </w:p>
        </w:tc>
        <w:tc>
          <w:tcPr>
            <w:tcW w:w="40" w:type="dxa"/>
            <w:vAlign w:val="bottom"/>
            <w:shd w:val="clear" w:color="auto" w:fill="CCEEFF"/>
          </w:tcPr>
          <w:p>
            <w:pPr>
              <w:spacing w:after="0"/>
              <w:rPr>
                <w:sz w:val="16"/>
                <w:szCs w:val="16"/>
                <w:color w:val="auto"/>
              </w:rPr>
            </w:pPr>
          </w:p>
        </w:tc>
      </w:tr>
      <w:tr>
        <w:trPr>
          <w:trHeight w:val="183"/>
        </w:trPr>
        <w:tc>
          <w:tcPr>
            <w:tcW w:w="3320" w:type="dxa"/>
            <w:vAlign w:val="bottom"/>
            <w:gridSpan w:val="2"/>
          </w:tcPr>
          <w:p>
            <w:pPr>
              <w:spacing w:after="0" w:line="183" w:lineRule="exact"/>
              <w:rPr>
                <w:sz w:val="20"/>
                <w:szCs w:val="20"/>
                <w:color w:val="auto"/>
              </w:rPr>
            </w:pPr>
            <w:r>
              <w:rPr>
                <w:rFonts w:ascii="Arial" w:cs="Arial" w:eastAsia="Arial" w:hAnsi="Arial"/>
                <w:sz w:val="16"/>
                <w:szCs w:val="16"/>
                <w:color w:val="auto"/>
              </w:rPr>
              <w:t>Total</w:t>
            </w: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521,086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521,086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1" w:lineRule="exact"/>
        <w:rPr>
          <w:sz w:val="20"/>
          <w:szCs w:val="20"/>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commissions for the shares repurchased under the stock repurchase program.</w:t>
      </w:r>
    </w:p>
    <w:p>
      <w:pPr>
        <w:spacing w:after="0" w:line="230" w:lineRule="exact"/>
        <w:rPr>
          <w:rFonts w:ascii="Arial" w:cs="Arial" w:eastAsia="Arial" w:hAnsi="Arial"/>
          <w:sz w:val="14"/>
          <w:szCs w:val="14"/>
          <w:color w:val="auto"/>
        </w:rPr>
      </w:pPr>
    </w:p>
    <w:p>
      <w:pPr>
        <w:ind w:left="520" w:right="300" w:hanging="255"/>
        <w:spacing w:after="0" w:line="278"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announced that its board of directors approved $30 million stock repurchase programs on each of the following dates: March 13, 2020; December 22, 2020; June 2, 2021; and August 24, 2021. The programs do not have expiration dates.</w:t>
      </w:r>
    </w:p>
    <w:p>
      <w:pPr>
        <w:spacing w:after="0" w:line="191"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On November 30, 2021, the Company announced that its board of directors approved another stock repurchase program that authorizes the repurchase of up to $30 million in shares of the Company’s common stock. The program does not have an expiration date.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Item 6. Exhibits.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Arial" w:cs="Arial" w:eastAsia="Arial" w:hAnsi="Arial"/>
                <w:sz w:val="16"/>
                <w:szCs w:val="16"/>
                <w:color w:val="auto"/>
              </w:rPr>
              <w:t>3.1</w:t>
            </w:r>
          </w:p>
        </w:tc>
        <w:tc>
          <w:tcPr>
            <w:tcW w:w="8960" w:type="dxa"/>
            <w:vAlign w:val="bottom"/>
            <w:gridSpan w:val="7"/>
          </w:tcPr>
          <w:p>
            <w:pPr>
              <w:spacing w:after="0"/>
              <w:rPr>
                <w:rFonts w:ascii="Arial" w:cs="Arial" w:eastAsia="Arial" w:hAnsi="Arial"/>
                <w:sz w:val="16"/>
                <w:szCs w:val="16"/>
                <w:color w:val="0000EE"/>
              </w:rPr>
            </w:pPr>
            <w:hyperlink r:id="rId30">
              <w:r>
                <w:rPr>
                  <w:rFonts w:ascii="Arial" w:cs="Arial" w:eastAsia="Arial" w:hAnsi="Arial"/>
                  <w:sz w:val="16"/>
                  <w:szCs w:val="16"/>
                  <w:color w:val="0000EE"/>
                </w:rPr>
                <w:t>Third Amended and Restated Certificate of Incorporation (incorporated by reference to Exhibit 3.1 to the Company’s Current</w:t>
              </w:r>
            </w:hyperlink>
          </w:p>
        </w:tc>
      </w:tr>
      <w:tr>
        <w:trPr>
          <w:trHeight w:val="210"/>
        </w:trPr>
        <w:tc>
          <w:tcPr>
            <w:tcW w:w="920" w:type="dxa"/>
            <w:vAlign w:val="bottom"/>
          </w:tcPr>
          <w:p>
            <w:pPr>
              <w:spacing w:after="0"/>
              <w:rPr>
                <w:sz w:val="18"/>
                <w:szCs w:val="18"/>
                <w:color w:val="auto"/>
              </w:rPr>
            </w:pPr>
          </w:p>
        </w:tc>
        <w:tc>
          <w:tcPr>
            <w:tcW w:w="8860" w:type="dxa"/>
            <w:vAlign w:val="bottom"/>
            <w:tcBorders>
              <w:top w:val="single" w:sz="8" w:color="0000EE"/>
            </w:tcBorders>
            <w:gridSpan w:val="6"/>
          </w:tcPr>
          <w:p>
            <w:pPr>
              <w:spacing w:after="0"/>
              <w:rPr>
                <w:rFonts w:ascii="Arial" w:cs="Arial" w:eastAsia="Arial" w:hAnsi="Arial"/>
                <w:sz w:val="16"/>
                <w:szCs w:val="16"/>
                <w:color w:val="0000EE"/>
              </w:rPr>
            </w:pPr>
            <w:hyperlink r:id="rId30">
              <w:r>
                <w:rPr>
                  <w:rFonts w:ascii="Arial" w:cs="Arial" w:eastAsia="Arial" w:hAnsi="Arial"/>
                  <w:sz w:val="16"/>
                  <w:szCs w:val="16"/>
                  <w:color w:val="0000EE"/>
                </w:rPr>
                <w:t>Report on Form 8-K filed with the SEC on June 7, 2018)</w:t>
              </w:r>
              <w:r>
                <w:rPr>
                  <w:rFonts w:ascii="Arial" w:cs="Arial" w:eastAsia="Arial" w:hAnsi="Arial"/>
                  <w:sz w:val="16"/>
                  <w:szCs w:val="16"/>
                  <w:color w:val="000000"/>
                </w:rPr>
                <w:t>.</w:t>
              </w:r>
            </w:hyperlink>
          </w:p>
        </w:tc>
        <w:tc>
          <w:tcPr>
            <w:tcW w:w="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31.1</w:t>
            </w:r>
          </w:p>
        </w:tc>
        <w:tc>
          <w:tcPr>
            <w:tcW w:w="8960" w:type="dxa"/>
            <w:vAlign w:val="bottom"/>
            <w:gridSpan w:val="7"/>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Certification of Principal Executive Officer, Pursuant to Rule 13a-14(a) of the Securities Exchange Act of 1934, Adopted</w:t>
              </w:r>
            </w:hyperlink>
          </w:p>
        </w:tc>
      </w:tr>
      <w:tr>
        <w:trPr>
          <w:trHeight w:val="209"/>
        </w:trPr>
        <w:tc>
          <w:tcPr>
            <w:tcW w:w="920" w:type="dxa"/>
            <w:vAlign w:val="bottom"/>
          </w:tcPr>
          <w:p>
            <w:pPr>
              <w:spacing w:after="0"/>
              <w:rPr>
                <w:sz w:val="18"/>
                <w:szCs w:val="18"/>
                <w:color w:val="auto"/>
              </w:rPr>
            </w:pPr>
          </w:p>
        </w:tc>
        <w:tc>
          <w:tcPr>
            <w:tcW w:w="8520" w:type="dxa"/>
            <w:vAlign w:val="bottom"/>
            <w:tcBorders>
              <w:top w:val="single" w:sz="8" w:color="0000EE"/>
            </w:tcBorders>
            <w:gridSpan w:val="5"/>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Pursuant to Section 302 of the Sarbanes-Oxley Act of 2002</w:t>
              </w:r>
              <w:r>
                <w:rPr>
                  <w:rFonts w:ascii="Arial" w:cs="Arial" w:eastAsia="Arial" w:hAnsi="Arial"/>
                  <w:sz w:val="16"/>
                  <w:szCs w:val="16"/>
                  <w:color w:val="000000"/>
                </w:rPr>
                <w:t>.*</w:t>
              </w:r>
            </w:hyperlink>
          </w:p>
        </w:tc>
        <w:tc>
          <w:tcPr>
            <w:tcW w:w="440" w:type="dxa"/>
            <w:vAlign w:val="bottom"/>
            <w:gridSpan w:val="2"/>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31.2</w:t>
            </w:r>
          </w:p>
        </w:tc>
        <w:tc>
          <w:tcPr>
            <w:tcW w:w="8480" w:type="dxa"/>
            <w:vAlign w:val="bottom"/>
            <w:tcBorders>
              <w:bottom w:val="single" w:sz="8" w:color="0000EE"/>
            </w:tcBorders>
            <w:gridSpan w:val="4"/>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Certification of Principal Financial Officer, Pursuant to Rule 13a-14(a) of the Securities Exchange Act of 1934, Adopted</w:t>
              </w:r>
            </w:hyperlink>
          </w:p>
        </w:tc>
        <w:tc>
          <w:tcPr>
            <w:tcW w:w="480" w:type="dxa"/>
            <w:vAlign w:val="bottom"/>
            <w:gridSpan w:val="3"/>
          </w:tcPr>
          <w:p>
            <w:pPr>
              <w:spacing w:after="0"/>
              <w:rPr>
                <w:sz w:val="24"/>
                <w:szCs w:val="24"/>
                <w:color w:val="auto"/>
              </w:rPr>
            </w:pPr>
          </w:p>
        </w:tc>
      </w:tr>
      <w:tr>
        <w:trPr>
          <w:trHeight w:val="209"/>
        </w:trPr>
        <w:tc>
          <w:tcPr>
            <w:tcW w:w="920" w:type="dxa"/>
            <w:vAlign w:val="bottom"/>
          </w:tcPr>
          <w:p>
            <w:pPr>
              <w:spacing w:after="0"/>
              <w:rPr>
                <w:sz w:val="18"/>
                <w:szCs w:val="18"/>
                <w:color w:val="auto"/>
              </w:rPr>
            </w:pPr>
          </w:p>
        </w:tc>
        <w:tc>
          <w:tcPr>
            <w:tcW w:w="4360" w:type="dxa"/>
            <w:vAlign w:val="bottom"/>
            <w:tcBorders>
              <w:bottom w:val="single" w:sz="8" w:color="0000EE"/>
            </w:tcBorders>
            <w:gridSpan w:val="3"/>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Pursuant to Section 302 of the Sarbanes-Oxley Act of 2002.*</w:t>
              </w:r>
            </w:hyperlink>
          </w:p>
        </w:tc>
        <w:tc>
          <w:tcPr>
            <w:tcW w:w="4600" w:type="dxa"/>
            <w:vAlign w:val="bottom"/>
            <w:gridSpan w:val="4"/>
          </w:tcPr>
          <w:p>
            <w:pPr>
              <w:spacing w:after="0"/>
              <w:rPr>
                <w:sz w:val="18"/>
                <w:szCs w:val="18"/>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32.1</w:t>
            </w:r>
          </w:p>
        </w:tc>
        <w:tc>
          <w:tcPr>
            <w:tcW w:w="8960" w:type="dxa"/>
            <w:vAlign w:val="bottom"/>
            <w:tcBorders>
              <w:bottom w:val="single" w:sz="8" w:color="0000EE"/>
            </w:tcBorders>
            <w:gridSpan w:val="7"/>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Certifications Pursuant to 18 U.S.C. Section 1350, as adopted pursuant to Section 906 of the Sarbanes-Oxley Act of 2002.* †</w:t>
              </w:r>
            </w:hyperlink>
          </w:p>
        </w:tc>
      </w:tr>
    </w:tbl>
    <w:p>
      <w:pPr>
        <w:spacing w:after="0" w:line="393" w:lineRule="exact"/>
        <w:rPr>
          <w:sz w:val="20"/>
          <w:szCs w:val="20"/>
          <w:color w:val="auto"/>
        </w:rPr>
      </w:pPr>
    </w:p>
    <w:p>
      <w:pPr>
        <w:ind w:left="920" w:right="240" w:hanging="911"/>
        <w:spacing w:after="0" w:line="313" w:lineRule="auto"/>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Inline XBRL Document Set for the condensed consolidated financial statements and accompanying notes in Part I, Item 1, “Financial Statements” of this Quarterly Report on Form 10-Q.*</w:t>
      </w:r>
    </w:p>
    <w:p>
      <w:pPr>
        <w:spacing w:after="0" w:line="317" w:lineRule="exact"/>
        <w:rPr>
          <w:sz w:val="20"/>
          <w:szCs w:val="20"/>
          <w:color w:val="auto"/>
        </w:rPr>
      </w:pPr>
    </w:p>
    <w:p>
      <w:pPr>
        <w:ind w:left="920" w:right="320" w:hanging="911"/>
        <w:spacing w:after="0" w:line="313" w:lineRule="auto"/>
        <w:tabs>
          <w:tab w:leader="none" w:pos="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Inline XBRL for the cover page of this Quarterly Report on Form 10-Q, included in the Exhibit 101 Inline XBRL Document Set.*</w:t>
      </w:r>
    </w:p>
    <w:p>
      <w:pPr>
        <w:spacing w:after="0" w:line="30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-237490</wp:posOffset>
            </wp:positionV>
            <wp:extent cx="15684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15"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Pursuant to Securities and Exchange Commission Release No. 33-8238, this certification will be treated as “accompanying” this</w:t>
      </w:r>
    </w:p>
    <w:p>
      <w:pPr>
        <w:spacing w:after="0" w:line="18"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6"/>
          <w:szCs w:val="16"/>
          <w:color w:val="auto"/>
        </w:rPr>
        <w:t>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SIGNATURES</w:t>
      </w:r>
    </w:p>
    <w:p>
      <w:pPr>
        <w:spacing w:after="0" w:line="25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 and the undersigned also has signed this report in her capacity as the Registrant’s Chief Financial Officer (Principal Financial Officer).</w:t>
      </w:r>
    </w:p>
    <w:p>
      <w:pPr>
        <w:spacing w:after="0" w:line="200" w:lineRule="exact"/>
        <w:rPr>
          <w:sz w:val="20"/>
          <w:szCs w:val="20"/>
          <w:color w:val="auto"/>
        </w:rPr>
      </w:pPr>
    </w:p>
    <w:p>
      <w:pPr>
        <w:spacing w:after="0" w:line="270"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CITI TRENDS, INC.</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Date: December 8, 2021</w:t>
      </w:r>
    </w:p>
    <w:p>
      <w:pPr>
        <w:spacing w:after="0" w:line="356" w:lineRule="exact"/>
        <w:rPr>
          <w:sz w:val="20"/>
          <w:szCs w:val="20"/>
          <w:color w:val="auto"/>
        </w:rPr>
      </w:pPr>
    </w:p>
    <w:tbl>
      <w:tblPr>
        <w:tblLayout w:type="fixed"/>
        <w:tblInd w:w="4980" w:type="dxa"/>
        <w:tblCellMar>
          <w:top w:w="0" w:type="dxa"/>
          <w:left w:w="0" w:type="dxa"/>
          <w:bottom w:w="0" w:type="dxa"/>
          <w:right w:w="0" w:type="dxa"/>
        </w:tblCellMar>
      </w:tblP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Pr>
          <w:p>
            <w:pPr>
              <w:spacing w:after="0"/>
              <w:rPr>
                <w:sz w:val="20"/>
                <w:szCs w:val="20"/>
                <w:color w:val="auto"/>
              </w:rPr>
            </w:pPr>
            <w:r>
              <w:rPr>
                <w:rFonts w:ascii="Arial" w:cs="Arial" w:eastAsia="Arial" w:hAnsi="Arial"/>
                <w:sz w:val="16"/>
                <w:szCs w:val="16"/>
                <w:color w:val="auto"/>
              </w:rPr>
              <w:t>/s/ Pamela J. Edwards</w:t>
            </w:r>
          </w:p>
        </w:tc>
        <w:tc>
          <w:tcPr>
            <w:tcW w:w="0" w:type="dxa"/>
            <w:vAlign w:val="bottom"/>
          </w:tcPr>
          <w:p>
            <w:pPr>
              <w:spacing w:after="0"/>
              <w:rPr>
                <w:sz w:val="1"/>
                <w:szCs w:val="1"/>
                <w:color w:val="auto"/>
              </w:rPr>
            </w:pPr>
          </w:p>
        </w:tc>
      </w:tr>
      <w:tr>
        <w:trPr>
          <w:trHeight w:val="60"/>
        </w:trPr>
        <w:tc>
          <w:tcPr>
            <w:tcW w:w="72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4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0" w:type="dxa"/>
            <w:vAlign w:val="bottom"/>
            <w:vMerge w:val="continue"/>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Pamela J. Edwards</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0"/>
                <w:szCs w:val="20"/>
                <w:color w:val="auto"/>
              </w:rPr>
            </w:pPr>
            <w:r>
              <w:rPr>
                <w:rFonts w:ascii="Arial" w:cs="Arial" w:eastAsia="Arial" w:hAnsi="Arial"/>
                <w:sz w:val="16"/>
                <w:szCs w:val="16"/>
                <w:color w:val="auto"/>
              </w:rPr>
              <w:t>Title:</w:t>
            </w:r>
          </w:p>
        </w:tc>
        <w:tc>
          <w:tcPr>
            <w:tcW w:w="422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David N. Makuen, certify that:</w:t>
      </w:r>
    </w:p>
    <w:p>
      <w:pPr>
        <w:spacing w:after="0" w:line="194"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October 30, 2021 of Citi Trends, Inc.;</w:t>
      </w:r>
    </w:p>
    <w:p>
      <w:pPr>
        <w:spacing w:after="0" w:line="194" w:lineRule="exact"/>
        <w:rPr>
          <w:rFonts w:ascii="Arial" w:cs="Arial" w:eastAsia="Arial" w:hAnsi="Arial"/>
          <w:sz w:val="16"/>
          <w:szCs w:val="16"/>
          <w:color w:val="auto"/>
        </w:rPr>
      </w:pPr>
    </w:p>
    <w:p>
      <w:pPr>
        <w:ind w:left="660" w:right="140" w:hanging="652"/>
        <w:spacing w:after="0" w:line="253"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6"/>
          <w:szCs w:val="16"/>
          <w:color w:val="auto"/>
        </w:rPr>
      </w:pPr>
    </w:p>
    <w:p>
      <w:pPr>
        <w:ind w:left="660" w:right="460" w:hanging="652"/>
        <w:spacing w:after="0" w:line="253"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left="660" w:right="40" w:hanging="652"/>
        <w:spacing w:after="0" w:line="253"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1300" w:right="160" w:hanging="644"/>
        <w:spacing w:after="0" w:line="251"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6"/>
          <w:szCs w:val="16"/>
          <w:color w:val="auto"/>
        </w:rPr>
      </w:pPr>
    </w:p>
    <w:p>
      <w:pPr>
        <w:ind w:left="1300" w:right="160" w:hanging="644"/>
        <w:spacing w:after="0" w:line="253"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1300" w:right="240" w:hanging="644"/>
        <w:spacing w:after="0" w:line="253"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6"/>
          <w:szCs w:val="16"/>
          <w:color w:val="auto"/>
        </w:rPr>
      </w:pPr>
    </w:p>
    <w:p>
      <w:pPr>
        <w:ind w:left="1300" w:hanging="644"/>
        <w:spacing w:after="0" w:line="253"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660" w:right="40" w:hanging="652"/>
        <w:spacing w:after="0" w:line="253"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6"/>
          <w:szCs w:val="16"/>
          <w:color w:val="auto"/>
        </w:rPr>
      </w:pPr>
    </w:p>
    <w:p>
      <w:pPr>
        <w:jc w:val="both"/>
        <w:ind w:left="1300" w:right="80" w:hanging="644"/>
        <w:spacing w:after="0" w:line="253"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6"/>
          <w:szCs w:val="16"/>
          <w:color w:val="auto"/>
        </w:rPr>
      </w:pPr>
    </w:p>
    <w:p>
      <w:pPr>
        <w:ind w:left="1300" w:right="380" w:hanging="644"/>
        <w:spacing w:after="0" w:line="260"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December 8, 2021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231F20"/>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33775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231F20"/>
        </w:rPr>
        <w:t>David N. Makuen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 w:name="page22"/>
    <w:bookmarkEnd w:id="21"/>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Pamela J. Edwards, certify that:</w:t>
      </w:r>
    </w:p>
    <w:p>
      <w:pPr>
        <w:spacing w:after="0" w:line="19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October 30, 2021 of Citi Trends, Inc.;</w:t>
      </w:r>
    </w:p>
    <w:p>
      <w:pPr>
        <w:spacing w:after="0" w:line="194" w:lineRule="exact"/>
        <w:rPr>
          <w:rFonts w:ascii="Arial" w:cs="Arial" w:eastAsia="Arial" w:hAnsi="Arial"/>
          <w:sz w:val="16"/>
          <w:szCs w:val="16"/>
          <w:color w:val="auto"/>
        </w:rPr>
      </w:pPr>
    </w:p>
    <w:p>
      <w:pPr>
        <w:ind w:left="660" w:right="140" w:hanging="652"/>
        <w:spacing w:after="0" w:line="253"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6"/>
          <w:szCs w:val="16"/>
          <w:color w:val="auto"/>
        </w:rPr>
      </w:pPr>
    </w:p>
    <w:p>
      <w:pPr>
        <w:ind w:left="660" w:right="460" w:hanging="652"/>
        <w:spacing w:after="0" w:line="253"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left="660" w:right="40" w:hanging="652"/>
        <w:spacing w:after="0" w:line="253"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1300" w:right="160" w:hanging="644"/>
        <w:spacing w:after="0" w:line="251"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6"/>
          <w:szCs w:val="16"/>
          <w:color w:val="auto"/>
        </w:rPr>
      </w:pPr>
    </w:p>
    <w:p>
      <w:pPr>
        <w:ind w:left="1300" w:right="160" w:hanging="644"/>
        <w:spacing w:after="0" w:line="253"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1300" w:right="240" w:hanging="644"/>
        <w:spacing w:after="0" w:line="253"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6"/>
          <w:szCs w:val="16"/>
          <w:color w:val="auto"/>
        </w:rPr>
      </w:pPr>
    </w:p>
    <w:p>
      <w:pPr>
        <w:ind w:left="1300" w:hanging="644"/>
        <w:spacing w:after="0" w:line="253"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660" w:right="40" w:hanging="652"/>
        <w:spacing w:after="0" w:line="253"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6"/>
          <w:szCs w:val="16"/>
          <w:color w:val="auto"/>
        </w:rPr>
      </w:pPr>
    </w:p>
    <w:p>
      <w:pPr>
        <w:jc w:val="both"/>
        <w:ind w:left="1300" w:right="80" w:hanging="644"/>
        <w:spacing w:after="0" w:line="253"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6"/>
          <w:szCs w:val="16"/>
          <w:color w:val="auto"/>
        </w:rPr>
      </w:pPr>
    </w:p>
    <w:p>
      <w:pPr>
        <w:ind w:left="1300" w:right="380" w:hanging="644"/>
        <w:spacing w:after="0" w:line="260"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December 8, 2021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Pamela J.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33775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Pamela J. Edwards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 w:name="page23"/>
    <w:bookmarkEnd w:id="22"/>
    <w:p>
      <w:pPr>
        <w:jc w:val="right"/>
        <w:ind w:right="59"/>
        <w:spacing w:after="0"/>
        <w:rPr>
          <w:sz w:val="20"/>
          <w:szCs w:val="20"/>
          <w:color w:val="auto"/>
        </w:rPr>
      </w:pPr>
      <w:r>
        <w:rPr>
          <w:rFonts w:ascii="Arial" w:cs="Arial" w:eastAsia="Arial" w:hAnsi="Arial"/>
          <w:sz w:val="16"/>
          <w:szCs w:val="16"/>
          <w:b w:val="1"/>
          <w:bCs w:val="1"/>
          <w:color w:val="auto"/>
        </w:rPr>
        <w:t>Exhibit 32.1</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Certifications pursuant to Section 906 of the Sarbanes-Oxley Act of 2002 (18 U.S.C. § 1350, as adopted).</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David N. Makuen, Chief Executive Officer of Citi Trends, Inc.,</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Pamela J. Edwards, Chief Financial officer of Citi Trends, Inc., certify that:</w:t>
      </w:r>
    </w:p>
    <w:p>
      <w:pPr>
        <w:spacing w:after="0" w:line="194" w:lineRule="exact"/>
        <w:rPr>
          <w:sz w:val="20"/>
          <w:szCs w:val="20"/>
          <w:color w:val="auto"/>
        </w:rPr>
      </w:pPr>
    </w:p>
    <w:p>
      <w:pPr>
        <w:ind w:left="220" w:hanging="176"/>
        <w:spacing w:after="0"/>
        <w:tabs>
          <w:tab w:leader="none" w:pos="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reviewed this quarterly report on Form 10-Q of Citi Trends, Inc. for the period ended October 30, 2021;</w:t>
      </w:r>
    </w:p>
    <w:p>
      <w:pPr>
        <w:spacing w:after="0" w:line="194" w:lineRule="exact"/>
        <w:rPr>
          <w:rFonts w:ascii="Arial" w:cs="Arial" w:eastAsia="Arial" w:hAnsi="Arial"/>
          <w:sz w:val="16"/>
          <w:szCs w:val="16"/>
          <w:color w:val="auto"/>
        </w:rPr>
      </w:pPr>
    </w:p>
    <w:p>
      <w:pPr>
        <w:ind w:left="40" w:right="79" w:firstLine="4"/>
        <w:spacing w:after="0" w:line="260" w:lineRule="auto"/>
        <w:tabs>
          <w:tab w:leader="none" w:pos="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our knowledge, this quarterly report fully complies with the requirements of Section 13(a) or Section 15(d) of the Securities Exchange Act of 1934, as amended; and</w:t>
      </w:r>
    </w:p>
    <w:p>
      <w:pPr>
        <w:spacing w:after="0" w:line="168" w:lineRule="exact"/>
        <w:rPr>
          <w:rFonts w:ascii="Arial" w:cs="Arial" w:eastAsia="Arial" w:hAnsi="Arial"/>
          <w:sz w:val="16"/>
          <w:szCs w:val="16"/>
          <w:color w:val="auto"/>
        </w:rPr>
      </w:pPr>
    </w:p>
    <w:p>
      <w:pPr>
        <w:jc w:val="both"/>
        <w:ind w:left="40" w:right="139" w:firstLine="4"/>
        <w:spacing w:after="0" w:line="253" w:lineRule="auto"/>
        <w:tabs>
          <w:tab w:leader="none" w:pos="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77"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Date: December 8, 2021</w:t>
      </w:r>
    </w:p>
    <w:p>
      <w:pPr>
        <w:spacing w:after="0" w:line="397"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10795</wp:posOffset>
            </wp:positionV>
            <wp:extent cx="29832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David N. Makuen</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Chief Executive Officer</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(Principal Executive Officer)</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Date: December 8, 2021</w:t>
      </w:r>
    </w:p>
    <w:p>
      <w:pPr>
        <w:spacing w:after="0" w:line="397"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Pamela J.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10795</wp:posOffset>
            </wp:positionV>
            <wp:extent cx="29832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Pamela J. Edwards</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Chief Financial Officer</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(Principal Financial Officer)</w:t>
      </w:r>
    </w:p>
    <w:p>
      <w:pPr>
        <w:spacing w:after="0" w:line="397" w:lineRule="exact"/>
        <w:rPr>
          <w:sz w:val="20"/>
          <w:szCs w:val="20"/>
          <w:color w:val="auto"/>
        </w:rPr>
      </w:pPr>
    </w:p>
    <w:p>
      <w:pPr>
        <w:ind w:left="40" w:right="99"/>
        <w:spacing w:after="0" w:line="260" w:lineRule="auto"/>
        <w:rPr>
          <w:sz w:val="20"/>
          <w:szCs w:val="20"/>
          <w:color w:val="auto"/>
        </w:rPr>
      </w:pPr>
      <w:r>
        <w:rPr>
          <w:rFonts w:ascii="Arial" w:cs="Arial" w:eastAsia="Arial" w:hAnsi="Arial"/>
          <w:sz w:val="16"/>
          <w:szCs w:val="16"/>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328295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7"/>
    </w:lvl>
  </w:abstractNum>
  <w:abstractNum w:abstractNumId="7">
    <w:nsid w:val="DED7263"/>
    <w:multiLevelType w:val="hybridMultilevel"/>
    <w:lvl w:ilvl="0">
      <w:lvlJc w:val="left"/>
      <w:lvlText w:val="%1."/>
      <w:numFmt w:val="decimal"/>
      <w:start w:val="8"/>
    </w:lvl>
  </w:abstractNum>
  <w:abstractNum w:abstractNumId="8">
    <w:nsid w:val="7FDCC233"/>
    <w:multiLevelType w:val="hybridMultilevel"/>
    <w:lvl w:ilvl="0">
      <w:lvlJc w:val="left"/>
      <w:lvlText w:val="%1."/>
      <w:numFmt w:val="decimal"/>
      <w:start w:val="9"/>
    </w:lvl>
  </w:abstractNum>
  <w:abstractNum w:abstractNumId="9">
    <w:nsid w:val="1BEFD79F"/>
    <w:multiLevelType w:val="hybridMultilevel"/>
    <w:lvl w:ilvl="0">
      <w:lvlJc w:val="left"/>
      <w:lvlText w:val="%1."/>
      <w:numFmt w:val="decimal"/>
      <w:start w:val="10"/>
    </w:lvl>
  </w:abstractNum>
  <w:abstractNum w:abstractNumId="10">
    <w:nsid w:val="41A7C4C9"/>
    <w:multiLevelType w:val="hybridMultilevel"/>
    <w:lvl w:ilvl="0">
      <w:lvlJc w:val="left"/>
      <w:lvlText w:val="%1."/>
      <w:numFmt w:val="decimal"/>
      <w:start w:val="11"/>
    </w:lvl>
  </w:abstractNum>
  <w:abstractNum w:abstractNumId="11">
    <w:nsid w:val="6B68079A"/>
    <w:multiLevelType w:val="hybridMultilevel"/>
    <w:lvl w:ilvl="0">
      <w:lvlJc w:val="left"/>
      <w:lvlText w:val="%1."/>
      <w:numFmt w:val="decimal"/>
      <w:start w:val="12"/>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01"/>
    </w:lvl>
  </w:abstractNum>
  <w:abstractNum w:abstractNumId="15">
    <w:nsid w:val="431BD7B7"/>
    <w:multiLevelType w:val="hybridMultilevel"/>
    <w:lvl w:ilvl="0">
      <w:lvlJc w:val="left"/>
      <w:lvlText w:val="*"/>
      <w:numFmt w:val="bullet"/>
      <w:start w:val="1"/>
    </w:lvl>
    <w:lvl w:ilvl="1">
      <w:lvlJc w:val="left"/>
      <w:lvlText w:val="%2"/>
      <w:numFmt w:val="decimal"/>
      <w:start w:val="104"/>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30" Type="http://schemas.openxmlformats.org/officeDocument/2006/relationships/hyperlink" Target="http://www.sec.gov/Archives/edgar/data/1318484/000110465918038871/a18-15022_1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2021-12-08T12:10:08Z</dcterms:created>
  <dcterms:modified xsi:type="dcterms:W3CDTF">2021-12-08T12:10:08Z</dcterms:modified>
</cp:coreProperties>
</file>