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trn-20240803x10q.htm"/>
        <w:bookmarkStart w:id="1" w:name="ksctrn20240803x10q"/>
        <w:bookmarkEnd w:id="0"/>
        <w:bookmarkEnd w:id="1"/>
        <w:r>
          <w:rPr>
            <w:rStyle w:val="InternetLink"/>
            <w:rFonts w:ascii="Arial;Helvetica;sans-serif" w:hAnsi="Arial;Helvetica;sans-serif"/>
            <w:b w:val="false"/>
            <w:i w:val="false"/>
            <w:caps w:val="false"/>
            <w:smallCaps w:val="false"/>
            <w:sz w:val="20"/>
          </w:rPr>
          <w:t>Table of Contents</w:t>
        </w:r>
      </w:hyperlink>
    </w:p>
    <w:p>
      <w:pPr>
        <w:pStyle w:val="TextBody"/>
        <w:pBdr>
          <w:top w:val="single" w:sz="8" w:space="1" w:color="000000"/>
        </w:pBdr>
        <w:bidi w:val="0"/>
        <w:spacing w:lineRule="atLeast" w:line="142" w:before="0" w:after="0"/>
        <w:ind w:left="0" w:right="0" w:hanging="0"/>
        <w:jc w:val="center"/>
        <w:rPr>
          <w:bdr w:val="single" w:sz="24" w:space="1" w:color="000000"/>
        </w:rPr>
      </w:pPr>
      <w:bookmarkStart w:id="2" w:name="_01c6c6bc_c27d_4d8e_93f6_70c2fdf7e56c"/>
      <w:bookmarkEnd w:id="2"/>
      <w:r>
        <w:rPr>
          <w:bdr w:val="single" w:sz="24" w:space="1" w:color="000000"/>
        </w:rPr>
        <w:t>​</w:t>
      </w:r>
    </w:p>
    <w:p>
      <w:pPr>
        <w:pStyle w:val="TextBody"/>
        <w:bidi w:val="0"/>
        <w:spacing w:before="0" w:after="0"/>
        <w:ind w:left="0" w:right="0" w:hanging="0"/>
        <w:jc w:val="center"/>
        <w:rPr>
          <w:rFonts w:ascii="Helvetica" w:hAnsi="Helvetica"/>
          <w:b/>
          <w:sz w:val="18"/>
        </w:rPr>
      </w:pPr>
      <w:r>
        <w:rPr>
          <w:rFonts w:ascii="Helvetica" w:hAnsi="Helvetica"/>
          <w:b/>
          <w:sz w:val="18"/>
        </w:rPr>
        <w:t>UNITED STATES</w:t>
      </w:r>
    </w:p>
    <w:p>
      <w:pPr>
        <w:pStyle w:val="TextBody"/>
        <w:bidi w:val="0"/>
        <w:spacing w:before="0" w:after="0"/>
        <w:ind w:left="0" w:right="0" w:hanging="0"/>
        <w:jc w:val="center"/>
        <w:rPr>
          <w:rFonts w:ascii="Helvetica" w:hAnsi="Helvetica"/>
          <w:b/>
          <w:sz w:val="18"/>
        </w:rPr>
      </w:pPr>
      <w:r>
        <w:rPr>
          <w:rFonts w:ascii="Helvetica" w:hAnsi="Helvetica"/>
          <w:b/>
          <w:sz w:val="18"/>
        </w:rPr>
        <w:t>SECURITIES AND EXCHANGE COMMISSION</w:t>
      </w:r>
    </w:p>
    <w:p>
      <w:pPr>
        <w:pStyle w:val="TextBody"/>
        <w:bidi w:val="0"/>
        <w:spacing w:before="0" w:after="0"/>
        <w:ind w:left="0" w:right="0" w:hanging="0"/>
        <w:jc w:val="center"/>
        <w:rPr>
          <w:rFonts w:ascii="Helvetica" w:hAnsi="Helvetica"/>
          <w:b/>
          <w:sz w:val="18"/>
        </w:rPr>
      </w:pPr>
      <w:r>
        <w:rPr>
          <w:rFonts w:ascii="Helvetica" w:hAnsi="Helvetica"/>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Form 10-Q</w:t>
      </w:r>
    </w:p>
    <w:p>
      <w:pPr>
        <w:pStyle w:val="TextBody"/>
        <w:bidi w:val="0"/>
        <w:spacing w:before="0" w:after="0"/>
        <w:ind w:left="0" w:right="0" w:hanging="0"/>
        <w:jc w:val="left"/>
        <w:rPr>
          <w:rFonts w:ascii="Helvetica" w:hAnsi="Helvetica"/>
          <w:b/>
          <w:sz w:val="18"/>
        </w:rPr>
      </w:pPr>
      <w:r>
        <w:rPr>
          <w:rFonts w:ascii="Helvetica" w:hAnsi="Helvetica"/>
          <w:b/>
          <w:sz w:val="18"/>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4zuuctMLQ06nhThQ7_7GIA_2_1"/>
      <w:bookmarkStart w:id="4" w:name="_fabaf1e0_5e26_402c_9faf_7fe08f0c8f53"/>
      <w:bookmarkStart w:id="5" w:name="Tc_4zuuctMLQ06nhThQ7_7GIA_2_1"/>
      <w:bookmarkStart w:id="6" w:name="_fabaf1e0_5e26_402c_9faf_7fe08f0c8f53"/>
      <w:bookmarkEnd w:id="5"/>
      <w:bookmarkEnd w:id="6"/>
    </w:p>
    <w:tbl>
      <w:tblPr>
        <w:tblW w:w="9707" w:type="dxa"/>
        <w:jc w:val="left"/>
        <w:tblInd w:w="0" w:type="dxa"/>
        <w:tblLayout w:type="fixed"/>
        <w:tblCellMar>
          <w:top w:w="0" w:type="dxa"/>
          <w:left w:w="0" w:type="dxa"/>
          <w:bottom w:w="0" w:type="dxa"/>
          <w:right w:w="0" w:type="dxa"/>
        </w:tblCellMar>
      </w:tblPr>
      <w:tblGrid>
        <w:gridCol w:w="331"/>
        <w:gridCol w:w="9376"/>
      </w:tblGrid>
      <w:tr>
        <w:trPr/>
        <w:tc>
          <w:tcPr>
            <w:tcW w:w="331"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37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376" w:type="dxa"/>
            <w:tcBorders/>
            <w:vAlign w:val="center"/>
          </w:tcPr>
          <w:p>
            <w:pPr>
              <w:pStyle w:val="TableContents"/>
              <w:bidi w:val="0"/>
              <w:spacing w:before="0" w:after="0"/>
              <w:ind w:left="0" w:right="0" w:hanging="0"/>
              <w:jc w:val="left"/>
              <w:rPr>
                <w:rFonts w:ascii="Helvetica" w:hAnsi="Helvetica"/>
                <w:b/>
                <w:sz w:val="18"/>
              </w:rPr>
            </w:pPr>
            <w:r>
              <w:rPr>
                <w:rFonts w:ascii="Helvetica" w:hAnsi="Helvetica"/>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For the quarterly period ended August 3, 2024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IVMuXHCEHECAGDrtKd9JQQ_2_1"/>
      <w:bookmarkStart w:id="8" w:name="_9a8a90e3_8276_4786_8a88_4e892c696804"/>
      <w:bookmarkStart w:id="9" w:name="Tc_IVMuXHCEHECAGDrtKd9JQQ_2_1"/>
      <w:bookmarkStart w:id="10" w:name="_9a8a90e3_8276_4786_8a88_4e892c696804"/>
      <w:bookmarkEnd w:id="9"/>
      <w:bookmarkEnd w:id="10"/>
    </w:p>
    <w:tbl>
      <w:tblPr>
        <w:tblW w:w="9677" w:type="dxa"/>
        <w:jc w:val="left"/>
        <w:tblInd w:w="0" w:type="dxa"/>
        <w:tblLayout w:type="fixed"/>
        <w:tblCellMar>
          <w:top w:w="0" w:type="dxa"/>
          <w:left w:w="0" w:type="dxa"/>
          <w:bottom w:w="0" w:type="dxa"/>
          <w:right w:w="0" w:type="dxa"/>
        </w:tblCellMar>
      </w:tblPr>
      <w:tblGrid>
        <w:gridCol w:w="331"/>
        <w:gridCol w:w="9346"/>
      </w:tblGrid>
      <w:tr>
        <w:trPr/>
        <w:tc>
          <w:tcPr>
            <w:tcW w:w="331"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34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346" w:type="dxa"/>
            <w:tcBorders/>
            <w:vAlign w:val="center"/>
          </w:tcPr>
          <w:p>
            <w:pPr>
              <w:pStyle w:val="TableContents"/>
              <w:bidi w:val="0"/>
              <w:spacing w:before="0" w:after="0"/>
              <w:ind w:left="0" w:right="0" w:hanging="0"/>
              <w:jc w:val="left"/>
              <w:rPr>
                <w:rFonts w:ascii="Helvetica" w:hAnsi="Helvetica"/>
                <w:b/>
                <w:sz w:val="18"/>
              </w:rPr>
            </w:pPr>
            <w:r>
              <w:rPr>
                <w:rFonts w:ascii="Helvetica" w:hAnsi="Helvetica"/>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Commission File Number 000-41886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CITI TRENDS, INC.</w:t>
      </w:r>
    </w:p>
    <w:p>
      <w:pPr>
        <w:pStyle w:val="TextBody"/>
        <w:bidi w:val="0"/>
        <w:spacing w:before="0" w:after="0"/>
        <w:ind w:left="0" w:right="0" w:hanging="0"/>
        <w:jc w:val="center"/>
        <w:rPr>
          <w:rFonts w:ascii="Helvetica" w:hAnsi="Helvetica"/>
          <w:sz w:val="18"/>
        </w:rPr>
      </w:pPr>
      <w:r>
        <w:rPr>
          <w:rFonts w:ascii="Helvetica" w:hAnsi="Helvetica"/>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fK9PxeBj9Umif2fjlhTzDQ_8_2"/>
      <w:bookmarkStart w:id="12" w:name="Tc_kpPbHy3gv0SuuooVNEhEpA_8_0"/>
      <w:bookmarkStart w:id="13" w:name="Tc_9SiqR8qozUaKrjvVU5uhcg_7_0"/>
      <w:bookmarkStart w:id="14" w:name="Tc_fMoNMFdUJkSA42CKqfkH7g_4_2"/>
      <w:bookmarkStart w:id="15" w:name="Tc_tH5hzEwt1kqrfpF36f4GoQ_4_0"/>
      <w:bookmarkStart w:id="16" w:name="Tc_eaRp00UY7EGkr5meZ14oPA_3_2"/>
      <w:bookmarkStart w:id="17" w:name="Tc_AJw_xWsrwUSX5OtcIa8KQQ_3_0"/>
      <w:bookmarkStart w:id="18" w:name="_d745f2b6_174a_46c8_960c_f5f10a1fb466"/>
      <w:bookmarkStart w:id="19" w:name="Tc_fK9PxeBj9Umif2fjlhTzDQ_8_2"/>
      <w:bookmarkStart w:id="20" w:name="Tc_kpPbHy3gv0SuuooVNEhEpA_8_0"/>
      <w:bookmarkStart w:id="21" w:name="Tc_9SiqR8qozUaKrjvVU5uhcg_7_0"/>
      <w:bookmarkStart w:id="22" w:name="Tc_fMoNMFdUJkSA42CKqfkH7g_4_2"/>
      <w:bookmarkStart w:id="23" w:name="Tc_tH5hzEwt1kqrfpF36f4GoQ_4_0"/>
      <w:bookmarkStart w:id="24" w:name="Tc_eaRp00UY7EGkr5meZ14oPA_3_2"/>
      <w:bookmarkStart w:id="25" w:name="Tc_AJw_xWsrwUSX5OtcIa8KQQ_3_0"/>
      <w:bookmarkStart w:id="26" w:name="_d745f2b6_174a_46c8_960c_f5f10a1fb466"/>
      <w:bookmarkEnd w:id="19"/>
      <w:bookmarkEnd w:id="20"/>
      <w:bookmarkEnd w:id="21"/>
      <w:bookmarkEnd w:id="22"/>
      <w:bookmarkEnd w:id="23"/>
      <w:bookmarkEnd w:id="24"/>
      <w:bookmarkEnd w:id="25"/>
      <w:bookmarkEnd w:id="26"/>
    </w:p>
    <w:tbl>
      <w:tblPr>
        <w:tblW w:w="4941" w:type="dxa"/>
        <w:jc w:val="left"/>
        <w:tblInd w:w="0" w:type="dxa"/>
        <w:tblLayout w:type="fixed"/>
        <w:tblCellMar>
          <w:top w:w="0" w:type="dxa"/>
          <w:left w:w="0" w:type="dxa"/>
          <w:bottom w:w="0" w:type="dxa"/>
          <w:right w:w="0" w:type="dxa"/>
        </w:tblCellMar>
      </w:tblPr>
      <w:tblGrid>
        <w:gridCol w:w="3256"/>
        <w:gridCol w:w="109"/>
        <w:gridCol w:w="1576"/>
      </w:tblGrid>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Delaware</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52-2150697</w:t>
            </w:r>
          </w:p>
        </w:tc>
      </w:tr>
      <w:tr>
        <w:trPr/>
        <w:tc>
          <w:tcPr>
            <w:tcW w:w="325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(State or other jurisdiction of</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(I.R.S. Employer</w:t>
            </w:r>
          </w:p>
        </w:tc>
      </w:tr>
      <w:tr>
        <w:trPr/>
        <w:tc>
          <w:tcPr>
            <w:tcW w:w="325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incorporation or organization)</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Identification No.)</w:t>
            </w:r>
          </w:p>
        </w:tc>
      </w:tr>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104 Coleman Boulevard</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Savannah, Georgia</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31408</w:t>
            </w:r>
          </w:p>
        </w:tc>
      </w:tr>
      <w:tr>
        <w:trPr/>
        <w:tc>
          <w:tcPr>
            <w:tcW w:w="325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Helvetica" w:hAnsi="Helvetica"/>
                <w:sz w:val="18"/>
              </w:rPr>
            </w:pPr>
            <w:r>
              <w:rPr>
                <w:rFonts w:ascii="Helvetica" w:hAnsi="Helvetica"/>
                <w:sz w:val="18"/>
              </w:rPr>
              <w:t>(Zip Code)</w:t>
            </w:r>
          </w:p>
        </w:tc>
      </w:tr>
    </w:tbl>
    <w:p>
      <w:pPr>
        <w:pStyle w:val="TextBody"/>
        <w:bidi w:val="0"/>
        <w:spacing w:before="0" w:after="0"/>
        <w:ind w:left="0" w:right="0" w:hanging="0"/>
        <w:jc w:val="left"/>
        <w:rPr/>
      </w:pPr>
      <w:r>
        <w:rPr/>
        <w:t>​</w:t>
      </w:r>
    </w:p>
    <w:p>
      <w:pPr>
        <w:pStyle w:val="TextBody"/>
        <w:bidi w:val="0"/>
        <w:spacing w:lineRule="auto" w:line="307" w:before="0" w:after="0"/>
        <w:ind w:left="0" w:right="0" w:hanging="0"/>
        <w:jc w:val="center"/>
        <w:rPr>
          <w:rFonts w:ascii="Times New Roman;Times;serif" w:hAnsi="Times New Roman;Times;serif"/>
          <w:sz w:val="20"/>
        </w:rPr>
      </w:pPr>
      <w:r>
        <w:rPr>
          <w:rFonts w:ascii="Helvetica" w:hAnsi="Helvetica"/>
          <w:sz w:val="18"/>
        </w:rPr>
        <w:t>Registrant</w:t>
      </w:r>
      <w:r>
        <w:rPr>
          <w:rFonts w:ascii="Times New Roman;Times;serif" w:hAnsi="Times New Roman;Times;serif"/>
          <w:sz w:val="20"/>
        </w:rPr>
        <w:t>’</w:t>
      </w:r>
      <w:r>
        <w:rPr>
          <w:rFonts w:ascii="Helvetica" w:hAnsi="Helvetica"/>
          <w:sz w:val="18"/>
        </w:rPr>
        <w:t>s telephone number, including area code (</w:t>
      </w:r>
      <w:r>
        <w:rPr>
          <w:rFonts w:ascii="Helvetica" w:hAnsi="Helvetica"/>
          <w:b/>
          <w:sz w:val="18"/>
        </w:rPr>
        <w:t>912) 236-1561</w:t>
      </w:r>
    </w:p>
    <w:p>
      <w:pPr>
        <w:pStyle w:val="TextBody"/>
        <w:bidi w:val="0"/>
        <w:spacing w:lineRule="auto" w:line="307" w:before="0" w:after="0"/>
        <w:ind w:left="0" w:right="0" w:hanging="0"/>
        <w:jc w:val="center"/>
        <w:rPr/>
      </w:pPr>
      <w:r>
        <w:rPr/>
        <w:t>​</w:t>
      </w:r>
    </w:p>
    <w:p>
      <w:pPr>
        <w:pStyle w:val="TextBody"/>
        <w:bidi w:val="0"/>
        <w:spacing w:lineRule="auto" w:line="307" w:before="0" w:after="0"/>
        <w:ind w:left="0" w:right="0" w:hanging="0"/>
        <w:jc w:val="center"/>
        <w:rPr/>
      </w:pPr>
      <w:r>
        <w:rPr/>
        <w:t>​</w:t>
      </w:r>
    </w:p>
    <w:p>
      <w:pPr>
        <w:pStyle w:val="TextBody"/>
        <w:bidi w:val="0"/>
        <w:spacing w:lineRule="auto" w:line="307" w:before="0" w:after="0"/>
        <w:ind w:left="0" w:right="0" w:hanging="0"/>
        <w:jc w:val="left"/>
        <w:rPr>
          <w:rFonts w:ascii="Helvetica" w:hAnsi="Helvetica"/>
          <w:sz w:val="18"/>
        </w:rPr>
      </w:pPr>
      <w:r>
        <w:rPr>
          <w:rFonts w:ascii="Helvetica" w:hAnsi="Helvetica"/>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rXerenO3lEOnhcOO4vmq2w_1_4"/>
      <w:bookmarkStart w:id="28" w:name="Tc_SRhx9NLam02l9e_GhZa_-w_1_2"/>
      <w:bookmarkStart w:id="29" w:name="Tc_IvpQSPMK2EiJnDhY7r4Tuw_1_0"/>
      <w:bookmarkStart w:id="30" w:name="_c6671bc3_8d02_4afe_8ef5_4f6889c20db9"/>
      <w:bookmarkStart w:id="31" w:name="Tc_rXerenO3lEOnhcOO4vmq2w_1_4"/>
      <w:bookmarkStart w:id="32" w:name="Tc_SRhx9NLam02l9e_GhZa_-w_1_2"/>
      <w:bookmarkStart w:id="33" w:name="Tc_IvpQSPMK2EiJnDhY7r4Tuw_1_0"/>
      <w:bookmarkStart w:id="34" w:name="_c6671bc3_8d02_4afe_8ef5_4f6889c20db9"/>
      <w:bookmarkEnd w:id="31"/>
      <w:bookmarkEnd w:id="32"/>
      <w:bookmarkEnd w:id="33"/>
      <w:bookmarkEnd w:id="34"/>
    </w:p>
    <w:tbl>
      <w:tblPr>
        <w:tblW w:w="8321" w:type="dxa"/>
        <w:jc w:val="left"/>
        <w:tblInd w:w="0" w:type="dxa"/>
        <w:tblLayout w:type="fixed"/>
        <w:tblCellMar>
          <w:top w:w="0" w:type="dxa"/>
          <w:left w:w="0" w:type="dxa"/>
          <w:bottom w:w="28" w:type="dxa"/>
          <w:right w:w="0" w:type="dxa"/>
        </w:tblCellMar>
      </w:tblPr>
      <w:tblGrid>
        <w:gridCol w:w="2731"/>
        <w:gridCol w:w="109"/>
        <w:gridCol w:w="1426"/>
        <w:gridCol w:w="109"/>
        <w:gridCol w:w="3946"/>
      </w:tblGrid>
      <w:tr>
        <w:trPr/>
        <w:tc>
          <w:tcPr>
            <w:tcW w:w="2731"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0"/>
              <w:ind w:left="0" w:right="0" w:hanging="0"/>
              <w:jc w:val="left"/>
              <w:rPr/>
            </w:pPr>
            <w:r>
              <w:rPr/>
              <w:t>​</w:t>
            </w:r>
          </w:p>
        </w:tc>
        <w:tc>
          <w:tcPr>
            <w:tcW w:w="1426" w:type="dxa"/>
            <w:tcBorders>
              <w:bottom w:val="single" w:sz="2" w:space="0" w:color="000000"/>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0"/>
              <w:ind w:left="0" w:right="0" w:hanging="0"/>
              <w:jc w:val="left"/>
              <w:rPr/>
            </w:pPr>
            <w:r>
              <w:rPr/>
              <w:t>​</w:t>
            </w:r>
          </w:p>
        </w:tc>
        <w:tc>
          <w:tcPr>
            <w:tcW w:w="3946"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731" w:type="dxa"/>
            <w:tcBorders>
              <w:top w:val="single" w:sz="2" w:space="0" w:color="000000"/>
              <w:left w:val="single" w:sz="2" w:space="0" w:color="000000"/>
              <w:bottom w:val="single" w:sz="2" w:space="0" w:color="000000"/>
            </w:tcBorders>
            <w:tcMar>
              <w:top w:w="28" w:type="dxa"/>
              <w:left w:w="103" w:type="dxa"/>
            </w:tcM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Title of each class</w:t>
            </w:r>
          </w:p>
        </w:tc>
        <w:tc>
          <w:tcPr>
            <w:tcW w:w="109"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42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Trading symbol</w:t>
            </w:r>
          </w:p>
        </w:tc>
        <w:tc>
          <w:tcPr>
            <w:tcW w:w="109"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946" w:type="dxa"/>
            <w:tcBorders>
              <w:top w:val="single" w:sz="2" w:space="0" w:color="000000"/>
              <w:bottom w:val="single" w:sz="2" w:space="0" w:color="000000"/>
              <w:right w:val="single" w:sz="2" w:space="0" w:color="000000"/>
            </w:tcBorders>
            <w:tcMar>
              <w:top w:w="28" w:type="dxa"/>
              <w:right w:w="103" w:type="dxa"/>
            </w:tcMar>
            <w:vAlign w:val="center"/>
          </w:tcPr>
          <w:p>
            <w:pPr>
              <w:pStyle w:val="TableContents"/>
              <w:bidi w:val="0"/>
              <w:spacing w:before="0" w:after="0"/>
              <w:ind w:left="0" w:right="0" w:hanging="0"/>
              <w:jc w:val="center"/>
              <w:rPr>
                <w:rFonts w:ascii="Helvetica" w:hAnsi="Helvetica"/>
                <w:b/>
                <w:sz w:val="18"/>
              </w:rPr>
            </w:pPr>
            <w:r>
              <w:rPr>
                <w:rFonts w:ascii="Helvetica" w:hAnsi="Helvetica"/>
                <w:b/>
                <w:sz w:val="18"/>
              </w:rPr>
              <w:t>Name of each exchange on which registered</w:t>
            </w:r>
          </w:p>
        </w:tc>
      </w:tr>
      <w:tr>
        <w:trPr/>
        <w:tc>
          <w:tcPr>
            <w:tcW w:w="2731" w:type="dxa"/>
            <w:tcBorders>
              <w:top w:val="single" w:sz="2" w:space="0" w:color="000000"/>
              <w:left w:val="single" w:sz="2" w:space="0" w:color="000000"/>
              <w:bottom w:val="single" w:sz="2" w:space="0" w:color="000000"/>
            </w:tcBorders>
            <w:tcMar>
              <w:top w:w="28" w:type="dxa"/>
              <w:left w:w="103" w:type="dxa"/>
            </w:tcMar>
            <w:vAlign w:val="center"/>
          </w:tcPr>
          <w:p>
            <w:pPr>
              <w:pStyle w:val="TableContents"/>
              <w:bidi w:val="0"/>
              <w:spacing w:before="0" w:after="0"/>
              <w:ind w:left="0" w:right="0" w:hanging="0"/>
              <w:jc w:val="center"/>
              <w:rPr>
                <w:rFonts w:ascii="Helvetica" w:hAnsi="Helvetica"/>
                <w:sz w:val="18"/>
              </w:rPr>
            </w:pPr>
            <w:r>
              <w:rPr>
                <w:rFonts w:ascii="Helvetica" w:hAnsi="Helvetica"/>
                <w:sz w:val="18"/>
              </w:rPr>
              <w:t>Common Stock, $0.01 par value</w:t>
            </w:r>
          </w:p>
        </w:tc>
        <w:tc>
          <w:tcPr>
            <w:tcW w:w="109" w:type="dxa"/>
            <w:tcBorders>
              <w:bottom w:val="single" w:sz="2" w:space="0" w:color="000000"/>
            </w:tcBorders>
            <w:vAlign w:val="center"/>
          </w:tcPr>
          <w:p>
            <w:pPr>
              <w:pStyle w:val="TableContents"/>
              <w:bidi w:val="0"/>
              <w:spacing w:before="0" w:after="0"/>
              <w:ind w:left="0" w:right="0" w:hanging="0"/>
              <w:jc w:val="center"/>
              <w:rPr/>
            </w:pPr>
            <w:r>
              <w:rPr/>
              <w:t>​</w:t>
            </w:r>
          </w:p>
        </w:tc>
        <w:tc>
          <w:tcPr>
            <w:tcW w:w="142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Helvetica" w:hAnsi="Helvetica"/>
                <w:sz w:val="18"/>
              </w:rPr>
            </w:pPr>
            <w:r>
              <w:rPr>
                <w:rFonts w:ascii="Helvetica" w:hAnsi="Helvetica"/>
                <w:sz w:val="18"/>
              </w:rPr>
              <w:t>CTRN</w:t>
            </w:r>
          </w:p>
        </w:tc>
        <w:tc>
          <w:tcPr>
            <w:tcW w:w="109" w:type="dxa"/>
            <w:tcBorders>
              <w:bottom w:val="single" w:sz="2" w:space="0" w:color="000000"/>
            </w:tcBorders>
            <w:vAlign w:val="center"/>
          </w:tcPr>
          <w:p>
            <w:pPr>
              <w:pStyle w:val="TableContents"/>
              <w:bidi w:val="0"/>
              <w:spacing w:before="0" w:after="0"/>
              <w:ind w:left="0" w:right="0" w:hanging="0"/>
              <w:jc w:val="center"/>
              <w:rPr/>
            </w:pPr>
            <w:r>
              <w:rPr/>
              <w:t>​</w:t>
            </w:r>
          </w:p>
        </w:tc>
        <w:tc>
          <w:tcPr>
            <w:tcW w:w="3946" w:type="dxa"/>
            <w:tcBorders>
              <w:top w:val="single" w:sz="2" w:space="0" w:color="000000"/>
              <w:bottom w:val="single" w:sz="2" w:space="0" w:color="000000"/>
              <w:right w:val="single" w:sz="2" w:space="0" w:color="000000"/>
            </w:tcBorders>
            <w:tcMar>
              <w:top w:w="28" w:type="dxa"/>
              <w:right w:w="103" w:type="dxa"/>
            </w:tcMar>
            <w:vAlign w:val="center"/>
          </w:tcPr>
          <w:p>
            <w:pPr>
              <w:pStyle w:val="TableContents"/>
              <w:bidi w:val="0"/>
              <w:spacing w:before="0" w:after="0"/>
              <w:ind w:left="0" w:right="0" w:hanging="0"/>
              <w:jc w:val="center"/>
              <w:rPr>
                <w:rFonts w:ascii="Helvetica" w:hAnsi="Helvetica"/>
                <w:sz w:val="18"/>
              </w:rPr>
            </w:pPr>
            <w:r>
              <w:rPr>
                <w:rFonts w:ascii="Helvetica" w:hAnsi="Helvetica"/>
                <w:sz w:val="18"/>
              </w:rPr>
              <w:t>NASDAQ Stock Market</w:t>
            </w:r>
          </w:p>
        </w:tc>
      </w:tr>
    </w:tbl>
    <w:p>
      <w:pPr>
        <w:pStyle w:val="TextBody"/>
        <w:bidi w:val="0"/>
        <w:spacing w:before="0" w:after="0"/>
        <w:ind w:left="0" w:right="0" w:hanging="0"/>
        <w:jc w:val="center"/>
        <w:rPr/>
      </w:pPr>
      <w:r>
        <w:rPr/>
        <w:t>​</w:t>
      </w:r>
    </w:p>
    <w:p>
      <w:pPr>
        <w:pStyle w:val="TextBody"/>
        <w:bidi w:val="0"/>
        <w:spacing w:lineRule="auto" w:line="307" w:before="0" w:after="0"/>
        <w:ind w:left="1" w:right="0" w:hanging="0"/>
        <w:jc w:val="left"/>
        <w:rPr>
          <w:rFonts w:ascii="Times New Roman;Times;serif" w:hAnsi="Times New Roman;Times;serif"/>
          <w:sz w:val="20"/>
        </w:rPr>
      </w:pPr>
      <w:r>
        <w:rPr>
          <w:rFonts w:ascii="Helvetica" w:hAnsi="Helvetica"/>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Helvetica" w:hAnsi="Helvetica"/>
          <w:sz w:val="18"/>
        </w:rPr>
        <w:t xml:space="preserve">No </w:t>
      </w:r>
      <w:r>
        <w:rPr>
          <w:rFonts w:ascii="Times New Roman;Times;serif" w:hAnsi="Times New Roman;Times;serif"/>
          <w:sz w:val="20"/>
        </w:rPr>
        <w:t>☐</w:t>
      </w:r>
    </w:p>
    <w:p>
      <w:pPr>
        <w:pStyle w:val="TextBody"/>
        <w:bidi w:val="0"/>
        <w:spacing w:lineRule="auto" w:line="307" w:before="0" w:after="0"/>
        <w:ind w:left="1"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Helvetica" w:hAnsi="Helvetica"/>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Helvetica" w:hAnsi="Helvetica"/>
          <w:sz w:val="18"/>
        </w:rPr>
        <w:t xml:space="preserve">No </w:t>
      </w:r>
      <w:r>
        <w:rPr>
          <w:rFonts w:ascii="Times New Roman;Times;serif" w:hAnsi="Times New Roman;Times;serif"/>
          <w:sz w:val="20"/>
        </w:rPr>
        <w:t>☐</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18"/>
        </w:rPr>
      </w:pPr>
      <w:r>
        <w:rPr>
          <w:rFonts w:ascii="Helvetica" w:hAnsi="Helvetica"/>
          <w:sz w:val="18"/>
        </w:rPr>
        <w:t xml:space="preserve">Indicate by check mark whether the registrant is a large accelerated filer, an accelerated filer, a non-accelerated filer, a smaller reporting company, or an emerging growth company. See the definitions of </w:t>
      </w:r>
      <w:r>
        <w:rPr>
          <w:rFonts w:ascii="Times New Roman;Times;serif" w:hAnsi="Times New Roman;Times;serif"/>
          <w:sz w:val="18"/>
        </w:rPr>
        <w:t>“</w:t>
      </w:r>
      <w:r>
        <w:rPr>
          <w:rFonts w:ascii="Helvetica" w:hAnsi="Helvetica"/>
          <w:sz w:val="18"/>
        </w:rPr>
        <w:t>large accelerated filer,</w:t>
      </w:r>
      <w:r>
        <w:rPr>
          <w:rFonts w:ascii="Times New Roman;Times;serif" w:hAnsi="Times New Roman;Times;serif"/>
          <w:sz w:val="18"/>
        </w:rPr>
        <w:t>” “</w:t>
      </w:r>
      <w:r>
        <w:rPr>
          <w:rFonts w:ascii="Helvetica" w:hAnsi="Helvetica"/>
          <w:sz w:val="18"/>
        </w:rPr>
        <w:t>accelerated filer,</w:t>
      </w:r>
      <w:r>
        <w:rPr>
          <w:rFonts w:ascii="Times New Roman;Times;serif" w:hAnsi="Times New Roman;Times;serif"/>
          <w:sz w:val="18"/>
        </w:rPr>
        <w:t>” “</w:t>
      </w:r>
      <w:r>
        <w:rPr>
          <w:rFonts w:ascii="Helvetica" w:hAnsi="Helvetica"/>
          <w:sz w:val="18"/>
        </w:rPr>
        <w:t>smaller reporting company</w:t>
      </w:r>
      <w:r>
        <w:rPr>
          <w:rFonts w:ascii="Times New Roman;Times;serif" w:hAnsi="Times New Roman;Times;serif"/>
          <w:sz w:val="18"/>
        </w:rPr>
        <w:t xml:space="preserve">” </w:t>
      </w:r>
      <w:r>
        <w:rPr>
          <w:rFonts w:ascii="Helvetica" w:hAnsi="Helvetica"/>
          <w:sz w:val="18"/>
        </w:rPr>
        <w:t xml:space="preserve">and </w:t>
      </w:r>
      <w:r>
        <w:rPr>
          <w:rFonts w:ascii="Times New Roman;Times;serif" w:hAnsi="Times New Roman;Times;serif"/>
          <w:sz w:val="18"/>
        </w:rPr>
        <w:t>“</w:t>
      </w:r>
      <w:r>
        <w:rPr>
          <w:rFonts w:ascii="Helvetica" w:hAnsi="Helvetica"/>
          <w:sz w:val="18"/>
        </w:rPr>
        <w:t>emerging growth company</w:t>
      </w:r>
      <w:r>
        <w:rPr>
          <w:rFonts w:ascii="Times New Roman;Times;serif" w:hAnsi="Times New Roman;Times;serif"/>
          <w:sz w:val="18"/>
        </w:rPr>
        <w:t xml:space="preserve">” </w:t>
      </w:r>
      <w:r>
        <w:rPr>
          <w:rFonts w:ascii="Helvetica" w:hAnsi="Helvetica"/>
          <w:sz w:val="18"/>
        </w:rPr>
        <w:t>in Rule 12b-2 of the Exchange Act.</w:t>
      </w:r>
    </w:p>
    <w:tbl>
      <w:tblPr>
        <w:tblW w:w="6542" w:type="dxa"/>
        <w:jc w:val="left"/>
        <w:tblInd w:w="0" w:type="dxa"/>
        <w:tblLayout w:type="fixed"/>
        <w:tblCellMar>
          <w:top w:w="0" w:type="dxa"/>
          <w:left w:w="0" w:type="dxa"/>
          <w:bottom w:w="0" w:type="dxa"/>
          <w:right w:w="0" w:type="dxa"/>
        </w:tblCellMar>
      </w:tblPr>
      <w:tblGrid>
        <w:gridCol w:w="3901"/>
        <w:gridCol w:w="2641"/>
      </w:tblGrid>
      <w:tr>
        <w:trPr/>
        <w:tc>
          <w:tcPr>
            <w:tcW w:w="390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Large Accelerated Filer </w:t>
            </w:r>
            <w:r>
              <w:rPr>
                <w:rFonts w:ascii="Times New Roman;Times;serif" w:hAnsi="Times New Roman;Times;serif"/>
                <w:sz w:val="20"/>
              </w:rPr>
              <w:t xml:space="preserve">☐ </w:t>
            </w:r>
            <w:r>
              <w:rPr>
                <w:rFonts w:ascii="Helvetica" w:hAnsi="Helvetica"/>
                <w:sz w:val="18"/>
              </w:rPr>
              <w:t>Accelerated Filer</w:t>
            </w:r>
            <w:r>
              <w:rPr>
                <w:rFonts w:ascii="Times New Roman;Times;serif" w:hAnsi="Times New Roman;Times;serif"/>
                <w:sz w:val="20"/>
              </w:rPr>
              <w:t xml:space="preserve"> ☒</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Non-Accelerated Filer </w:t>
            </w:r>
            <w:r>
              <w:rPr>
                <w:rFonts w:ascii="Times New Roman;Times;serif" w:hAnsi="Times New Roman;Times;serif"/>
                <w:sz w:val="18"/>
              </w:rPr>
              <w:t xml:space="preserve">☐ </w:t>
            </w:r>
          </w:p>
        </w:tc>
      </w:tr>
      <w:tr>
        <w:trPr/>
        <w:tc>
          <w:tcPr>
            <w:tcW w:w="390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Smaller Reporting Company </w:t>
            </w:r>
            <w:r>
              <w:rPr>
                <w:rFonts w:ascii="Times New Roman;Times;serif" w:hAnsi="Times New Roman;Times;serif"/>
                <w:sz w:val="20"/>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Helvetica" w:hAnsi="Helvetica"/>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18"/>
        </w:rPr>
      </w:pPr>
      <w:r>
        <w:rPr>
          <w:rFonts w:ascii="Helvetica" w:hAnsi="Helvetica"/>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Times New Roman;Times;serif" w:hAnsi="Times New Roman;Times;serif"/>
          <w:sz w:val="20"/>
        </w:rPr>
      </w:pPr>
      <w:r>
        <w:rPr>
          <w:rFonts w:ascii="Helvetica" w:hAnsi="Helvetica"/>
          <w:sz w:val="18"/>
        </w:rPr>
        <w:t>Indicate by check mark whether the registrant is a shell company (as defined in Rule 12b-2 of the Exchange Act). Yes  </w:t>
      </w:r>
      <w:r>
        <w:rPr>
          <w:rFonts w:ascii="Times New Roman;Times;serif" w:hAnsi="Times New Roman;Times;serif"/>
          <w:sz w:val="20"/>
        </w:rPr>
        <w:t>☐  </w:t>
      </w:r>
      <w:r>
        <w:rPr>
          <w:rFonts w:ascii="Helvetica" w:hAnsi="Helvetica"/>
          <w:sz w:val="18"/>
        </w:rPr>
        <w:t xml:space="preserve">No  </w:t>
      </w:r>
      <w:r>
        <w:rPr>
          <w:rFonts w:ascii="Times New Roman;Times;serif" w:hAnsi="Times New Roman;Times;serif"/>
          <w:sz w:val="20"/>
        </w:rPr>
        <w:t>☒</w:t>
      </w:r>
    </w:p>
    <w:p>
      <w:pPr>
        <w:pStyle w:val="TextBody"/>
        <w:bidi w:val="0"/>
        <w:spacing w:lineRule="auto" w:line="307"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2"/>
        </w:rPr>
      </w:pPr>
      <w:r>
        <w:rPr>
          <w:rFonts w:ascii="Helvetica" w:hAnsi="Helvetica"/>
          <w:sz w:val="18"/>
        </w:rPr>
        <w:t>As of August 30, 2024, the registrant had 8,615,343</w:t>
      </w:r>
      <w:r>
        <w:rPr>
          <w:rFonts w:ascii="Times New Roman;Times;serif" w:hAnsi="Times New Roman;Times;serif"/>
          <w:sz w:val="12"/>
        </w:rPr>
        <w:t xml:space="preserve"> </w:t>
      </w:r>
      <w:r>
        <w:rPr>
          <w:rFonts w:ascii="Helvetica" w:hAnsi="Helvetica"/>
          <w:sz w:val="18"/>
        </w:rPr>
        <w:t>outstanding shares of common stock, $0.01 par value per share</w:t>
      </w:r>
      <w:r>
        <w:rPr>
          <w:rFonts w:ascii="Helvetica" w:hAnsi="Helvetica"/>
          <w:sz w:val="20"/>
        </w:rPr>
        <w:t>.</w:t>
      </w:r>
      <w:r>
        <w:rPr>
          <w:rFonts w:ascii="Times New Roman;Times;serif" w:hAnsi="Times New Roman;Times;serif"/>
          <w:sz w:val="12"/>
        </w:rPr>
        <w:t xml:space="preserve"> </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caps w:val="false"/>
          <w:smallCaps w:val="false"/>
        </w:rPr>
      </w:pPr>
      <w:r>
        <w:rPr>
          <w:caps w:val="false"/>
          <w:smallCaps w:val="false"/>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35" w:name="_e794bf03_fd1f_4036_b2c1_b2b5aba38936"/>
      <w:bookmarkEnd w:id="35"/>
      <w:r>
        <w:rPr>
          <w:rFonts w:ascii="Helvetica" w:hAnsi="Helvetica"/>
          <w:b/>
          <w:sz w:val="18"/>
        </w:rPr>
        <w:t>CITI TRENDS, INC.</w:t>
      </w:r>
    </w:p>
    <w:p>
      <w:pPr>
        <w:pStyle w:val="TextBody"/>
        <w:bidi w:val="0"/>
        <w:spacing w:before="0" w:after="0"/>
        <w:ind w:left="0" w:right="0" w:hanging="0"/>
        <w:jc w:val="center"/>
        <w:rPr>
          <w:rFonts w:ascii="Helvetica" w:hAnsi="Helvetica"/>
          <w:b/>
          <w:sz w:val="18"/>
        </w:rPr>
      </w:pPr>
      <w:r>
        <w:rPr>
          <w:rFonts w:ascii="Helvetica" w:hAnsi="Helvetica"/>
          <w:b/>
          <w:sz w:val="18"/>
        </w:rPr>
        <w:t>FORM 10-Q</w:t>
      </w:r>
    </w:p>
    <w:p>
      <w:pPr>
        <w:pStyle w:val="TextBody"/>
        <w:bidi w:val="0"/>
        <w:spacing w:before="0" w:after="0"/>
        <w:ind w:left="0" w:right="0" w:hanging="0"/>
        <w:jc w:val="center"/>
        <w:rPr>
          <w:rFonts w:ascii="Times New Roman;Times;serif" w:hAnsi="Times New Roman;Times;serif"/>
          <w:sz w:val="18"/>
        </w:rPr>
      </w:pPr>
      <w:bookmarkStart w:id="36" w:name="TOC"/>
      <w:bookmarkEnd w:id="36"/>
      <w:r>
        <w:rPr>
          <w:rFonts w:ascii="Helvetica" w:hAnsi="Helvetica"/>
          <w:b/>
          <w:sz w:val="18"/>
        </w:rPr>
        <w:t>TABLE OF</w:t>
      </w:r>
      <w:r>
        <w:rPr>
          <w:rFonts w:ascii="Times New Roman;Times;serif" w:hAnsi="Times New Roman;Times;serif"/>
          <w:sz w:val="18"/>
        </w:rPr>
        <w:t xml:space="preserve"> </w:t>
      </w:r>
      <w:r>
        <w:rPr>
          <w:rFonts w:ascii="Helvetica" w:hAnsi="Helvetica"/>
          <w:b/>
          <w:sz w:val="18"/>
        </w:rPr>
        <w:t>CONTENTS</w:t>
      </w:r>
    </w:p>
    <w:tbl>
      <w:tblPr>
        <w:tblW w:w="9048" w:type="dxa"/>
        <w:jc w:val="left"/>
        <w:tblInd w:w="0" w:type="dxa"/>
        <w:tblLayout w:type="fixed"/>
        <w:tblCellMar>
          <w:top w:w="0" w:type="dxa"/>
          <w:left w:w="0" w:type="dxa"/>
          <w:bottom w:w="0" w:type="dxa"/>
          <w:right w:w="0" w:type="dxa"/>
        </w:tblCellMar>
      </w:tblPr>
      <w:tblGrid>
        <w:gridCol w:w="736"/>
        <w:gridCol w:w="7351"/>
        <w:gridCol w:w="961"/>
      </w:tblGrid>
      <w:tr>
        <w:trPr/>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67360" cy="175260"/>
                      <wp:effectExtent l="0" t="0" r="0" b="0"/>
                      <wp:wrapNone/>
                      <wp:docPr id="2" name="Frame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667885" cy="175260"/>
                      <wp:effectExtent l="0" t="0" r="0" b="0"/>
                      <wp:wrapNone/>
                      <wp:docPr id="3" name="Frame3"/>
                      <a:graphic xmlns:a="http://schemas.openxmlformats.org/drawingml/2006/main">
                        <a:graphicData uri="http://schemas.microsoft.com/office/word/2010/wordprocessingShape">
                          <wps:wsp>
                            <wps:cNvSpPr txBox="1"/>
                            <wps:spPr>
                              <a:xfrm>
                                <a:off x="0" y="0"/>
                                <a:ext cx="466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10235" cy="29210"/>
                      <wp:effectExtent l="0" t="0" r="0" b="0"/>
                      <wp:wrapNone/>
                      <wp:docPr id="4" name="Frame4"/>
                      <a:graphic xmlns:a="http://schemas.openxmlformats.org/drawingml/2006/main">
                        <a:graphicData uri="http://schemas.microsoft.com/office/word/2010/wordprocessingShape">
                          <wps:wsp>
                            <wps:cNvSpPr txBox="1"/>
                            <wps:spPr>
                              <a:xfrm>
                                <a:off x="0" y="0"/>
                                <a:ext cx="610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center"/>
              <w:rPr/>
            </w:pPr>
            <w:r>
              <w:rPr/>
              <w:t>​</w:t>
            </w:r>
          </w:p>
        </w:tc>
        <w:tc>
          <w:tcPr>
            <w:tcW w:w="961" w:type="dxa"/>
            <w:tcBorders/>
            <w:vAlign w:val="center"/>
          </w:tcPr>
          <w:p>
            <w:pPr>
              <w:pStyle w:val="TableContents"/>
              <w:bidi w:val="0"/>
              <w:spacing w:lineRule="auto" w:line="328" w:before="0" w:after="0"/>
              <w:ind w:left="0" w:right="0" w:hanging="0"/>
              <w:jc w:val="center"/>
              <w:rPr>
                <w:rFonts w:ascii="Helvetica" w:hAnsi="Helvetica"/>
                <w:b/>
                <w:sz w:val="18"/>
              </w:rPr>
            </w:pPr>
            <w:r>
              <w:rPr>
                <w:rFonts w:ascii="Helvetica" w:hAnsi="Helvetica"/>
                <w:b/>
                <w:sz w:val="18"/>
              </w:rPr>
              <w:t>PAGE</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Helvetica" w:hAnsi="Helvetica"/>
                <w:b/>
                <w:sz w:val="18"/>
              </w:rPr>
            </w:pPr>
            <w:r>
              <w:rPr>
                <w:rFonts w:ascii="Helvetica" w:hAnsi="Helvetica"/>
                <w:b/>
                <w:sz w:val="18"/>
              </w:rPr>
              <w:t>NUMBER</w:t>
            </w:r>
          </w:p>
        </w:tc>
      </w:tr>
      <w:tr>
        <w:trPr/>
        <w:tc>
          <w:tcPr>
            <w:tcW w:w="736" w:type="dxa"/>
            <w:tcBorders/>
            <w:vAlign w:val="center"/>
          </w:tcPr>
          <w:p>
            <w:pPr>
              <w:pStyle w:val="TableContents"/>
              <w:pBdr/>
              <w:bidi w:val="0"/>
              <w:spacing w:lineRule="auto" w:line="328" w:before="0" w:after="0"/>
              <w:ind w:left="0" w:right="0" w:hanging="0"/>
              <w:jc w:val="left"/>
              <w:rPr/>
            </w:pPr>
            <w:hyperlink w:anchor="PARTIFINANCIALINFORMATION_451939">
              <w:r>
                <w:rPr>
                  <w:rStyle w:val="InternetLink"/>
                  <w:rFonts w:ascii="Helvetica" w:hAnsi="Helvetica"/>
                  <w:b w:val="false"/>
                  <w:i w:val="false"/>
                  <w:caps w:val="false"/>
                  <w:smallCaps w:val="false"/>
                  <w:sz w:val="18"/>
                </w:rPr>
                <w:t>PART I</w:t>
              </w:r>
            </w:hyperlink>
          </w:p>
        </w:tc>
        <w:tc>
          <w:tcPr>
            <w:tcW w:w="7351" w:type="dxa"/>
            <w:tcBorders/>
            <w:vAlign w:val="center"/>
          </w:tcPr>
          <w:p>
            <w:pPr>
              <w:pStyle w:val="TableContents"/>
              <w:bidi w:val="0"/>
              <w:spacing w:lineRule="auto" w:line="328" w:before="0" w:after="0"/>
              <w:ind w:left="0" w:right="0" w:hanging="0"/>
              <w:jc w:val="left"/>
              <w:rPr/>
            </w:pPr>
            <w:hyperlink w:anchor="PARTIFINANCIALINFORMATION_451939">
              <w:r>
                <w:rPr>
                  <w:rStyle w:val="InternetLink"/>
                  <w:rFonts w:ascii="Helvetica" w:hAnsi="Helvetica"/>
                  <w:b w:val="false"/>
                  <w:i w:val="false"/>
                  <w:caps w:val="false"/>
                  <w:smallCaps w:val="false"/>
                  <w:sz w:val="18"/>
                </w:rPr>
                <w:t>FINANCIAL INFORMATION</w:t>
              </w:r>
            </w:hyperlink>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1FinancialStatements_412105">
              <w:r>
                <w:rPr>
                  <w:rStyle w:val="InternetLink"/>
                  <w:rFonts w:ascii="Helvetica" w:hAnsi="Helvetica"/>
                  <w:b w:val="false"/>
                  <w:i w:val="false"/>
                  <w:caps w:val="false"/>
                  <w:smallCaps w:val="false"/>
                  <w:sz w:val="18"/>
                </w:rPr>
                <w:t>Item 1</w:t>
              </w:r>
            </w:hyperlink>
          </w:p>
        </w:tc>
        <w:tc>
          <w:tcPr>
            <w:tcW w:w="7351" w:type="dxa"/>
            <w:tcBorders/>
            <w:vAlign w:val="center"/>
          </w:tcPr>
          <w:p>
            <w:pPr>
              <w:pStyle w:val="TableContents"/>
              <w:bidi w:val="0"/>
              <w:spacing w:lineRule="auto" w:line="328" w:before="0" w:after="0"/>
              <w:ind w:left="0" w:right="0" w:hanging="0"/>
              <w:jc w:val="left"/>
              <w:rPr/>
            </w:pPr>
            <w:hyperlink w:anchor="Item1FinancialStatements_412105">
              <w:r>
                <w:rPr>
                  <w:rStyle w:val="InternetLink"/>
                  <w:rFonts w:ascii="Helvetica" w:hAnsi="Helvetica"/>
                  <w:b w:val="false"/>
                  <w:i w:val="false"/>
                  <w:caps w:val="false"/>
                  <w:smallCaps w:val="false"/>
                  <w:sz w:val="18"/>
                </w:rPr>
                <w:t>Financial Statements (unaudited)</w:t>
              </w:r>
            </w:hyperlink>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BalanceSheets_323752">
              <w:r>
                <w:rPr>
                  <w:rStyle w:val="InternetLink"/>
                  <w:rFonts w:ascii="Helvetica" w:hAnsi="Helvetica"/>
                  <w:b w:val="false"/>
                  <w:i w:val="false"/>
                  <w:caps w:val="false"/>
                  <w:smallCaps w:val="false"/>
                  <w:sz w:val="18"/>
                </w:rPr>
                <w:t>Condensed Consolidated Balance Sheets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3</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Operations_264272">
              <w:r>
                <w:rPr>
                  <w:rStyle w:val="InternetLink"/>
                  <w:rFonts w:ascii="Helvetica" w:hAnsi="Helvetica"/>
                  <w:b w:val="false"/>
                  <w:i w:val="false"/>
                  <w:caps w:val="false"/>
                  <w:smallCaps w:val="false"/>
                  <w:sz w:val="18"/>
                </w:rPr>
                <w:t>Condensed Consolidated Statements of Operations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4</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CashFlows_340602">
              <w:r>
                <w:rPr>
                  <w:rStyle w:val="InternetLink"/>
                  <w:rFonts w:ascii="Helvetica" w:hAnsi="Helvetica"/>
                  <w:b w:val="false"/>
                  <w:i w:val="false"/>
                  <w:caps w:val="false"/>
                  <w:smallCaps w:val="false"/>
                  <w:sz w:val="18"/>
                </w:rPr>
                <w:t xml:space="preserve">Condensed Consolidated Statements of Cash Flows </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5</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StockholdersEquityTable">
              <w:r>
                <w:rPr>
                  <w:rStyle w:val="InternetLink"/>
                  <w:rFonts w:ascii="Helvetica" w:hAnsi="Helvetica"/>
                  <w:b w:val="false"/>
                  <w:i w:val="false"/>
                  <w:caps w:val="false"/>
                  <w:smallCaps w:val="false"/>
                  <w:sz w:val="18"/>
                </w:rPr>
                <w:t>Condensed Consolidated Statements of Stockholders</w:t>
              </w:r>
            </w:hyperlink>
            <w:hyperlink w:anchor="StockholdersEquityTable">
              <w:r>
                <w:rPr>
                  <w:rStyle w:val="InternetLink"/>
                  <w:rFonts w:ascii="Helvetica" w:hAnsi="Helvetica"/>
                  <w:caps w:val="false"/>
                  <w:smallCaps w:val="false"/>
                  <w:sz w:val="18"/>
                </w:rPr>
                <w:t xml:space="preserve">’ </w:t>
              </w:r>
            </w:hyperlink>
            <w:hyperlink w:anchor="StockholdersEquityTable">
              <w:r>
                <w:rPr>
                  <w:rStyle w:val="InternetLink"/>
                  <w:rFonts w:ascii="Helvetica" w:hAnsi="Helvetica"/>
                  <w:b w:val="false"/>
                  <w:i w:val="false"/>
                  <w:caps w:val="false"/>
                  <w:smallCaps w:val="false"/>
                  <w:sz w:val="18"/>
                </w:rPr>
                <w:t xml:space="preserve">Equity </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6</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Notes_435113">
              <w:r>
                <w:rPr>
                  <w:rStyle w:val="InternetLink"/>
                  <w:rFonts w:ascii="Helvetica" w:hAnsi="Helvetica"/>
                  <w:b w:val="false"/>
                  <w:i w:val="false"/>
                  <w:caps w:val="false"/>
                  <w:smallCaps w:val="false"/>
                  <w:sz w:val="18"/>
                </w:rPr>
                <w:t>Notes to the Condensed Consolidated Financial Statements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7</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2ManagementsDiscussionandAnalysis_36">
              <w:r>
                <w:rPr>
                  <w:rStyle w:val="InternetLink"/>
                  <w:rFonts w:ascii="Helvetica" w:hAnsi="Helvetica"/>
                  <w:b w:val="false"/>
                  <w:i w:val="false"/>
                  <w:caps w:val="false"/>
                  <w:smallCaps w:val="false"/>
                  <w:sz w:val="18"/>
                </w:rPr>
                <w:t>Item 2</w:t>
              </w:r>
            </w:hyperlink>
          </w:p>
        </w:tc>
        <w:tc>
          <w:tcPr>
            <w:tcW w:w="7351" w:type="dxa"/>
            <w:tcBorders/>
            <w:vAlign w:val="center"/>
          </w:tcPr>
          <w:p>
            <w:pPr>
              <w:pStyle w:val="TableContents"/>
              <w:bidi w:val="0"/>
              <w:spacing w:lineRule="auto" w:line="328" w:before="0" w:after="0"/>
              <w:ind w:left="0" w:right="0" w:hanging="0"/>
              <w:jc w:val="left"/>
              <w:rPr/>
            </w:pPr>
            <w:hyperlink w:anchor="Item2ManagementsDiscussionandAnalysis_36">
              <w:r>
                <w:rPr>
                  <w:rStyle w:val="InternetLink"/>
                  <w:rFonts w:ascii="Helvetica" w:hAnsi="Helvetica"/>
                  <w:b w:val="false"/>
                  <w:i w:val="false"/>
                  <w:caps w:val="false"/>
                  <w:smallCaps w:val="false"/>
                  <w:sz w:val="18"/>
                </w:rPr>
                <w:t>Management</w:t>
              </w:r>
            </w:hyperlink>
            <w:hyperlink w:anchor="Item2ManagementsDiscussionandAnalysis_36">
              <w:r>
                <w:rPr>
                  <w:rStyle w:val="InternetLink"/>
                  <w:rFonts w:ascii="Helvetica" w:hAnsi="Helvetica"/>
                  <w:caps w:val="false"/>
                  <w:smallCaps w:val="false"/>
                  <w:sz w:val="18"/>
                </w:rPr>
                <w:t>’</w:t>
              </w:r>
            </w:hyperlink>
            <w:hyperlink w:anchor="Item2ManagementsDiscussionandAnalysis_36">
              <w:r>
                <w:rPr>
                  <w:rStyle w:val="InternetLink"/>
                  <w:rFonts w:ascii="Helvetica" w:hAnsi="Helvetica"/>
                  <w:b w:val="false"/>
                  <w:i w:val="false"/>
                  <w:caps w:val="false"/>
                  <w:smallCaps w:val="false"/>
                  <w:sz w:val="18"/>
                </w:rPr>
                <w:t>s Discussion and Analysis of Financial Condition and Results of Operations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11</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3Quantitative_526205">
              <w:r>
                <w:rPr>
                  <w:rStyle w:val="InternetLink"/>
                  <w:rFonts w:ascii="Helvetica" w:hAnsi="Helvetica"/>
                  <w:b w:val="false"/>
                  <w:i w:val="false"/>
                  <w:caps w:val="false"/>
                  <w:smallCaps w:val="false"/>
                  <w:sz w:val="18"/>
                </w:rPr>
                <w:t>Item 3</w:t>
              </w:r>
            </w:hyperlink>
          </w:p>
        </w:tc>
        <w:tc>
          <w:tcPr>
            <w:tcW w:w="7351" w:type="dxa"/>
            <w:tcBorders/>
            <w:vAlign w:val="center"/>
          </w:tcPr>
          <w:p>
            <w:pPr>
              <w:pStyle w:val="TableContents"/>
              <w:bidi w:val="0"/>
              <w:spacing w:lineRule="auto" w:line="328" w:before="0" w:after="0"/>
              <w:ind w:left="0" w:right="0" w:hanging="0"/>
              <w:jc w:val="left"/>
              <w:rPr/>
            </w:pPr>
            <w:hyperlink w:anchor="Item3Quantitative_526205">
              <w:r>
                <w:rPr>
                  <w:rStyle w:val="InternetLink"/>
                  <w:rFonts w:ascii="Helvetica" w:hAnsi="Helvetica"/>
                  <w:b w:val="false"/>
                  <w:i w:val="false"/>
                  <w:caps w:val="false"/>
                  <w:smallCaps w:val="false"/>
                  <w:sz w:val="18"/>
                </w:rPr>
                <w:t>Quantitative and Qualitative Disclosures About Market Risk</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16</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4ControlsandProcedures_109413">
              <w:r>
                <w:rPr>
                  <w:rStyle w:val="InternetLink"/>
                  <w:rFonts w:ascii="Helvetica" w:hAnsi="Helvetica"/>
                  <w:b w:val="false"/>
                  <w:i w:val="false"/>
                  <w:caps w:val="false"/>
                  <w:smallCaps w:val="false"/>
                  <w:sz w:val="18"/>
                </w:rPr>
                <w:t>Item 4</w:t>
              </w:r>
            </w:hyperlink>
          </w:p>
        </w:tc>
        <w:tc>
          <w:tcPr>
            <w:tcW w:w="7351" w:type="dxa"/>
            <w:tcBorders/>
            <w:vAlign w:val="center"/>
          </w:tcPr>
          <w:p>
            <w:pPr>
              <w:pStyle w:val="TableContents"/>
              <w:bidi w:val="0"/>
              <w:spacing w:lineRule="auto" w:line="328" w:before="0" w:after="0"/>
              <w:ind w:left="0" w:right="0" w:hanging="0"/>
              <w:jc w:val="left"/>
              <w:rPr/>
            </w:pPr>
            <w:hyperlink w:anchor="Item4ControlsandProcedures_109413">
              <w:r>
                <w:rPr>
                  <w:rStyle w:val="InternetLink"/>
                  <w:rFonts w:ascii="Helvetica" w:hAnsi="Helvetica"/>
                  <w:b w:val="false"/>
                  <w:i w:val="false"/>
                  <w:caps w:val="false"/>
                  <w:smallCaps w:val="false"/>
                  <w:sz w:val="18"/>
                </w:rPr>
                <w:t>Controls and Procedures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16</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PARTIIOTHER_417392">
              <w:r>
                <w:rPr>
                  <w:rStyle w:val="InternetLink"/>
                  <w:rFonts w:ascii="Helvetica" w:hAnsi="Helvetica"/>
                  <w:b w:val="false"/>
                  <w:i w:val="false"/>
                  <w:caps w:val="false"/>
                  <w:smallCaps w:val="false"/>
                  <w:sz w:val="18"/>
                </w:rPr>
                <w:t>PART II</w:t>
              </w:r>
            </w:hyperlink>
          </w:p>
        </w:tc>
        <w:tc>
          <w:tcPr>
            <w:tcW w:w="7351" w:type="dxa"/>
            <w:tcBorders/>
            <w:vAlign w:val="center"/>
          </w:tcPr>
          <w:p>
            <w:pPr>
              <w:pStyle w:val="TableContents"/>
              <w:bidi w:val="0"/>
              <w:spacing w:lineRule="auto" w:line="328" w:before="0" w:after="0"/>
              <w:ind w:left="0" w:right="0" w:hanging="0"/>
              <w:jc w:val="left"/>
              <w:rPr/>
            </w:pPr>
            <w:hyperlink w:anchor="PARTIIOTHER_417392">
              <w:r>
                <w:rPr>
                  <w:rStyle w:val="InternetLink"/>
                  <w:rFonts w:ascii="Helvetica" w:hAnsi="Helvetica"/>
                  <w:b w:val="false"/>
                  <w:i w:val="false"/>
                  <w:caps w:val="false"/>
                  <w:smallCaps w:val="false"/>
                  <w:sz w:val="18"/>
                </w:rPr>
                <w:t>OTHER INFORMATION</w:t>
              </w:r>
            </w:hyperlink>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1LegalProceedings_534485">
              <w:r>
                <w:rPr>
                  <w:rStyle w:val="InternetLink"/>
                  <w:rFonts w:ascii="Helvetica" w:hAnsi="Helvetica"/>
                  <w:b w:val="false"/>
                  <w:i w:val="false"/>
                  <w:caps w:val="false"/>
                  <w:smallCaps w:val="false"/>
                  <w:sz w:val="18"/>
                </w:rPr>
                <w:t>Item 1</w:t>
              </w:r>
            </w:hyperlink>
          </w:p>
        </w:tc>
        <w:tc>
          <w:tcPr>
            <w:tcW w:w="7351" w:type="dxa"/>
            <w:tcBorders/>
            <w:vAlign w:val="center"/>
          </w:tcPr>
          <w:p>
            <w:pPr>
              <w:pStyle w:val="TableContents"/>
              <w:bidi w:val="0"/>
              <w:spacing w:lineRule="auto" w:line="328" w:before="0" w:after="0"/>
              <w:ind w:left="0" w:right="0" w:hanging="0"/>
              <w:jc w:val="left"/>
              <w:rPr/>
            </w:pPr>
            <w:hyperlink w:anchor="Item1LegalProceedings_534485">
              <w:r>
                <w:rPr>
                  <w:rStyle w:val="InternetLink"/>
                  <w:rFonts w:ascii="Helvetica" w:hAnsi="Helvetica"/>
                  <w:b w:val="false"/>
                  <w:i w:val="false"/>
                  <w:caps w:val="false"/>
                  <w:smallCaps w:val="false"/>
                  <w:sz w:val="18"/>
                </w:rPr>
                <w:t>Legal Proceedings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17</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1ARiskFactors_712442">
              <w:r>
                <w:rPr>
                  <w:rStyle w:val="InternetLink"/>
                  <w:rFonts w:ascii="Helvetica" w:hAnsi="Helvetica"/>
                  <w:b w:val="false"/>
                  <w:i w:val="false"/>
                  <w:caps w:val="false"/>
                  <w:smallCaps w:val="false"/>
                  <w:sz w:val="18"/>
                </w:rPr>
                <w:t>Item 1A</w:t>
              </w:r>
            </w:hyperlink>
          </w:p>
        </w:tc>
        <w:tc>
          <w:tcPr>
            <w:tcW w:w="7351" w:type="dxa"/>
            <w:tcBorders/>
            <w:vAlign w:val="center"/>
          </w:tcPr>
          <w:p>
            <w:pPr>
              <w:pStyle w:val="TableContents"/>
              <w:bidi w:val="0"/>
              <w:spacing w:lineRule="auto" w:line="328" w:before="0" w:after="0"/>
              <w:ind w:left="0" w:right="0" w:hanging="0"/>
              <w:jc w:val="left"/>
              <w:rPr/>
            </w:pPr>
            <w:hyperlink w:anchor="Item1ARiskFactors_712442">
              <w:r>
                <w:rPr>
                  <w:rStyle w:val="InternetLink"/>
                  <w:rFonts w:ascii="Helvetica" w:hAnsi="Helvetica"/>
                  <w:b w:val="false"/>
                  <w:i w:val="false"/>
                  <w:caps w:val="false"/>
                  <w:smallCaps w:val="false"/>
                  <w:sz w:val="18"/>
                </w:rPr>
                <w:t>Risk Factors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17</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2Unregistered_848127">
              <w:r>
                <w:rPr>
                  <w:rStyle w:val="InternetLink"/>
                  <w:rFonts w:ascii="Helvetica" w:hAnsi="Helvetica"/>
                  <w:b w:val="false"/>
                  <w:i w:val="false"/>
                  <w:caps w:val="false"/>
                  <w:smallCaps w:val="false"/>
                  <w:sz w:val="18"/>
                </w:rPr>
                <w:t>Item 2</w:t>
              </w:r>
            </w:hyperlink>
          </w:p>
        </w:tc>
        <w:tc>
          <w:tcPr>
            <w:tcW w:w="7351" w:type="dxa"/>
            <w:tcBorders/>
            <w:vAlign w:val="center"/>
          </w:tcPr>
          <w:p>
            <w:pPr>
              <w:pStyle w:val="TableContents"/>
              <w:bidi w:val="0"/>
              <w:spacing w:lineRule="auto" w:line="328" w:before="0" w:after="0"/>
              <w:ind w:left="0" w:right="0" w:hanging="0"/>
              <w:jc w:val="left"/>
              <w:rPr/>
            </w:pPr>
            <w:hyperlink w:anchor="Item2Unregistered_848127">
              <w:r>
                <w:rPr>
                  <w:rStyle w:val="InternetLink"/>
                  <w:rFonts w:ascii="Helvetica" w:hAnsi="Helvetica"/>
                  <w:b w:val="false"/>
                  <w:i w:val="false"/>
                  <w:caps w:val="false"/>
                  <w:smallCaps w:val="false"/>
                  <w:sz w:val="18"/>
                </w:rPr>
                <w:t>Unregistered Sales of Equity Securities and Use of Proceeds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17</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3DefaultsUponSeniorSecurities_256165">
              <w:r>
                <w:rPr>
                  <w:rStyle w:val="InternetLink"/>
                  <w:rFonts w:ascii="Helvetica" w:hAnsi="Helvetica"/>
                  <w:b w:val="false"/>
                  <w:i w:val="false"/>
                  <w:caps w:val="false"/>
                  <w:smallCaps w:val="false"/>
                  <w:sz w:val="18"/>
                </w:rPr>
                <w:t>Item 3</w:t>
              </w:r>
            </w:hyperlink>
          </w:p>
        </w:tc>
        <w:tc>
          <w:tcPr>
            <w:tcW w:w="7351" w:type="dxa"/>
            <w:tcBorders/>
            <w:vAlign w:val="center"/>
          </w:tcPr>
          <w:p>
            <w:pPr>
              <w:pStyle w:val="TableContents"/>
              <w:bidi w:val="0"/>
              <w:spacing w:lineRule="auto" w:line="328" w:before="0" w:after="0"/>
              <w:ind w:left="0" w:right="0" w:hanging="0"/>
              <w:jc w:val="left"/>
              <w:rPr/>
            </w:pPr>
            <w:hyperlink w:anchor="Item3DefaultsUponSeniorSecurities_256165">
              <w:r>
                <w:rPr>
                  <w:rStyle w:val="InternetLink"/>
                  <w:rFonts w:ascii="Helvetica" w:hAnsi="Helvetica"/>
                  <w:b w:val="false"/>
                  <w:i w:val="false"/>
                  <w:caps w:val="false"/>
                  <w:smallCaps w:val="false"/>
                  <w:sz w:val="18"/>
                </w:rPr>
                <w:t>Defaults Upon Senior Securities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17</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4MineSafetyDisclosures_796715">
              <w:r>
                <w:rPr>
                  <w:rStyle w:val="InternetLink"/>
                  <w:rFonts w:ascii="Helvetica" w:hAnsi="Helvetica"/>
                  <w:b w:val="false"/>
                  <w:i w:val="false"/>
                  <w:caps w:val="false"/>
                  <w:smallCaps w:val="false"/>
                  <w:sz w:val="18"/>
                </w:rPr>
                <w:t>Item 4</w:t>
              </w:r>
            </w:hyperlink>
          </w:p>
        </w:tc>
        <w:tc>
          <w:tcPr>
            <w:tcW w:w="7351" w:type="dxa"/>
            <w:tcBorders/>
            <w:vAlign w:val="center"/>
          </w:tcPr>
          <w:p>
            <w:pPr>
              <w:pStyle w:val="TableContents"/>
              <w:bidi w:val="0"/>
              <w:spacing w:lineRule="auto" w:line="328" w:before="0" w:after="0"/>
              <w:ind w:left="0" w:right="0" w:hanging="0"/>
              <w:jc w:val="left"/>
              <w:rPr/>
            </w:pPr>
            <w:hyperlink w:anchor="Item4MineSafetyDisclosures_796715">
              <w:r>
                <w:rPr>
                  <w:rStyle w:val="InternetLink"/>
                  <w:rFonts w:ascii="Helvetica" w:hAnsi="Helvetica"/>
                  <w:b w:val="false"/>
                  <w:i w:val="false"/>
                  <w:caps w:val="false"/>
                  <w:smallCaps w:val="false"/>
                  <w:sz w:val="18"/>
                </w:rPr>
                <w:t>Mine Safety Disclosures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17</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5OtherInformation_995576">
              <w:r>
                <w:rPr>
                  <w:rStyle w:val="InternetLink"/>
                  <w:rFonts w:ascii="Helvetica" w:hAnsi="Helvetica"/>
                  <w:b w:val="false"/>
                  <w:i w:val="false"/>
                  <w:caps w:val="false"/>
                  <w:smallCaps w:val="false"/>
                  <w:sz w:val="18"/>
                </w:rPr>
                <w:t>Item 5</w:t>
              </w:r>
            </w:hyperlink>
          </w:p>
        </w:tc>
        <w:tc>
          <w:tcPr>
            <w:tcW w:w="7351" w:type="dxa"/>
            <w:tcBorders/>
            <w:vAlign w:val="center"/>
          </w:tcPr>
          <w:p>
            <w:pPr>
              <w:pStyle w:val="TableContents"/>
              <w:bidi w:val="0"/>
              <w:spacing w:lineRule="auto" w:line="328" w:before="0" w:after="0"/>
              <w:ind w:left="0" w:right="0" w:hanging="0"/>
              <w:jc w:val="left"/>
              <w:rPr/>
            </w:pPr>
            <w:hyperlink w:anchor="Item5OtherInformation_995576">
              <w:r>
                <w:rPr>
                  <w:rStyle w:val="InternetLink"/>
                  <w:rFonts w:ascii="Helvetica" w:hAnsi="Helvetica"/>
                  <w:b w:val="false"/>
                  <w:i w:val="false"/>
                  <w:caps w:val="false"/>
                  <w:smallCaps w:val="false"/>
                  <w:sz w:val="18"/>
                </w:rPr>
                <w:t>Other Information</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17</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pBdr/>
              <w:bidi w:val="0"/>
              <w:spacing w:lineRule="auto" w:line="328" w:before="0" w:after="0"/>
              <w:ind w:left="0" w:right="0" w:hanging="0"/>
              <w:jc w:val="left"/>
              <w:rPr/>
            </w:pPr>
            <w:hyperlink w:anchor="Item6Exhibits_688103">
              <w:r>
                <w:rPr>
                  <w:rStyle w:val="InternetLink"/>
                  <w:rFonts w:ascii="Helvetica" w:hAnsi="Helvetica"/>
                  <w:b w:val="false"/>
                  <w:i w:val="false"/>
                  <w:caps w:val="false"/>
                  <w:smallCaps w:val="false"/>
                  <w:sz w:val="18"/>
                </w:rPr>
                <w:t>Item 6</w:t>
              </w:r>
            </w:hyperlink>
          </w:p>
        </w:tc>
        <w:tc>
          <w:tcPr>
            <w:tcW w:w="7351" w:type="dxa"/>
            <w:tcBorders/>
            <w:vAlign w:val="center"/>
          </w:tcPr>
          <w:p>
            <w:pPr>
              <w:pStyle w:val="TableContents"/>
              <w:bidi w:val="0"/>
              <w:spacing w:lineRule="auto" w:line="328" w:before="0" w:after="0"/>
              <w:ind w:left="0" w:right="0" w:hanging="0"/>
              <w:jc w:val="left"/>
              <w:rPr/>
            </w:pPr>
            <w:hyperlink w:anchor="Item6Exhibits_688103">
              <w:r>
                <w:rPr>
                  <w:rStyle w:val="InternetLink"/>
                  <w:rFonts w:ascii="Helvetica" w:hAnsi="Helvetica"/>
                  <w:b w:val="false"/>
                  <w:i w:val="false"/>
                  <w:caps w:val="false"/>
                  <w:smallCaps w:val="false"/>
                  <w:sz w:val="18"/>
                </w:rPr>
                <w:t>Exhibits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18</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r>
              <w:rPr/>
              <w:t>​</w:t>
            </w:r>
          </w:p>
        </w:tc>
        <w:tc>
          <w:tcPr>
            <w:tcW w:w="961" w:type="dxa"/>
            <w:tcBorders/>
            <w:vAlign w:val="center"/>
          </w:tcPr>
          <w:p>
            <w:pPr>
              <w:pStyle w:val="TableContents"/>
              <w:bidi w:val="0"/>
              <w:spacing w:lineRule="auto" w:line="328" w:before="0" w:after="0"/>
              <w:ind w:left="0" w:right="0" w:hanging="0"/>
              <w:jc w:val="right"/>
              <w:rPr/>
            </w:pPr>
            <w:r>
              <w:rPr/>
              <w:t>​</w:t>
            </w:r>
          </w:p>
        </w:tc>
      </w:tr>
      <w:tr>
        <w:trPr/>
        <w:tc>
          <w:tcPr>
            <w:tcW w:w="736" w:type="dxa"/>
            <w:tcBorders/>
            <w:vAlign w:val="center"/>
          </w:tcPr>
          <w:p>
            <w:pPr>
              <w:pStyle w:val="TableContents"/>
              <w:bidi w:val="0"/>
              <w:spacing w:lineRule="auto" w:line="328" w:before="0" w:after="0"/>
              <w:ind w:left="0" w:right="0" w:hanging="0"/>
              <w:jc w:val="left"/>
              <w:rPr/>
            </w:pPr>
            <w:r>
              <w:rPr/>
              <w:t>​</w:t>
            </w:r>
          </w:p>
        </w:tc>
        <w:tc>
          <w:tcPr>
            <w:tcW w:w="7351" w:type="dxa"/>
            <w:tcBorders/>
            <w:vAlign w:val="center"/>
          </w:tcPr>
          <w:p>
            <w:pPr>
              <w:pStyle w:val="TableContents"/>
              <w:bidi w:val="0"/>
              <w:spacing w:lineRule="auto" w:line="328" w:before="0" w:after="0"/>
              <w:ind w:left="0" w:right="0" w:hanging="0"/>
              <w:jc w:val="left"/>
              <w:rPr/>
            </w:pPr>
            <w:hyperlink w:anchor="SIGNATURES_26064">
              <w:r>
                <w:rPr>
                  <w:rStyle w:val="InternetLink"/>
                  <w:rFonts w:ascii="Helvetica" w:hAnsi="Helvetica"/>
                  <w:b w:val="false"/>
                  <w:i w:val="false"/>
                  <w:caps w:val="false"/>
                  <w:smallCaps w:val="false"/>
                  <w:sz w:val="18"/>
                </w:rPr>
                <w:t>SIGNATURES</w:t>
              </w:r>
            </w:hyperlink>
          </w:p>
        </w:tc>
        <w:tc>
          <w:tcPr>
            <w:tcW w:w="961" w:type="dxa"/>
            <w:tcBorders/>
            <w:vAlign w:val="center"/>
          </w:tcPr>
          <w:p>
            <w:pPr>
              <w:pStyle w:val="TableContents"/>
              <w:bidi w:val="0"/>
              <w:spacing w:lineRule="auto" w:line="328" w:before="0" w:after="0"/>
              <w:ind w:left="0" w:right="0" w:hanging="0"/>
              <w:jc w:val="right"/>
              <w:rPr>
                <w:rFonts w:ascii="Helvetica" w:hAnsi="Helvetica"/>
                <w:sz w:val="18"/>
              </w:rPr>
            </w:pPr>
            <w:r>
              <w:rPr>
                <w:rFonts w:ascii="Helvetica" w:hAnsi="Helvetica"/>
                <w:sz w:val="18"/>
              </w:rPr>
              <w:t>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37" w:name="PARTIFINANCIALINFORMATION_451939"/>
      <w:bookmarkStart w:id="38" w:name="_6a4dcd04_0df0_41e7_bc89_3f433fbb9cf2"/>
      <w:bookmarkEnd w:id="37"/>
      <w:bookmarkEnd w:id="38"/>
      <w:r>
        <w:rPr>
          <w:rFonts w:ascii="Helvetica" w:hAnsi="Helvetica"/>
          <w:b/>
          <w:sz w:val="18"/>
        </w:rPr>
        <w:t>PART I -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Helvetica" w:hAnsi="Helvetica"/>
          <w:b/>
          <w:sz w:val="18"/>
        </w:rPr>
      </w:pPr>
      <w:bookmarkStart w:id="39" w:name="Item1FinancialStatements_412105"/>
      <w:bookmarkEnd w:id="39"/>
      <w:r>
        <w:rPr>
          <w:rFonts w:ascii="Helvetica" w:hAnsi="Helvetica"/>
          <w:b/>
          <w:sz w:val="18"/>
        </w:rPr>
        <w:t>Item 1.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Citi Trends, Inc.</w:t>
      </w:r>
    </w:p>
    <w:p>
      <w:pPr>
        <w:pStyle w:val="TextBody"/>
        <w:bidi w:val="0"/>
        <w:spacing w:before="0" w:after="0"/>
        <w:ind w:left="0" w:right="0" w:hanging="0"/>
        <w:jc w:val="center"/>
        <w:rPr>
          <w:rFonts w:ascii="Helvetica" w:hAnsi="Helvetica"/>
          <w:b/>
          <w:sz w:val="18"/>
        </w:rPr>
      </w:pPr>
      <w:bookmarkStart w:id="40" w:name="BalanceSheets_323752"/>
      <w:bookmarkEnd w:id="40"/>
      <w:r>
        <w:rPr>
          <w:rFonts w:ascii="Helvetica" w:hAnsi="Helvetica"/>
          <w:b/>
          <w:sz w:val="18"/>
        </w:rPr>
        <w:t>Condensed Consolidated Balance Sheets</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r>
        <w:rPr>
          <w:rFonts w:ascii="Helvetica" w:hAnsi="Helvetica"/>
          <w:b/>
          <w:sz w:val="18"/>
        </w:rPr>
        <w:t>(in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1" w:name="Tc_bhA_54baEUKM29el2iavTg_36_5"/>
      <w:bookmarkStart w:id="42" w:name="Tc_DWWKwHeHTUy5qmFP_u4PgQ_36_2"/>
      <w:bookmarkStart w:id="43" w:name="Tc_Y6HERDuZf0mE3fsNX6Mt2w_36_0"/>
      <w:bookmarkStart w:id="44" w:name="Tc_GiA9QKDePkqhlGVd-t1vCw_35_0"/>
      <w:bookmarkStart w:id="45" w:name="Tc_-6cHlJn2uEW8KdtwyQumGQ_33_0"/>
      <w:bookmarkStart w:id="46" w:name="Tc_u5S6PqLMaUKi8aQ3hG72rQ_32_0"/>
      <w:bookmarkStart w:id="47" w:name="Tc_fErmc8jHCkiABjp0JiJu7Q_31_0"/>
      <w:bookmarkStart w:id="48" w:name="Tc_wlqylDWVL0uvvVLDTAMkIA_30_0"/>
      <w:bookmarkStart w:id="49" w:name="Tc_Mn3b3M-vz063bZk2nGwalA_29_0"/>
      <w:bookmarkStart w:id="50" w:name="Tc__l_r2nVqBEGarDpgnptLkA_28_0"/>
      <w:bookmarkStart w:id="51" w:name="Tc_SaauLBwNG0qV7z1xpxcGDA_26_0"/>
      <w:bookmarkStart w:id="52" w:name="Tc_JTY_MDCB-U62rZVC1F_G5Q_25_0"/>
      <w:bookmarkStart w:id="53" w:name="Tc_lv8Fp5iXak2Hq0M2E8Yv9w_24_0"/>
      <w:bookmarkStart w:id="54" w:name="Tc__w1yJtmC10-H6SByvVIoSA_23_0"/>
      <w:bookmarkStart w:id="55" w:name="Tc_L_TtRt8F_UyqjRiVAU_P-A_22_0"/>
      <w:bookmarkStart w:id="56" w:name="Tc_IY0t85vkmEqq_KRHwH5JOA_21_0"/>
      <w:bookmarkStart w:id="57" w:name="Tc_UHFrn-_g4EGRY-pgTL0FvQ_20_0"/>
      <w:bookmarkStart w:id="58" w:name="Tc_yo5YGTo7DESQPieqW84IZA_19_0"/>
      <w:bookmarkStart w:id="59" w:name="Tc_HzNzvpHkNEmrzPr2d60aFQ_18_5"/>
      <w:bookmarkStart w:id="60" w:name="Tc_Gqw-y0Nmh0e1gv7yOljITQ_18_2"/>
      <w:bookmarkStart w:id="61" w:name="Tc_SijjdMlc0UCDucVs51htpQ_18_0"/>
      <w:bookmarkStart w:id="62" w:name="Tc_UP44xJ9PA0WY7cfl6CsE-A_17_0"/>
      <w:bookmarkStart w:id="63" w:name="Tc_A-5XqO7V8Uiz7WxJnjV-kA_16_0"/>
      <w:bookmarkStart w:id="64" w:name="Tc_6bTeOuutlkSO53QcIc5kJA_14_5"/>
      <w:bookmarkStart w:id="65" w:name="Tc_MR7yn0RHUEi43z_vhM_xUg_14_2"/>
      <w:bookmarkStart w:id="66" w:name="Tc_IZQhQFYlvkCqtalPQ1r7EA_14_0"/>
      <w:bookmarkStart w:id="67" w:name="Tc_02K_NWPDb0-YsNnUvyxVOQ_13_0"/>
      <w:bookmarkStart w:id="68" w:name="Tc_dI_3QpkpvU2jPlIAi2rkuQ_12_0"/>
      <w:bookmarkStart w:id="69" w:name="Tc_ZCcStI_mL0WLR3iVmmlJCA_11_0"/>
      <w:bookmarkStart w:id="70" w:name="Tc_OEmW8UZUtESwViw9Dw12Jg_10_0"/>
      <w:bookmarkStart w:id="71" w:name="Tc_RfIEebAhK0i5dqegqqDijA_9_0"/>
      <w:bookmarkStart w:id="72" w:name="Tc_r2bAWZw4DEyW0D8KPQYu-w_8_0"/>
      <w:bookmarkStart w:id="73" w:name="Tc_5GLiGU23ZU26e7U1lNfrsg_7_0"/>
      <w:bookmarkStart w:id="74" w:name="Tc_rRI37roTL02Xi7On_NXijw_6_0"/>
      <w:bookmarkStart w:id="75" w:name="Tc__KvOz9L9QEOgY4O9bWE2iA_5_5"/>
      <w:bookmarkStart w:id="76" w:name="Tc_xijJ7BW8m0SPg8nX7bkUJw_5_2"/>
      <w:bookmarkStart w:id="77" w:name="Tc_3XRMh4YD3EO0gvVXkfG7hQ_5_0"/>
      <w:bookmarkStart w:id="78" w:name="Tc_O2MKOIkODU-ozlcHACkJxA_4_0"/>
      <w:bookmarkStart w:id="79" w:name="Tc_O4YaGk0uvk62rG2wcAXQpw_3_0"/>
      <w:bookmarkStart w:id="80" w:name="Tc_02LdgGa9pUikZUAzfC6YNw_2_5"/>
      <w:bookmarkStart w:id="81" w:name="Tc_LODqDEPCgU-wZjH64sBFXg_2_2"/>
      <w:bookmarkStart w:id="82" w:name="Tc_0vSdHUgBykecSAAwMNFNWQ_1_5"/>
      <w:bookmarkStart w:id="83" w:name="Tc_ub1Krs2EfUi_St6zFTzjAQ_1_2"/>
      <w:bookmarkStart w:id="84" w:name="_bdb971d5_e972_4da6_b1f0_daee37f7852a"/>
      <w:bookmarkStart w:id="85" w:name="Tc_bhA_54baEUKM29el2iavTg_36_5"/>
      <w:bookmarkStart w:id="86" w:name="Tc_DWWKwHeHTUy5qmFP_u4PgQ_36_2"/>
      <w:bookmarkStart w:id="87" w:name="Tc_Y6HERDuZf0mE3fsNX6Mt2w_36_0"/>
      <w:bookmarkStart w:id="88" w:name="Tc_GiA9QKDePkqhlGVd-t1vCw_35_0"/>
      <w:bookmarkStart w:id="89" w:name="Tc_-6cHlJn2uEW8KdtwyQumGQ_33_0"/>
      <w:bookmarkStart w:id="90" w:name="Tc_u5S6PqLMaUKi8aQ3hG72rQ_32_0"/>
      <w:bookmarkStart w:id="91" w:name="Tc_fErmc8jHCkiABjp0JiJu7Q_31_0"/>
      <w:bookmarkStart w:id="92" w:name="Tc_wlqylDWVL0uvvVLDTAMkIA_30_0"/>
      <w:bookmarkStart w:id="93" w:name="Tc_Mn3b3M-vz063bZk2nGwalA_29_0"/>
      <w:bookmarkStart w:id="94" w:name="Tc__l_r2nVqBEGarDpgnptLkA_28_0"/>
      <w:bookmarkStart w:id="95" w:name="Tc_SaauLBwNG0qV7z1xpxcGDA_26_0"/>
      <w:bookmarkStart w:id="96" w:name="Tc_JTY_MDCB-U62rZVC1F_G5Q_25_0"/>
      <w:bookmarkStart w:id="97" w:name="Tc_lv8Fp5iXak2Hq0M2E8Yv9w_24_0"/>
      <w:bookmarkStart w:id="98" w:name="Tc__w1yJtmC10-H6SByvVIoSA_23_0"/>
      <w:bookmarkStart w:id="99" w:name="Tc_L_TtRt8F_UyqjRiVAU_P-A_22_0"/>
      <w:bookmarkStart w:id="100" w:name="Tc_IY0t85vkmEqq_KRHwH5JOA_21_0"/>
      <w:bookmarkStart w:id="101" w:name="Tc_UHFrn-_g4EGRY-pgTL0FvQ_20_0"/>
      <w:bookmarkStart w:id="102" w:name="Tc_yo5YGTo7DESQPieqW84IZA_19_0"/>
      <w:bookmarkStart w:id="103" w:name="Tc_HzNzvpHkNEmrzPr2d60aFQ_18_5"/>
      <w:bookmarkStart w:id="104" w:name="Tc_Gqw-y0Nmh0e1gv7yOljITQ_18_2"/>
      <w:bookmarkStart w:id="105" w:name="Tc_SijjdMlc0UCDucVs51htpQ_18_0"/>
      <w:bookmarkStart w:id="106" w:name="Tc_UP44xJ9PA0WY7cfl6CsE-A_17_0"/>
      <w:bookmarkStart w:id="107" w:name="Tc_A-5XqO7V8Uiz7WxJnjV-kA_16_0"/>
      <w:bookmarkStart w:id="108" w:name="Tc_6bTeOuutlkSO53QcIc5kJA_14_5"/>
      <w:bookmarkStart w:id="109" w:name="Tc_MR7yn0RHUEi43z_vhM_xUg_14_2"/>
      <w:bookmarkStart w:id="110" w:name="Tc_IZQhQFYlvkCqtalPQ1r7EA_14_0"/>
      <w:bookmarkStart w:id="111" w:name="Tc_02K_NWPDb0-YsNnUvyxVOQ_13_0"/>
      <w:bookmarkStart w:id="112" w:name="Tc_dI_3QpkpvU2jPlIAi2rkuQ_12_0"/>
      <w:bookmarkStart w:id="113" w:name="Tc_ZCcStI_mL0WLR3iVmmlJCA_11_0"/>
      <w:bookmarkStart w:id="114" w:name="Tc_OEmW8UZUtESwViw9Dw12Jg_10_0"/>
      <w:bookmarkStart w:id="115" w:name="Tc_RfIEebAhK0i5dqegqqDijA_9_0"/>
      <w:bookmarkStart w:id="116" w:name="Tc_r2bAWZw4DEyW0D8KPQYu-w_8_0"/>
      <w:bookmarkStart w:id="117" w:name="Tc_5GLiGU23ZU26e7U1lNfrsg_7_0"/>
      <w:bookmarkStart w:id="118" w:name="Tc_rRI37roTL02Xi7On_NXijw_6_0"/>
      <w:bookmarkStart w:id="119" w:name="Tc__KvOz9L9QEOgY4O9bWE2iA_5_5"/>
      <w:bookmarkStart w:id="120" w:name="Tc_xijJ7BW8m0SPg8nX7bkUJw_5_2"/>
      <w:bookmarkStart w:id="121" w:name="Tc_3XRMh4YD3EO0gvVXkfG7hQ_5_0"/>
      <w:bookmarkStart w:id="122" w:name="Tc_O2MKOIkODU-ozlcHACkJxA_4_0"/>
      <w:bookmarkStart w:id="123" w:name="Tc_O4YaGk0uvk62rG2wcAXQpw_3_0"/>
      <w:bookmarkStart w:id="124" w:name="Tc_02LdgGa9pUikZUAzfC6YNw_2_5"/>
      <w:bookmarkStart w:id="125" w:name="Tc_LODqDEPCgU-wZjH64sBFXg_2_2"/>
      <w:bookmarkStart w:id="126" w:name="Tc_0vSdHUgBykecSAAwMNFNWQ_1_5"/>
      <w:bookmarkStart w:id="127" w:name="Tc_ub1Krs2EfUi_St6zFTzjAQ_1_2"/>
      <w:bookmarkStart w:id="128" w:name="_bdb971d5_e972_4da6_b1f0_daee37f7852a"/>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W w:w="10205" w:type="dxa"/>
        <w:jc w:val="left"/>
        <w:tblInd w:w="0" w:type="dxa"/>
        <w:tblLayout w:type="fixed"/>
        <w:tblCellMar>
          <w:top w:w="0" w:type="dxa"/>
          <w:left w:w="0" w:type="dxa"/>
          <w:bottom w:w="0" w:type="dxa"/>
          <w:right w:w="0" w:type="dxa"/>
        </w:tblCellMar>
      </w:tblPr>
      <w:tblGrid>
        <w:gridCol w:w="6900"/>
        <w:gridCol w:w="326"/>
        <w:gridCol w:w="211"/>
        <w:gridCol w:w="856"/>
        <w:gridCol w:w="326"/>
        <w:gridCol w:w="211"/>
        <w:gridCol w:w="856"/>
        <w:gridCol w:w="326"/>
        <w:gridCol w:w="193"/>
      </w:tblGrid>
      <w:tr>
        <w:trPr/>
        <w:tc>
          <w:tcPr>
            <w:tcW w:w="6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381500" cy="175260"/>
                      <wp:effectExtent l="0" t="0" r="0" b="0"/>
                      <wp:wrapNone/>
                      <wp:docPr id="5" name="Frame5"/>
                      <a:graphic xmlns:a="http://schemas.openxmlformats.org/drawingml/2006/main">
                        <a:graphicData uri="http://schemas.microsoft.com/office/word/2010/wordprocessingShape">
                          <wps:wsp>
                            <wps:cNvSpPr txBox="1"/>
                            <wps:spPr>
                              <a:xfrm>
                                <a:off x="0" y="0"/>
                                <a:ext cx="438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43560" cy="175260"/>
                      <wp:effectExtent l="0" t="0" r="0" b="0"/>
                      <wp:wrapNone/>
                      <wp:docPr id="8" name="Frame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43560" cy="175260"/>
                      <wp:effectExtent l="0" t="0" r="0" b="0"/>
                      <wp:wrapNone/>
                      <wp:docPr id="11" name="Frame1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2555" cy="175260"/>
                      <wp:effectExtent l="0" t="0" r="0" b="0"/>
                      <wp:wrapNone/>
                      <wp:docPr id="13" name="Frame13"/>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February 3,</w:t>
            </w:r>
          </w:p>
        </w:tc>
        <w:tc>
          <w:tcPr>
            <w:tcW w:w="32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r>
      <w:tr>
        <w:trPr/>
        <w:tc>
          <w:tcPr>
            <w:tcW w:w="6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32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r>
      <w:tr>
        <w:trPr/>
        <w:tc>
          <w:tcPr>
            <w:tcW w:w="6900" w:type="dxa"/>
            <w:tcBorders/>
            <w:shd w:fill="CCEEFF" w:val="clear"/>
            <w:vAlign w:val="center"/>
          </w:tcPr>
          <w:p>
            <w:pPr>
              <w:pStyle w:val="TableContents"/>
              <w:bidi w:val="0"/>
              <w:spacing w:before="0" w:after="0"/>
              <w:ind w:left="0" w:right="0" w:hanging="0"/>
              <w:jc w:val="center"/>
              <w:rPr>
                <w:rFonts w:ascii="Helvetica" w:hAnsi="Helvetica"/>
                <w:b/>
                <w:sz w:val="19"/>
              </w:rPr>
            </w:pPr>
            <w:r>
              <w:rPr>
                <w:rFonts w:ascii="Helvetica" w:hAnsi="Helvetica"/>
                <w:b/>
                <w:sz w:val="19"/>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59,302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79,706</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134,996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130,432</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Prepaid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10,838</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3,896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4,123</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215,116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225,099</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Property and equipment, net of accumulated depreciation of $291,466</w:t>
            </w:r>
            <w:r>
              <w:rPr>
                <w:rFonts w:ascii="Times New Roman;Times;serif" w:hAnsi="Times New Roman;Times;serif"/>
                <w:sz w:val="18"/>
              </w:rPr>
              <w:t xml:space="preserve"> </w:t>
            </w:r>
            <w:r>
              <w:rPr>
                <w:rFonts w:ascii="Helvetica" w:hAnsi="Helvetica"/>
                <w:sz w:val="18"/>
              </w:rPr>
              <w:t>and $276,446</w:t>
            </w:r>
            <w:r>
              <w:rPr>
                <w:rFonts w:ascii="Times New Roman;Times;serif" w:hAnsi="Times New Roman;Times;serif"/>
                <w:sz w:val="18"/>
              </w:rPr>
              <w:t xml:space="preserve"> </w:t>
            </w:r>
            <w:r>
              <w:rPr>
                <w:rFonts w:ascii="Helvetica" w:hAnsi="Helvetica"/>
                <w:sz w:val="18"/>
              </w:rPr>
              <w:t>as of August 3, 2024 and February 3, 2024,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51,702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56,231</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lease right 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225,278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231,281</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13,715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5,105</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920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1,005</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506,731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518,721</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Helvetica" w:hAnsi="Helvetica"/>
                <w:b/>
                <w:sz w:val="18"/>
              </w:rPr>
              <w:t>Liabilities and Stockholders</w:t>
            </w:r>
            <w:r>
              <w:rPr>
                <w:rFonts w:ascii="Times New Roman;Times;serif" w:hAnsi="Times New Roman;Times;serif"/>
                <w:sz w:val="18"/>
              </w:rPr>
              <w:t xml:space="preserve">’ </w:t>
            </w:r>
            <w:r>
              <w:rPr>
                <w:rFonts w:ascii="Helvetica" w:hAnsi="Helvetica"/>
                <w:b/>
                <w:sz w:val="18"/>
              </w:rPr>
              <w:t>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110,540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100,366</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49,071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45,842</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17,056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16,466</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7,724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6,846</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Layaway deposits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384</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185,483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169,904</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Noncurrent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182,869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188,810</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1,789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2,301</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370,141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361,015</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Stockholders</w:t>
            </w:r>
            <w:r>
              <w:rPr>
                <w:rFonts w:ascii="Times New Roman;Times;serif" w:hAnsi="Times New Roman;Times;serif"/>
                <w:sz w:val="18"/>
              </w:rPr>
              <w:t xml:space="preserve">’ </w:t>
            </w:r>
            <w:r>
              <w:rPr>
                <w:rFonts w:ascii="Helvetica" w:hAnsi="Helvetica"/>
                <w:sz w:val="18"/>
              </w:rPr>
              <w:t>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Common stock, $0.01</w:t>
            </w:r>
            <w:r>
              <w:rPr>
                <w:rFonts w:ascii="Times New Roman;Times;serif" w:hAnsi="Times New Roman;Times;serif"/>
                <w:sz w:val="18"/>
              </w:rPr>
              <w:t xml:space="preserve"> </w:t>
            </w:r>
            <w:r>
              <w:rPr>
                <w:rFonts w:ascii="Helvetica" w:hAnsi="Helvetica"/>
                <w:sz w:val="18"/>
              </w:rPr>
              <w:t>par value. Authorized 32,000,000</w:t>
            </w:r>
            <w:r>
              <w:rPr>
                <w:rFonts w:ascii="Times New Roman;Times;serif" w:hAnsi="Times New Roman;Times;serif"/>
                <w:sz w:val="18"/>
              </w:rPr>
              <w:t xml:space="preserve"> </w:t>
            </w:r>
            <w:r>
              <w:rPr>
                <w:rFonts w:ascii="Helvetica" w:hAnsi="Helvetica"/>
                <w:sz w:val="18"/>
              </w:rPr>
              <w:t>shares; 16,419,356</w:t>
            </w:r>
            <w:r>
              <w:rPr>
                <w:rFonts w:ascii="Times New Roman;Times;serif" w:hAnsi="Times New Roman;Times;serif"/>
                <w:sz w:val="18"/>
              </w:rPr>
              <w:t xml:space="preserve"> </w:t>
            </w:r>
            <w:r>
              <w:rPr>
                <w:rFonts w:ascii="Helvetica" w:hAnsi="Helvetica"/>
                <w:sz w:val="18"/>
              </w:rPr>
              <w:t>shares issued as of August 3, 2024 and 16,354,714</w:t>
            </w:r>
            <w:r>
              <w:rPr>
                <w:rFonts w:ascii="Times New Roman;Times;serif" w:hAnsi="Times New Roman;Times;serif"/>
                <w:sz w:val="18"/>
              </w:rPr>
              <w:t xml:space="preserve"> </w:t>
            </w:r>
            <w:r>
              <w:rPr>
                <w:rFonts w:ascii="Helvetica" w:hAnsi="Helvetica"/>
                <w:sz w:val="18"/>
              </w:rPr>
              <w:t>shares issued as of February 3, 2024; 8,615,343</w:t>
            </w:r>
            <w:r>
              <w:rPr>
                <w:rFonts w:ascii="Times New Roman;Times;serif" w:hAnsi="Times New Roman;Times;serif"/>
                <w:sz w:val="18"/>
              </w:rPr>
              <w:t xml:space="preserve"> </w:t>
            </w:r>
            <w:r>
              <w:rPr>
                <w:rFonts w:ascii="Helvetica" w:hAnsi="Helvetica"/>
                <w:sz w:val="18"/>
              </w:rPr>
              <w:t>shares outstanding as of August 3, 2024 and 8,550,701</w:t>
            </w:r>
            <w:r>
              <w:rPr>
                <w:rFonts w:ascii="Times New Roman;Times;serif" w:hAnsi="Times New Roman;Times;serif"/>
                <w:sz w:val="18"/>
              </w:rPr>
              <w:t xml:space="preserve"> </w:t>
            </w:r>
            <w:r>
              <w:rPr>
                <w:rFonts w:ascii="Helvetica" w:hAnsi="Helvetica"/>
                <w:sz w:val="18"/>
              </w:rPr>
              <w:t>shares outstanding as of February 3,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160</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Paid in capital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106,407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105,686</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297,232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319,071</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Treasury stock, at cost; 7,804,013</w:t>
            </w:r>
            <w:r>
              <w:rPr>
                <w:rFonts w:ascii="Times New Roman;Times;serif" w:hAnsi="Times New Roman;Times;serif"/>
                <w:sz w:val="18"/>
              </w:rPr>
              <w:t xml:space="preserve"> </w:t>
            </w:r>
            <w:r>
              <w:rPr>
                <w:rFonts w:ascii="Helvetica" w:hAnsi="Helvetica"/>
                <w:sz w:val="18"/>
              </w:rPr>
              <w:t>shares held as of August 3, 2024 and February 3, 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Total stockholders</w:t>
            </w:r>
            <w:r>
              <w:rPr>
                <w:rFonts w:ascii="Times New Roman;Times;serif" w:hAnsi="Times New Roman;Times;serif"/>
                <w:sz w:val="18"/>
              </w:rPr>
              <w:t xml:space="preserve">’ </w:t>
            </w:r>
            <w:r>
              <w:rPr>
                <w:rFonts w:ascii="Helvetica" w:hAnsi="Helvetica"/>
                <w:sz w:val="18"/>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136,590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157,706</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90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Commitments and contingencies (Note 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90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Total liabilities and stockholders</w:t>
            </w:r>
            <w:r>
              <w:rPr>
                <w:rFonts w:ascii="Times New Roman;Times;serif" w:hAnsi="Times New Roman;Times;serif"/>
                <w:sz w:val="18"/>
              </w:rPr>
              <w:t xml:space="preserve">’ </w:t>
            </w:r>
            <w:r>
              <w:rPr>
                <w:rFonts w:ascii="Helvetica" w:hAnsi="Helvetica"/>
                <w:sz w:val="18"/>
              </w:rPr>
              <w:t>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506,731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518,721</w:t>
            </w:r>
          </w:p>
        </w:tc>
        <w:tc>
          <w:tcPr>
            <w:tcW w:w="32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129" w:name="_4b935716_ec7b_4162_a98b_26296c4d38cd"/>
      <w:bookmarkEnd w:id="129"/>
      <w:r>
        <w:rPr>
          <w:rFonts w:ascii="Helvetica" w:hAnsi="Helvetica"/>
          <w:b/>
          <w:sz w:val="18"/>
        </w:rPr>
        <w:t>Citi Trends, Inc.</w:t>
      </w:r>
    </w:p>
    <w:p>
      <w:pPr>
        <w:pStyle w:val="TextBody"/>
        <w:bidi w:val="0"/>
        <w:spacing w:before="0" w:after="0"/>
        <w:ind w:left="0" w:right="0" w:hanging="0"/>
        <w:jc w:val="center"/>
        <w:rPr>
          <w:rFonts w:ascii="Helvetica" w:hAnsi="Helvetica"/>
          <w:b/>
          <w:sz w:val="18"/>
        </w:rPr>
      </w:pPr>
      <w:bookmarkStart w:id="130" w:name="Operations_264272"/>
      <w:bookmarkEnd w:id="130"/>
      <w:r>
        <w:rPr>
          <w:rFonts w:ascii="Helvetica" w:hAnsi="Helvetica"/>
          <w:b/>
          <w:sz w:val="18"/>
        </w:rPr>
        <w:t>Condensed Consolidated Statements of Operations</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r>
        <w:rPr>
          <w:rFonts w:ascii="Helvetica" w:hAnsi="Helvetica"/>
          <w:b/>
          <w:sz w:val="18"/>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1" w:name="Tc_TkisbI5qL0qwkt3QQTyg9Q_22_0"/>
      <w:bookmarkStart w:id="132" w:name="Tc_BWlLzNp8p0C62pbcvGr7XA_21_0"/>
      <w:bookmarkStart w:id="133" w:name="Tc_nTctkvZ_YkW9Qtq6CVcqLw_20_0"/>
      <w:bookmarkStart w:id="134" w:name="Tc_e4wajQutj0WawskFUx2dhg_18_5"/>
      <w:bookmarkStart w:id="135" w:name="Tc_0J0HYLZImk6WTRf-SOPDeA_18_2"/>
      <w:bookmarkStart w:id="136" w:name="Tc_hcWAnAsQ-0i52YEE3RcMeA_18_0"/>
      <w:bookmarkStart w:id="137" w:name="Tc_WkKd5X9O906oEqiImzGm-A_17_5"/>
      <w:bookmarkStart w:id="138" w:name="Tc_kT2ckihOoEKxHKHJK4ng1Q_17_2"/>
      <w:bookmarkStart w:id="139" w:name="Tc_vNZjIXUCXUSLWPusaBJikw_17_0"/>
      <w:bookmarkStart w:id="140" w:name="Tc_gXzQSa4_J0OYpS8omXcRtQ_15_5"/>
      <w:bookmarkStart w:id="141" w:name="Tc_lJN9qmPGP0yW47bOfsGTGQ_15_2"/>
      <w:bookmarkStart w:id="142" w:name="Tc_NeIJliafdUSGaPGLz0tglg_15_0"/>
      <w:bookmarkStart w:id="143" w:name="Tc_91POgCMcqUWAk5AbAkQiOA_14_0"/>
      <w:bookmarkStart w:id="144" w:name="Tc_VHpvYY9qb02bxDqEKyrtQA_13_0"/>
      <w:bookmarkStart w:id="145" w:name="Tc_ey1ngWdCJkaron2hYg2dJw_12_0"/>
      <w:bookmarkStart w:id="146" w:name="Tc_fiI62P7GtUufOWDzF--lEg_11_0"/>
      <w:bookmarkStart w:id="147" w:name="Tc_mqr1xlGpzU2QXnvRFdt5rA_10_0"/>
      <w:bookmarkStart w:id="148" w:name="Tc_bgUnWgPbQEuc6Qm05Z7JcQ_9_6"/>
      <w:bookmarkStart w:id="149" w:name="Tc_Ah8SjjcZVEO872pPHeDfww_9_0"/>
      <w:bookmarkStart w:id="150" w:name="Tc_I632kqNr30u02Q0gPzcE9A_8_0"/>
      <w:bookmarkStart w:id="151" w:name="Tc_XsQArRnaxkChuTo2r-8yWA_7_0"/>
      <w:bookmarkStart w:id="152" w:name="Tc_NiM75uKvB0SjVJhrLjloLA_6_0"/>
      <w:bookmarkStart w:id="153" w:name="Tc_G3fCShvKTEiMVroFyGCblA_4_5"/>
      <w:bookmarkStart w:id="154" w:name="Tc_m83rqRh0bUOCDP6Uo-2Enw_4_2"/>
      <w:bookmarkStart w:id="155" w:name="Tc_fzgSej95Q0eAM2C4U9jEEA_3_5"/>
      <w:bookmarkStart w:id="156" w:name="Tc_Wsr_o4uD_0KP8ILbzT0WNw_3_2"/>
      <w:bookmarkStart w:id="157" w:name="Tc_qDhQlYuSKkioaD-wsRlZQA_2_5"/>
      <w:bookmarkStart w:id="158" w:name="Tc_4rne38m8hki2qs0ReQYQ1Q_2_2"/>
      <w:bookmarkStart w:id="159" w:name="Tc_eFlLjC7Ohk-Q4Js7GINoTw_1_2"/>
      <w:bookmarkStart w:id="160" w:name="_1c49a65b_36f2_4c93_9400_9ceaf93e7b12"/>
      <w:bookmarkStart w:id="161" w:name="Tc_TkisbI5qL0qwkt3QQTyg9Q_22_0"/>
      <w:bookmarkStart w:id="162" w:name="Tc_BWlLzNp8p0C62pbcvGr7XA_21_0"/>
      <w:bookmarkStart w:id="163" w:name="Tc_nTctkvZ_YkW9Qtq6CVcqLw_20_0"/>
      <w:bookmarkStart w:id="164" w:name="Tc_e4wajQutj0WawskFUx2dhg_18_5"/>
      <w:bookmarkStart w:id="165" w:name="Tc_0J0HYLZImk6WTRf-SOPDeA_18_2"/>
      <w:bookmarkStart w:id="166" w:name="Tc_hcWAnAsQ-0i52YEE3RcMeA_18_0"/>
      <w:bookmarkStart w:id="167" w:name="Tc_WkKd5X9O906oEqiImzGm-A_17_5"/>
      <w:bookmarkStart w:id="168" w:name="Tc_kT2ckihOoEKxHKHJK4ng1Q_17_2"/>
      <w:bookmarkStart w:id="169" w:name="Tc_vNZjIXUCXUSLWPusaBJikw_17_0"/>
      <w:bookmarkStart w:id="170" w:name="Tc_gXzQSa4_J0OYpS8omXcRtQ_15_5"/>
      <w:bookmarkStart w:id="171" w:name="Tc_lJN9qmPGP0yW47bOfsGTGQ_15_2"/>
      <w:bookmarkStart w:id="172" w:name="Tc_NeIJliafdUSGaPGLz0tglg_15_0"/>
      <w:bookmarkStart w:id="173" w:name="Tc_91POgCMcqUWAk5AbAkQiOA_14_0"/>
      <w:bookmarkStart w:id="174" w:name="Tc_VHpvYY9qb02bxDqEKyrtQA_13_0"/>
      <w:bookmarkStart w:id="175" w:name="Tc_ey1ngWdCJkaron2hYg2dJw_12_0"/>
      <w:bookmarkStart w:id="176" w:name="Tc_fiI62P7GtUufOWDzF--lEg_11_0"/>
      <w:bookmarkStart w:id="177" w:name="Tc_mqr1xlGpzU2QXnvRFdt5rA_10_0"/>
      <w:bookmarkStart w:id="178" w:name="Tc_bgUnWgPbQEuc6Qm05Z7JcQ_9_6"/>
      <w:bookmarkStart w:id="179" w:name="Tc_Ah8SjjcZVEO872pPHeDfww_9_0"/>
      <w:bookmarkStart w:id="180" w:name="Tc_I632kqNr30u02Q0gPzcE9A_8_0"/>
      <w:bookmarkStart w:id="181" w:name="Tc_XsQArRnaxkChuTo2r-8yWA_7_0"/>
      <w:bookmarkStart w:id="182" w:name="Tc_NiM75uKvB0SjVJhrLjloLA_6_0"/>
      <w:bookmarkStart w:id="183" w:name="Tc_G3fCShvKTEiMVroFyGCblA_4_5"/>
      <w:bookmarkStart w:id="184" w:name="Tc_m83rqRh0bUOCDP6Uo-2Enw_4_2"/>
      <w:bookmarkStart w:id="185" w:name="Tc_fzgSej95Q0eAM2C4U9jEEA_3_5"/>
      <w:bookmarkStart w:id="186" w:name="Tc_Wsr_o4uD_0KP8ILbzT0WNw_3_2"/>
      <w:bookmarkStart w:id="187" w:name="Tc_qDhQlYuSKkioaD-wsRlZQA_2_5"/>
      <w:bookmarkStart w:id="188" w:name="Tc_4rne38m8hki2qs0ReQYQ1Q_2_2"/>
      <w:bookmarkStart w:id="189" w:name="Tc_eFlLjC7Ohk-Q4Js7GINoTw_1_2"/>
      <w:bookmarkStart w:id="190" w:name="_1c49a65b_36f2_4c93_9400_9ceaf93e7b12"/>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7163" w:type="dxa"/>
        <w:jc w:val="left"/>
        <w:tblInd w:w="0" w:type="dxa"/>
        <w:tblLayout w:type="fixed"/>
        <w:tblCellMar>
          <w:top w:w="0" w:type="dxa"/>
          <w:left w:w="0" w:type="dxa"/>
          <w:bottom w:w="0" w:type="dxa"/>
          <w:right w:w="0" w:type="dxa"/>
        </w:tblCellMar>
      </w:tblPr>
      <w:tblGrid>
        <w:gridCol w:w="4096"/>
        <w:gridCol w:w="326"/>
        <w:gridCol w:w="211"/>
        <w:gridCol w:w="901"/>
        <w:gridCol w:w="326"/>
        <w:gridCol w:w="211"/>
        <w:gridCol w:w="901"/>
        <w:gridCol w:w="191"/>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600960" cy="175260"/>
                      <wp:effectExtent l="0" t="0" r="0" b="0"/>
                      <wp:wrapNone/>
                      <wp:docPr id="14" name="Frame14"/>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72135" cy="175260"/>
                      <wp:effectExtent l="0" t="0" r="0" b="0"/>
                      <wp:wrapNone/>
                      <wp:docPr id="17" name="Frame1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72135" cy="175260"/>
                      <wp:effectExtent l="0" t="0" r="0" b="0"/>
                      <wp:wrapNone/>
                      <wp:docPr id="20" name="Frame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1285" cy="175260"/>
                      <wp:effectExtent l="0" t="0" r="0" b="0"/>
                      <wp:wrapNone/>
                      <wp:docPr id="21" name="Frame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c>
          <w:tcPr>
            <w:tcW w:w="191" w:type="dxa"/>
            <w:tcBorders/>
            <w:vAlign w:val="center"/>
          </w:tcPr>
          <w:p>
            <w:pPr>
              <w:pStyle w:val="TableContents"/>
              <w:bidi w:val="0"/>
              <w:spacing w:before="0" w:after="0"/>
              <w:ind w:left="0" w:right="0" w:hanging="0"/>
              <w:jc w:val="center"/>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w:t>
            </w:r>
          </w:p>
        </w:tc>
        <w:tc>
          <w:tcPr>
            <w:tcW w:w="191" w:type="dxa"/>
            <w:tcBorders/>
            <w:vAlign w:val="center"/>
          </w:tcPr>
          <w:p>
            <w:pPr>
              <w:pStyle w:val="TableContents"/>
              <w:bidi w:val="0"/>
              <w:spacing w:before="0" w:after="0"/>
              <w:ind w:left="0" w:right="0" w:hanging="0"/>
              <w:jc w:val="center"/>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b w:val="false"/>
                <w:i w:val="false"/>
                <w:caps w:val="false"/>
                <w:smallCaps w:val="false"/>
                <w:sz w:val="18"/>
              </w:rPr>
            </w:pPr>
            <w:r>
              <w:rPr>
                <w:rFonts w:ascii="Helvetica" w:hAnsi="Helvetica"/>
                <w:b w:val="false"/>
                <w:i w:val="false"/>
                <w:caps w:val="false"/>
                <w:smallCaps w:val="false"/>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176,552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173,554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Cost of sales (exclusive of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(121,624)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(107,226)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(73,780)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(69,543)</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(4,782)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(4,708)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Asset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(1,261)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(24,895)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(7,923)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887</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(24,364)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(7,113)</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2,081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(18,413)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(5,032)</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Basic net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(0.61)</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(0.61)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8,337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8,225</w:t>
            </w:r>
          </w:p>
        </w:tc>
        <w:tc>
          <w:tcPr>
            <w:tcW w:w="191" w:type="dxa"/>
            <w:tcBorders/>
            <w:vAlign w:val="center"/>
          </w:tcPr>
          <w:p>
            <w:pPr>
              <w:pStyle w:val="TableContents"/>
              <w:bidi w:val="0"/>
              <w:spacing w:before="0" w:after="0"/>
              <w:ind w:left="0" w:right="0" w:hanging="0"/>
              <w:jc w:val="lef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8,337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8,225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 w:hAnsi="Helvetica"/>
          <w:b/>
          <w:sz w:val="18"/>
        </w:rPr>
      </w:pPr>
      <w:r>
        <w:rPr>
          <w:rFonts w:ascii="Helvetica" w:hAnsi="Helvetica"/>
          <w:b/>
          <w:sz w:val="18"/>
        </w:rPr>
        <w:t>Citi Trends, Inc.</w:t>
      </w:r>
    </w:p>
    <w:p>
      <w:pPr>
        <w:pStyle w:val="TextBody"/>
        <w:bidi w:val="0"/>
        <w:spacing w:before="0" w:after="0"/>
        <w:ind w:left="0" w:right="0" w:hanging="0"/>
        <w:jc w:val="center"/>
        <w:rPr>
          <w:rFonts w:ascii="Helvetica" w:hAnsi="Helvetica"/>
          <w:b/>
          <w:sz w:val="18"/>
        </w:rPr>
      </w:pPr>
      <w:bookmarkStart w:id="191" w:name="Operations_ThirteenWeeks"/>
      <w:bookmarkEnd w:id="191"/>
      <w:r>
        <w:rPr>
          <w:rFonts w:ascii="Helvetica" w:hAnsi="Helvetica"/>
          <w:b/>
          <w:sz w:val="18"/>
        </w:rPr>
        <w:t>Condensed Consolidated Statements of Operations</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r>
        <w:rPr>
          <w:rFonts w:ascii="Helvetica" w:hAnsi="Helvetica"/>
          <w:b/>
          <w:sz w:val="18"/>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92" w:name="Tc_BFtCLcpdWkOJQAa_toYBbw_22_0"/>
      <w:bookmarkStart w:id="193" w:name="Tc__6YqiG3zsEy084q8wQYP3w_21_0"/>
      <w:bookmarkStart w:id="194" w:name="Tc_wcxLTOQfZUmKtnHa7tDU8A_20_0"/>
      <w:bookmarkStart w:id="195" w:name="Tc_w8yJXfSfn0SaeP3m5zX0bg_18_5"/>
      <w:bookmarkStart w:id="196" w:name="Tc_5ib4uGHwbUC-XXK-j4Jwew_18_2"/>
      <w:bookmarkStart w:id="197" w:name="Tc_Y-q81B2ue0urH_dWNM4x1Q_18_0"/>
      <w:bookmarkStart w:id="198" w:name="Tc_kSofdBaLJESNf2VavlSkcQ_17_5"/>
      <w:bookmarkStart w:id="199" w:name="Tc_BOKds4y0hUKV1IjXqGTjVw_17_2"/>
      <w:bookmarkStart w:id="200" w:name="Tc_tjFml1wU4EiPFfRb9Sssjw_17_0"/>
      <w:bookmarkStart w:id="201" w:name="Tc_gHSAaAvKI0Cek1OKdGg6xg_15_5"/>
      <w:bookmarkStart w:id="202" w:name="Tc_JkQZVGt2HE-Zoy1Yrfdlew_15_2"/>
      <w:bookmarkStart w:id="203" w:name="Tc_b3tFdRB8O0CYJLlyylZ5AQ_15_0"/>
      <w:bookmarkStart w:id="204" w:name="Tc_pJ0zbrzusE-phd9jdBWhaw_14_0"/>
      <w:bookmarkStart w:id="205" w:name="Tc_IMxGg1lpNkGWogSJbCyKeQ_13_0"/>
      <w:bookmarkStart w:id="206" w:name="Tc_O55ThLTj5UyHJrUgidLQ_g_12_0"/>
      <w:bookmarkStart w:id="207" w:name="Tc_qL_i-1qnxkixQKS7JxYLsg_11_0"/>
      <w:bookmarkStart w:id="208" w:name="Tc_uRKnC0s-zUS5IMzcz48yIA_10_0"/>
      <w:bookmarkStart w:id="209" w:name="Tc_56BuqFiptkSi8hTFrmQFwA_9_6"/>
      <w:bookmarkStart w:id="210" w:name="Tc_i4GecXcdPU-DjanOdArZIw_9_0"/>
      <w:bookmarkStart w:id="211" w:name="Tc_AsktWjVDt0yHGXx3mQSytw_8_0"/>
      <w:bookmarkStart w:id="212" w:name="Tc_wKgqC-YpAE61dhm33IDc0w_7_0"/>
      <w:bookmarkStart w:id="213" w:name="Tc_IffKFL1H4kOHEtVLFXrnfw_6_0"/>
      <w:bookmarkStart w:id="214" w:name="Tc_m6VP3_ZWUkWIAu_w6pCb7Q_4_5"/>
      <w:bookmarkStart w:id="215" w:name="Tc_a7YtnL-RzUuD6EHFeWpmog_4_2"/>
      <w:bookmarkStart w:id="216" w:name="Tc_T94xgXQtD0a4B8MhX-_rAg_3_5"/>
      <w:bookmarkStart w:id="217" w:name="Tc_cDzk1zLrm0e1QFyNKpzr4Q_3_2"/>
      <w:bookmarkStart w:id="218" w:name="Tc_61v6kbsgzka7L6PwKbyW8w_2_5"/>
      <w:bookmarkStart w:id="219" w:name="Tc_wh_RoGs4kk2A4PSqgK6_xg_2_2"/>
      <w:bookmarkStart w:id="220" w:name="Tc_CbXt0XGYOkeCGZm1PeUpvA_1_2"/>
      <w:bookmarkStart w:id="221" w:name="_366e4d6f_c943_435a_a7b6_85b69d268732"/>
      <w:bookmarkStart w:id="222" w:name="Tc_BFtCLcpdWkOJQAa_toYBbw_22_0"/>
      <w:bookmarkStart w:id="223" w:name="Tc__6YqiG3zsEy084q8wQYP3w_21_0"/>
      <w:bookmarkStart w:id="224" w:name="Tc_wcxLTOQfZUmKtnHa7tDU8A_20_0"/>
      <w:bookmarkStart w:id="225" w:name="Tc_w8yJXfSfn0SaeP3m5zX0bg_18_5"/>
      <w:bookmarkStart w:id="226" w:name="Tc_5ib4uGHwbUC-XXK-j4Jwew_18_2"/>
      <w:bookmarkStart w:id="227" w:name="Tc_Y-q81B2ue0urH_dWNM4x1Q_18_0"/>
      <w:bookmarkStart w:id="228" w:name="Tc_kSofdBaLJESNf2VavlSkcQ_17_5"/>
      <w:bookmarkStart w:id="229" w:name="Tc_BOKds4y0hUKV1IjXqGTjVw_17_2"/>
      <w:bookmarkStart w:id="230" w:name="Tc_tjFml1wU4EiPFfRb9Sssjw_17_0"/>
      <w:bookmarkStart w:id="231" w:name="Tc_gHSAaAvKI0Cek1OKdGg6xg_15_5"/>
      <w:bookmarkStart w:id="232" w:name="Tc_JkQZVGt2HE-Zoy1Yrfdlew_15_2"/>
      <w:bookmarkStart w:id="233" w:name="Tc_b3tFdRB8O0CYJLlyylZ5AQ_15_0"/>
      <w:bookmarkStart w:id="234" w:name="Tc_pJ0zbrzusE-phd9jdBWhaw_14_0"/>
      <w:bookmarkStart w:id="235" w:name="Tc_IMxGg1lpNkGWogSJbCyKeQ_13_0"/>
      <w:bookmarkStart w:id="236" w:name="Tc_O55ThLTj5UyHJrUgidLQ_g_12_0"/>
      <w:bookmarkStart w:id="237" w:name="Tc_qL_i-1qnxkixQKS7JxYLsg_11_0"/>
      <w:bookmarkStart w:id="238" w:name="Tc_uRKnC0s-zUS5IMzcz48yIA_10_0"/>
      <w:bookmarkStart w:id="239" w:name="Tc_56BuqFiptkSi8hTFrmQFwA_9_6"/>
      <w:bookmarkStart w:id="240" w:name="Tc_i4GecXcdPU-DjanOdArZIw_9_0"/>
      <w:bookmarkStart w:id="241" w:name="Tc_AsktWjVDt0yHGXx3mQSytw_8_0"/>
      <w:bookmarkStart w:id="242" w:name="Tc_wKgqC-YpAE61dhm33IDc0w_7_0"/>
      <w:bookmarkStart w:id="243" w:name="Tc_IffKFL1H4kOHEtVLFXrnfw_6_0"/>
      <w:bookmarkStart w:id="244" w:name="Tc_m6VP3_ZWUkWIAu_w6pCb7Q_4_5"/>
      <w:bookmarkStart w:id="245" w:name="Tc_a7YtnL-RzUuD6EHFeWpmog_4_2"/>
      <w:bookmarkStart w:id="246" w:name="Tc_T94xgXQtD0a4B8MhX-_rAg_3_5"/>
      <w:bookmarkStart w:id="247" w:name="Tc_cDzk1zLrm0e1QFyNKpzr4Q_3_2"/>
      <w:bookmarkStart w:id="248" w:name="Tc_61v6kbsgzka7L6PwKbyW8w_2_5"/>
      <w:bookmarkStart w:id="249" w:name="Tc_wh_RoGs4kk2A4PSqgK6_xg_2_2"/>
      <w:bookmarkStart w:id="250" w:name="Tc_CbXt0XGYOkeCGZm1PeUpvA_1_2"/>
      <w:bookmarkStart w:id="251" w:name="_366e4d6f_c943_435a_a7b6_85b69d268732"/>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tbl>
      <w:tblPr>
        <w:tblW w:w="7017" w:type="dxa"/>
        <w:jc w:val="left"/>
        <w:tblInd w:w="0" w:type="dxa"/>
        <w:tblLayout w:type="fixed"/>
        <w:tblCellMar>
          <w:top w:w="0" w:type="dxa"/>
          <w:left w:w="0" w:type="dxa"/>
          <w:bottom w:w="0" w:type="dxa"/>
          <w:right w:w="0" w:type="dxa"/>
        </w:tblCellMar>
      </w:tblPr>
      <w:tblGrid>
        <w:gridCol w:w="4096"/>
        <w:gridCol w:w="326"/>
        <w:gridCol w:w="211"/>
        <w:gridCol w:w="901"/>
        <w:gridCol w:w="326"/>
        <w:gridCol w:w="211"/>
        <w:gridCol w:w="94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600960" cy="175260"/>
                      <wp:effectExtent l="0" t="0" r="0" b="0"/>
                      <wp:wrapNone/>
                      <wp:docPr id="22" name="Frame22"/>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72135" cy="175260"/>
                      <wp:effectExtent l="0" t="0" r="0" b="0"/>
                      <wp:wrapNone/>
                      <wp:docPr id="25" name="Frame2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00710" cy="175260"/>
                      <wp:effectExtent l="0" t="0" r="0" b="0"/>
                      <wp:wrapNone/>
                      <wp:docPr id="28" name="Frame2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Twenty-Six Weeks Ended</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w:t>
            </w:r>
          </w:p>
        </w:tc>
        <w:tc>
          <w:tcPr>
            <w:tcW w:w="326" w:type="dxa"/>
            <w:tcBorders/>
            <w:vAlign w:val="center"/>
          </w:tcPr>
          <w:p>
            <w:pPr>
              <w:pStyle w:val="TableContents"/>
              <w:bidi w:val="0"/>
              <w:spacing w:before="0" w:after="0"/>
              <w:ind w:left="0" w:right="0" w:hanging="0"/>
              <w:jc w:val="center"/>
              <w:rPr/>
            </w:pPr>
            <w:r>
              <w:rPr/>
              <w:t>​</w:t>
            </w:r>
          </w:p>
        </w:tc>
        <w:tc>
          <w:tcPr>
            <w:tcW w:w="115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2023</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b w:val="false"/>
                <w:i w:val="false"/>
                <w:caps w:val="false"/>
                <w:smallCaps w:val="false"/>
                <w:sz w:val="18"/>
              </w:rPr>
            </w:pPr>
            <w:r>
              <w:rPr>
                <w:rFonts w:ascii="Helvetica" w:hAnsi="Helvetica"/>
                <w:b w:val="false"/>
                <w:i w:val="false"/>
                <w:caps w:val="false"/>
                <w:smallCaps w:val="false"/>
                <w:sz w:val="18"/>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362,841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353,242</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Cost of sales (exclusive of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(235,878)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(220,885)</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(147,991)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(140,350)</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(9,576)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(9,389)</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Asset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(1,261)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90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(31,865)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w:t>
            </w:r>
          </w:p>
        </w:tc>
        <w:tc>
          <w:tcPr>
            <w:tcW w:w="94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(17,382)</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1,460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1,910</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(152)</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(30,563)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(15,624)</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3,957</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(21,839)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(11,667)</w:t>
            </w:r>
          </w:p>
        </w:tc>
      </w:tr>
      <w:tr>
        <w:trPr/>
        <w:tc>
          <w:tcPr>
            <w:tcW w:w="40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Basic net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(1.42)</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(1.42)</w:t>
            </w:r>
          </w:p>
        </w:tc>
      </w:tr>
      <w:tr>
        <w:trPr/>
        <w:tc>
          <w:tcPr>
            <w:tcW w:w="4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409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8,295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8,203</w:t>
            </w:r>
          </w:p>
        </w:tc>
      </w:tr>
      <w:tr>
        <w:trPr/>
        <w:tc>
          <w:tcPr>
            <w:tcW w:w="409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8,295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 w:hAnsi="Helvetica"/>
                <w:sz w:val="18"/>
              </w:rPr>
            </w:pPr>
            <w:r>
              <w:rPr>
                <w:rFonts w:ascii="Helvetica" w:hAnsi="Helvetica"/>
                <w:sz w:val="18"/>
              </w:rPr>
              <w:t>8,203</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252" w:name="_43a1ce41_7fe7_4288_b1ad_94a7efd8e4b5"/>
      <w:bookmarkEnd w:id="252"/>
      <w:r>
        <w:rPr>
          <w:rFonts w:ascii="Helvetica" w:hAnsi="Helvetica"/>
          <w:b/>
          <w:sz w:val="18"/>
        </w:rPr>
        <w:t>Citi Trends, Inc.</w:t>
      </w:r>
    </w:p>
    <w:p>
      <w:pPr>
        <w:pStyle w:val="TextBody"/>
        <w:bidi w:val="0"/>
        <w:spacing w:before="0" w:after="0"/>
        <w:ind w:left="0" w:right="0" w:hanging="0"/>
        <w:jc w:val="center"/>
        <w:rPr>
          <w:rFonts w:ascii="Helvetica" w:hAnsi="Helvetica"/>
          <w:b/>
          <w:sz w:val="18"/>
        </w:rPr>
      </w:pPr>
      <w:bookmarkStart w:id="253" w:name="CashFlows_340602"/>
      <w:bookmarkEnd w:id="253"/>
      <w:r>
        <w:rPr>
          <w:rFonts w:ascii="Helvetica" w:hAnsi="Helvetica"/>
          <w:b/>
          <w:sz w:val="18"/>
        </w:rPr>
        <w:t>Condensed Consolidated Statements of Cash Flows</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r>
        <w:rPr>
          <w:rFonts w:ascii="Helvetica" w:hAnsi="Helvetica"/>
          <w:b/>
          <w:sz w:val="18"/>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4" w:name="Tc_RKh4EvARKkqKM99gr3k5qg_38_5"/>
      <w:bookmarkStart w:id="255" w:name="Tc_dQdUNzFkNEGi6ETCEdm9kw_38_2"/>
      <w:bookmarkStart w:id="256" w:name="Tc_ZNx_1zlKJki26oF4F8DbiQ_38_0"/>
      <w:bookmarkStart w:id="257" w:name="Tc_6KkvJ8ogmEaqT2l4dvSWOw_37_0"/>
      <w:bookmarkStart w:id="258" w:name="Tc__IaZGeBltUCPrX46u0LLbg_36_5"/>
      <w:bookmarkStart w:id="259" w:name="Tc_GGBVSk9BoEKtnFb-7IhPLQ_36_2"/>
      <w:bookmarkStart w:id="260" w:name="Tc_h1UAkQ8IEESySgVlBzgkoA_36_0"/>
      <w:bookmarkStart w:id="261" w:name="Tc_YHnJMadVEkywv6wjm_XuNQ_35_5"/>
      <w:bookmarkStart w:id="262" w:name="Tc_A0YdZJbvLku3xtABtZUiTg_35_2"/>
      <w:bookmarkStart w:id="263" w:name="Tc_xNGdj56UWkOk56E5h4i8JA_35_0"/>
      <w:bookmarkStart w:id="264" w:name="Tc_xqazRmq_4k-78ANlixKImw_34_0"/>
      <w:bookmarkStart w:id="265" w:name="Tc_sblbE3WfAEeLWtJbfs4aCw_32_5"/>
      <w:bookmarkStart w:id="266" w:name="Tc_upvtNnHNzkmZLXNTzK3rdw_32_2"/>
      <w:bookmarkStart w:id="267" w:name="Tc_bVDEg8rlH0a92Fa9Z05IGg_32_0"/>
      <w:bookmarkStart w:id="268" w:name="Tc_YzHA5Cb5L0yjOspyoHIlUg_31_0"/>
      <w:bookmarkStart w:id="269" w:name="Tc_WywFMC4drUeMx949sX0gMw_30_0"/>
      <w:bookmarkStart w:id="270" w:name="Tc_9vnwDVbNmESfWWdy6BBA-A_29_0"/>
      <w:bookmarkStart w:id="271" w:name="Tc_px1NiEQ7h0iwyYhbrvRuMA_28_0"/>
      <w:bookmarkStart w:id="272" w:name="Tc_goUzdu2pAkGfHOtH7bjN7Q_27_0"/>
      <w:bookmarkStart w:id="273" w:name="Tc_sc2LmB6RtUG6wfFhDhPZCQ_26_0"/>
      <w:bookmarkStart w:id="274" w:name="Tc_9c7fwreQ4kq-VDCHdFAR6Q_25_0"/>
      <w:bookmarkStart w:id="275" w:name="Tc_ZvvAuy6CEkKx1e8X99XqiA_24_0"/>
      <w:bookmarkStart w:id="276" w:name="Tc_UKOSC_wPt0yCTAVNo9BlNg_23_0"/>
      <w:bookmarkStart w:id="277" w:name="Tc_pGwN_uprtkGh49p9Q0V9mw_22_0"/>
      <w:bookmarkStart w:id="278" w:name="Tc_qVeosH745UWvLabYwT83Pw_21_0"/>
      <w:bookmarkStart w:id="279" w:name="Tc_YeNItIuZ0EqpopwZgD9U4Q_20_0"/>
      <w:bookmarkStart w:id="280" w:name="Tc_1h9hVfRtrkuPerTpu4RLyA_19_0"/>
      <w:bookmarkStart w:id="281" w:name="Tc_zGTlmBOdAU2CO7ec9QSpRw_18_0"/>
      <w:bookmarkStart w:id="282" w:name="Tc_fMWec9OubUSa39UV5dl1WA_17_0"/>
      <w:bookmarkStart w:id="283" w:name="Tc_9xzkjE59PUKxheoSvLTrNQ_16_0"/>
      <w:bookmarkStart w:id="284" w:name="Tc_HSXjUn_cTEWTFU_4IQmpBg_15_0"/>
      <w:bookmarkStart w:id="285" w:name="Tc_EJpDCT4o1kKUMzjoR7EDLA_14_0"/>
      <w:bookmarkStart w:id="286" w:name="Tc_dXtwqDtiSECM9i-6ec1CUQ_13_0"/>
      <w:bookmarkStart w:id="287" w:name="Tc_oFj1GEUpoUeBOy1GW3sxKw_12_0"/>
      <w:bookmarkStart w:id="288" w:name="Tc_hFT_xBkvnEmHz0Z63QJkYQ_11_0"/>
      <w:bookmarkStart w:id="289" w:name="Tc_IbLCedtQz0eW3L1-o-naPA_10_0"/>
      <w:bookmarkStart w:id="290" w:name="Tc_oIph4dsL0k2ThqRLxgigbw_9_0"/>
      <w:bookmarkStart w:id="291" w:name="Tc_7WMqUtrsLkqv5nEW58YK3Q_8_6"/>
      <w:bookmarkStart w:id="292" w:name="Tc_c0wiu8-lL02XMe-MiIh3Mg_8_0"/>
      <w:bookmarkStart w:id="293" w:name="Tc_2FAoE7IHQ0KDpPoDRzBvWA_7_0"/>
      <w:bookmarkStart w:id="294" w:name="Tc_vOJskBhhYk-gDPr5QhNmVQ_6_0"/>
      <w:bookmarkStart w:id="295" w:name="Tc_yHX3qNq1u0Wx_TlYHKru2w_5_5"/>
      <w:bookmarkStart w:id="296" w:name="Tc_M45PZHWSSka_GchAAGTVwA_5_2"/>
      <w:bookmarkStart w:id="297" w:name="Tc_DPQwW2BHBUGJEgZ7FvHVPg_5_0"/>
      <w:bookmarkStart w:id="298" w:name="Tc_b81GF1XL_0CRrCmlS9eWgA_4_0"/>
      <w:bookmarkStart w:id="299" w:name="Tc_V3jHCEsg206bRcE0cQMITQ_3_5"/>
      <w:bookmarkStart w:id="300" w:name="Tc_3hSI2cHLFkWCtaYHTssomw_3_2"/>
      <w:bookmarkStart w:id="301" w:name="Tc_JffcZoRG8kWkzxfsJzU1jA_2_5"/>
      <w:bookmarkStart w:id="302" w:name="Tc_kxwi6j3CEUGPODO28yYUcw_2_2"/>
      <w:bookmarkStart w:id="303" w:name="Tc_2tfNbPG6OkG63o3ElpqQPA_1_2"/>
      <w:bookmarkStart w:id="304" w:name="_4fe5c771_3a1c_4e66_9016_47b74517ad28"/>
      <w:bookmarkStart w:id="305" w:name="Tc_RKh4EvARKkqKM99gr3k5qg_38_5"/>
      <w:bookmarkStart w:id="306" w:name="Tc_dQdUNzFkNEGi6ETCEdm9kw_38_2"/>
      <w:bookmarkStart w:id="307" w:name="Tc_ZNx_1zlKJki26oF4F8DbiQ_38_0"/>
      <w:bookmarkStart w:id="308" w:name="Tc_6KkvJ8ogmEaqT2l4dvSWOw_37_0"/>
      <w:bookmarkStart w:id="309" w:name="Tc__IaZGeBltUCPrX46u0LLbg_36_5"/>
      <w:bookmarkStart w:id="310" w:name="Tc_GGBVSk9BoEKtnFb-7IhPLQ_36_2"/>
      <w:bookmarkStart w:id="311" w:name="Tc_h1UAkQ8IEESySgVlBzgkoA_36_0"/>
      <w:bookmarkStart w:id="312" w:name="Tc_YHnJMadVEkywv6wjm_XuNQ_35_5"/>
      <w:bookmarkStart w:id="313" w:name="Tc_A0YdZJbvLku3xtABtZUiTg_35_2"/>
      <w:bookmarkStart w:id="314" w:name="Tc_xNGdj56UWkOk56E5h4i8JA_35_0"/>
      <w:bookmarkStart w:id="315" w:name="Tc_xqazRmq_4k-78ANlixKImw_34_0"/>
      <w:bookmarkStart w:id="316" w:name="Tc_sblbE3WfAEeLWtJbfs4aCw_32_5"/>
      <w:bookmarkStart w:id="317" w:name="Tc_upvtNnHNzkmZLXNTzK3rdw_32_2"/>
      <w:bookmarkStart w:id="318" w:name="Tc_bVDEg8rlH0a92Fa9Z05IGg_32_0"/>
      <w:bookmarkStart w:id="319" w:name="Tc_YzHA5Cb5L0yjOspyoHIlUg_31_0"/>
      <w:bookmarkStart w:id="320" w:name="Tc_WywFMC4drUeMx949sX0gMw_30_0"/>
      <w:bookmarkStart w:id="321" w:name="Tc_9vnwDVbNmESfWWdy6BBA-A_29_0"/>
      <w:bookmarkStart w:id="322" w:name="Tc_px1NiEQ7h0iwyYhbrvRuMA_28_0"/>
      <w:bookmarkStart w:id="323" w:name="Tc_goUzdu2pAkGfHOtH7bjN7Q_27_0"/>
      <w:bookmarkStart w:id="324" w:name="Tc_sc2LmB6RtUG6wfFhDhPZCQ_26_0"/>
      <w:bookmarkStart w:id="325" w:name="Tc_9c7fwreQ4kq-VDCHdFAR6Q_25_0"/>
      <w:bookmarkStart w:id="326" w:name="Tc_ZvvAuy6CEkKx1e8X99XqiA_24_0"/>
      <w:bookmarkStart w:id="327" w:name="Tc_UKOSC_wPt0yCTAVNo9BlNg_23_0"/>
      <w:bookmarkStart w:id="328" w:name="Tc_pGwN_uprtkGh49p9Q0V9mw_22_0"/>
      <w:bookmarkStart w:id="329" w:name="Tc_qVeosH745UWvLabYwT83Pw_21_0"/>
      <w:bookmarkStart w:id="330" w:name="Tc_YeNItIuZ0EqpopwZgD9U4Q_20_0"/>
      <w:bookmarkStart w:id="331" w:name="Tc_1h9hVfRtrkuPerTpu4RLyA_19_0"/>
      <w:bookmarkStart w:id="332" w:name="Tc_zGTlmBOdAU2CO7ec9QSpRw_18_0"/>
      <w:bookmarkStart w:id="333" w:name="Tc_fMWec9OubUSa39UV5dl1WA_17_0"/>
      <w:bookmarkStart w:id="334" w:name="Tc_9xzkjE59PUKxheoSvLTrNQ_16_0"/>
      <w:bookmarkStart w:id="335" w:name="Tc_HSXjUn_cTEWTFU_4IQmpBg_15_0"/>
      <w:bookmarkStart w:id="336" w:name="Tc_EJpDCT4o1kKUMzjoR7EDLA_14_0"/>
      <w:bookmarkStart w:id="337" w:name="Tc_dXtwqDtiSECM9i-6ec1CUQ_13_0"/>
      <w:bookmarkStart w:id="338" w:name="Tc_oFj1GEUpoUeBOy1GW3sxKw_12_0"/>
      <w:bookmarkStart w:id="339" w:name="Tc_hFT_xBkvnEmHz0Z63QJkYQ_11_0"/>
      <w:bookmarkStart w:id="340" w:name="Tc_IbLCedtQz0eW3L1-o-naPA_10_0"/>
      <w:bookmarkStart w:id="341" w:name="Tc_oIph4dsL0k2ThqRLxgigbw_9_0"/>
      <w:bookmarkStart w:id="342" w:name="Tc_7WMqUtrsLkqv5nEW58YK3Q_8_6"/>
      <w:bookmarkStart w:id="343" w:name="Tc_c0wiu8-lL02XMe-MiIh3Mg_8_0"/>
      <w:bookmarkStart w:id="344" w:name="Tc_2FAoE7IHQ0KDpPoDRzBvWA_7_0"/>
      <w:bookmarkStart w:id="345" w:name="Tc_vOJskBhhYk-gDPr5QhNmVQ_6_0"/>
      <w:bookmarkStart w:id="346" w:name="Tc_yHX3qNq1u0Wx_TlYHKru2w_5_5"/>
      <w:bookmarkStart w:id="347" w:name="Tc_M45PZHWSSka_GchAAGTVwA_5_2"/>
      <w:bookmarkStart w:id="348" w:name="Tc_DPQwW2BHBUGJEgZ7FvHVPg_5_0"/>
      <w:bookmarkStart w:id="349" w:name="Tc_b81GF1XL_0CRrCmlS9eWgA_4_0"/>
      <w:bookmarkStart w:id="350" w:name="Tc_V3jHCEsg206bRcE0cQMITQ_3_5"/>
      <w:bookmarkStart w:id="351" w:name="Tc_3hSI2cHLFkWCtaYHTssomw_3_2"/>
      <w:bookmarkStart w:id="352" w:name="Tc_JffcZoRG8kWkzxfsJzU1jA_2_5"/>
      <w:bookmarkStart w:id="353" w:name="Tc_kxwi6j3CEUGPODO28yYUcw_2_2"/>
      <w:bookmarkStart w:id="354" w:name="Tc_2tfNbPG6OkG63o3ElpqQPA_1_2"/>
      <w:bookmarkStart w:id="355" w:name="_4fe5c771_3a1c_4e66_9016_47b74517ad28"/>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tbl>
      <w:tblPr>
        <w:tblW w:w="9548" w:type="dxa"/>
        <w:jc w:val="left"/>
        <w:tblInd w:w="0" w:type="dxa"/>
        <w:tblLayout w:type="fixed"/>
        <w:tblCellMar>
          <w:top w:w="0" w:type="dxa"/>
          <w:left w:w="0" w:type="dxa"/>
          <w:bottom w:w="0" w:type="dxa"/>
          <w:right w:w="0" w:type="dxa"/>
        </w:tblCellMar>
      </w:tblPr>
      <w:tblGrid>
        <w:gridCol w:w="6691"/>
        <w:gridCol w:w="326"/>
        <w:gridCol w:w="211"/>
        <w:gridCol w:w="796"/>
        <w:gridCol w:w="326"/>
        <w:gridCol w:w="211"/>
        <w:gridCol w:w="796"/>
        <w:gridCol w:w="191"/>
      </w:tblGrid>
      <w:tr>
        <w:trPr/>
        <w:tc>
          <w:tcPr>
            <w:tcW w:w="6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248785" cy="175260"/>
                      <wp:effectExtent l="0" t="0" r="0" b="0"/>
                      <wp:wrapNone/>
                      <wp:docPr id="29" name="Frame29"/>
                      <a:graphic xmlns:a="http://schemas.openxmlformats.org/drawingml/2006/main">
                        <a:graphicData uri="http://schemas.microsoft.com/office/word/2010/wordprocessingShape">
                          <wps:wsp>
                            <wps:cNvSpPr txBox="1"/>
                            <wps:spPr>
                              <a:xfrm>
                                <a:off x="0" y="0"/>
                                <a:ext cx="424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5460" cy="175260"/>
                      <wp:effectExtent l="0" t="0" r="0" b="0"/>
                      <wp:wrapNone/>
                      <wp:docPr id="32" name="Frame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5460" cy="175260"/>
                      <wp:effectExtent l="0" t="0" r="0" b="0"/>
                      <wp:wrapNone/>
                      <wp:docPr id="35" name="Frame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1285" cy="175260"/>
                      <wp:effectExtent l="0" t="0" r="0" b="0"/>
                      <wp:wrapNone/>
                      <wp:docPr id="36" name="Frame3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Twenty-Six Weeks Ended</w:t>
            </w:r>
          </w:p>
        </w:tc>
        <w:tc>
          <w:tcPr>
            <w:tcW w:w="191" w:type="dxa"/>
            <w:tcBorders/>
            <w:vAlign w:val="center"/>
          </w:tcPr>
          <w:p>
            <w:pPr>
              <w:pStyle w:val="TableContents"/>
              <w:bidi w:val="0"/>
              <w:spacing w:before="0" w:after="0"/>
              <w:ind w:left="0" w:right="0" w:hanging="0"/>
              <w:jc w:val="center"/>
              <w:rPr/>
            </w:pPr>
            <w:r>
              <w:rPr/>
              <w:t>​</w: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w:t>
            </w:r>
          </w:p>
        </w:tc>
        <w:tc>
          <w:tcPr>
            <w:tcW w:w="191" w:type="dxa"/>
            <w:tcBorders/>
            <w:vAlign w:val="center"/>
          </w:tcPr>
          <w:p>
            <w:pPr>
              <w:pStyle w:val="TableContents"/>
              <w:bidi w:val="0"/>
              <w:spacing w:before="0" w:after="0"/>
              <w:ind w:left="0" w:right="0" w:hanging="0"/>
              <w:jc w:val="center"/>
              <w:rPr/>
            </w:pPr>
            <w:r>
              <w:rPr/>
              <w:t>​</w: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(21,839)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(11,667)</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9,389</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Asset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1,261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Non-cash operating lease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24,605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25,662</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Loss on disposal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(8,610)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(3,208)</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Non-cash 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1,984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Changes in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(28,679)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(6,084)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(3,764)</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10,030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12,437</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expenses and 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(21,865)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(31,237)</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Accrued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523</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Income tax receivable/payable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(2,439)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Layaway deposits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915</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(13,996)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(29,961)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 xml:space="preserve">Purchases of property and equipment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(5,552)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(6,905)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(5,552)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(6,905)</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Cash used to settle withholding taxes on the vesting of nonvested restricted stock</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(809)</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(809)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(20,404)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(37,675)</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79,706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103,495</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59,302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65,820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Cash paid for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79</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Cash (refunds) payments of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1,519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669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Supplemental disclosures of non-cash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right"/>
              <w:rPr/>
            </w:pPr>
            <w:r>
              <w:rPr/>
              <w:t>​</w:t>
            </w:r>
          </w:p>
        </w:tc>
      </w:tr>
      <w:tr>
        <w:trPr/>
        <w:tc>
          <w:tcPr>
            <w:tcW w:w="669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Accrual for 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1,485</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Helvetica" w:hAnsi="Helvetica"/>
          <w:b/>
          <w:sz w:val="18"/>
        </w:rPr>
      </w:pPr>
      <w:bookmarkStart w:id="356" w:name="_6f6ffb97_261a_4cc3_b267_73834b15456a"/>
      <w:bookmarkEnd w:id="356"/>
      <w:r>
        <w:rPr>
          <w:rFonts w:ascii="Helvetica" w:hAnsi="Helvetica"/>
          <w:b/>
          <w:sz w:val="18"/>
        </w:rPr>
        <w:t>Citi Trends, Inc.</w:t>
      </w:r>
    </w:p>
    <w:p>
      <w:pPr>
        <w:pStyle w:val="TextBody"/>
        <w:bidi w:val="0"/>
        <w:spacing w:before="0" w:after="0"/>
        <w:ind w:left="0" w:right="0" w:hanging="0"/>
        <w:jc w:val="center"/>
        <w:rPr>
          <w:rFonts w:ascii="Times New Roman;Times;serif" w:hAnsi="Times New Roman;Times;serif"/>
          <w:sz w:val="18"/>
        </w:rPr>
      </w:pPr>
      <w:r>
        <w:rPr>
          <w:rFonts w:ascii="Helvetica" w:hAnsi="Helvetica"/>
          <w:b/>
          <w:sz w:val="18"/>
        </w:rPr>
        <w:t>Condensed Consolidated Statements of Stockholders</w:t>
      </w:r>
      <w:r>
        <w:rPr>
          <w:rFonts w:ascii="Times New Roman;Times;serif" w:hAnsi="Times New Roman;Times;serif"/>
          <w:sz w:val="18"/>
        </w:rPr>
        <w:t xml:space="preserve">’ </w:t>
      </w:r>
      <w:r>
        <w:rPr>
          <w:rFonts w:ascii="Helvetica" w:hAnsi="Helvetica"/>
          <w:b/>
          <w:sz w:val="18"/>
        </w:rPr>
        <w:t>Equity</w:t>
      </w:r>
    </w:p>
    <w:p>
      <w:pPr>
        <w:pStyle w:val="TextBody"/>
        <w:bidi w:val="0"/>
        <w:spacing w:before="0" w:after="0"/>
        <w:ind w:left="0" w:right="0" w:hanging="0"/>
        <w:jc w:val="center"/>
        <w:rPr>
          <w:rFonts w:ascii="Helvetica" w:hAnsi="Helvetica"/>
          <w:b/>
          <w:sz w:val="18"/>
        </w:rPr>
      </w:pPr>
      <w:r>
        <w:rPr>
          <w:rFonts w:ascii="Helvetica" w:hAnsi="Helvetica"/>
          <w:b/>
          <w:sz w:val="18"/>
        </w:rPr>
        <w:t>(Unaudited)</w:t>
      </w:r>
    </w:p>
    <w:p>
      <w:pPr>
        <w:pStyle w:val="TextBody"/>
        <w:bidi w:val="0"/>
        <w:spacing w:before="0" w:after="0"/>
        <w:ind w:left="0" w:right="0" w:hanging="0"/>
        <w:jc w:val="center"/>
        <w:rPr>
          <w:rFonts w:ascii="Helvetica" w:hAnsi="Helvetica"/>
          <w:b/>
          <w:sz w:val="18"/>
        </w:rPr>
      </w:pPr>
      <w:bookmarkStart w:id="357" w:name="StockholdersEquityTable"/>
      <w:bookmarkEnd w:id="357"/>
      <w:r>
        <w:rPr>
          <w:rFonts w:ascii="Helvetica" w:hAnsi="Helvetica"/>
          <w:b/>
          <w:sz w:val="18"/>
        </w:rPr>
        <w:t>(in thousands, except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58" w:name="Tc_V5PNq2eMWUS5efcCbdHGpg_18_18"/>
      <w:bookmarkStart w:id="359" w:name="Tc_dheogymgmkym1lutZps7Nw_18_15"/>
      <w:bookmarkStart w:id="360" w:name="Tc_mtd9Pqyt3EqmO-PVTanp0A_18_10"/>
      <w:bookmarkStart w:id="361" w:name="Tc_HLAH1LrfXUCJAM7ueZSiSw_18_7"/>
      <w:bookmarkStart w:id="362" w:name="Tc_-nn6fHerOE2YD43GPkrM8Q_18_4"/>
      <w:bookmarkStart w:id="363" w:name="Tc_dtYpTlKO-UezXnmOrqeAbg_18_0"/>
      <w:bookmarkStart w:id="364" w:name="Tc_UPL7gTWFWUqbXK7dUjnpXQ_17_16"/>
      <w:bookmarkStart w:id="365" w:name="Tc_xvaReKfw1EmJ7wXrAc2MmQ_17_13"/>
      <w:bookmarkStart w:id="366" w:name="Tc_Mi0DvYQy8kyzXGTRZtmnXA_17_8"/>
      <w:bookmarkStart w:id="367" w:name="Tc_qx3eqduMT0arYgQ9vAZf5Q_17_5"/>
      <w:bookmarkStart w:id="368" w:name="Tc_16ZWE29P0UO4ML043iCyWg_17_2"/>
      <w:bookmarkStart w:id="369" w:name="Tc_hej2nCuYpkigLjfKz17bgQ_17_0"/>
      <w:bookmarkStart w:id="370" w:name="Tc_nCvzQyeby0Gb4nlWj5ySBQ_16_16"/>
      <w:bookmarkStart w:id="371" w:name="Tc_rie5hEpolU6-wqQtIhWmuw_16_13"/>
      <w:bookmarkStart w:id="372" w:name="Tc_Rr4OiersnkaHbV75UTn1_A_16_11"/>
      <w:bookmarkStart w:id="373" w:name="Tc_J8n6TDnsCEmsAD8Zt7i_iQ_16_5"/>
      <w:bookmarkStart w:id="374" w:name="Tc_9DQR3cy8QU-lPHDuEvp7vg_16_0"/>
      <w:bookmarkStart w:id="375" w:name="Tc_oGyIS7NSs0i8b7-ZO1dz7g_15_16"/>
      <w:bookmarkStart w:id="376" w:name="Tc_aJXJz6Q8nUeFmbrBtTFSmQ_15_13"/>
      <w:bookmarkStart w:id="377" w:name="Tc_0n87wucCSk6xUkc_jJDv_g_15_11"/>
      <w:bookmarkStart w:id="378" w:name="Tc_hlNkTicc5UWkeGjry60Uig_15_5"/>
      <w:bookmarkStart w:id="379" w:name="Tc_3nbdGf0QM0C3vCo2cuohUQ_15_2"/>
      <w:bookmarkStart w:id="380" w:name="Tc_eASft1dwd06SgqPL8YKDnw_15_0"/>
      <w:bookmarkStart w:id="381" w:name="Tc_Pvp_bI01H0-5KhTW7gE_2Q_14_19"/>
      <w:bookmarkStart w:id="382" w:name="Tc_EL42R_W_xk29nEpUPI_k7A_14_16"/>
      <w:bookmarkStart w:id="383" w:name="Tc_C66dNBobt0qGriSz4s50FA_14_13"/>
      <w:bookmarkStart w:id="384" w:name="Tc_9ELj8ljAmUuqmCQub_ua6Q_14_11"/>
      <w:bookmarkStart w:id="385" w:name="Tc_Igr45TUQFkSIIsqjRTUo6w_14_8"/>
      <w:bookmarkStart w:id="386" w:name="Tc_gAkpakMnoEWzcBdJoAWshw_14_5"/>
      <w:bookmarkStart w:id="387" w:name="Tc_R_5PVmbMq0CJKS1F3wexew_14_0"/>
      <w:bookmarkStart w:id="388" w:name="Tc_X50cBwrWNU6kR8nXRbcUDA_13_19"/>
      <w:bookmarkStart w:id="389" w:name="Tc_njQ3lHPY1EGlAqXEBPz4vQ_13_16"/>
      <w:bookmarkStart w:id="390" w:name="Tc_-9nTnPVCLUeRiciMxMtNbA_13_13"/>
      <w:bookmarkStart w:id="391" w:name="Tc_LfaaUvuIr0aBUBHcf-DhGg_13_11"/>
      <w:bookmarkStart w:id="392" w:name="Tc_xwVLk6IqOEuhcVRw3vxwYg_13_8"/>
      <w:bookmarkStart w:id="393" w:name="Tc_3lx0VSypY0KY9MCOQrhUdg_13_5"/>
      <w:bookmarkStart w:id="394" w:name="Tc_Lfuw-QMtB0W6dw5AZS7Weg_13_0"/>
      <w:bookmarkStart w:id="395" w:name="Tc_hg-xMHCtaEOGv47LTa_TLA_12_19"/>
      <w:bookmarkStart w:id="396" w:name="Tc_rK4RGCBzJ0-Qg97X6pw9PA_12_16"/>
      <w:bookmarkStart w:id="397" w:name="Tc_9Aewx6LN7Eyssp-gF8SBMg_12_13"/>
      <w:bookmarkStart w:id="398" w:name="Tc_MKKDwORNlE6JU1xkrYtKlw_12_11"/>
      <w:bookmarkStart w:id="399" w:name="Tc_cOJf8CZpfU-91Gbgh_TQIg_12_8"/>
      <w:bookmarkStart w:id="400" w:name="Tc_BHiO2X3NjUiUYUwbyeFKFw_12_5"/>
      <w:bookmarkStart w:id="401" w:name="Tc_BO1M1fU4Y0Sfc6p_05vkxg_12_0"/>
      <w:bookmarkStart w:id="402" w:name="Tc_GcxCiMUffE2waO0ND4qP6w_11_16"/>
      <w:bookmarkStart w:id="403" w:name="Tc_9AMWVHAe2US4Fb6oK-HKqg_11_13"/>
      <w:bookmarkStart w:id="404" w:name="Tc_wAdwhq9mtUWSCJYRprlB5Q_11_11"/>
      <w:bookmarkStart w:id="405" w:name="Tc_ZYfhsALEskyzE3WBOn_9Qg_11_8"/>
      <w:bookmarkStart w:id="406" w:name="Tc_9Zm1VjWroUS-EOOyRK1Qkg_11_2"/>
      <w:bookmarkStart w:id="407" w:name="Tc_gzsDEmDXy0qIXKDHa6Qp7w_11_0"/>
      <w:bookmarkStart w:id="408" w:name="Tc_7Oj3V5bRNkuwXgHSWpC4BA_10_18"/>
      <w:bookmarkStart w:id="409" w:name="Tc_uMCpbV8jUEuLuTWzus5jxA_10_15"/>
      <w:bookmarkStart w:id="410" w:name="Tc_G15O682hgUKOYnZGv5Rg0Q_10_10"/>
      <w:bookmarkStart w:id="411" w:name="Tc_0T9L_0LpKEW81CsWpzO0NA_10_7"/>
      <w:bookmarkStart w:id="412" w:name="Tc_yKchZ8J9skKqv-eflv70cQ_10_4"/>
      <w:bookmarkStart w:id="413" w:name="Tc_DMBY0yiDR0ycfrNFhgjm_Q_10_0"/>
      <w:bookmarkStart w:id="414" w:name="Tc_-679Nj2NJkeoC6YQZYgV5w_9_16"/>
      <w:bookmarkStart w:id="415" w:name="Tc_KHfOhkDzQkSIDZCGDpK47A_9_13"/>
      <w:bookmarkStart w:id="416" w:name="Tc_XWCuCxTMbkio6Etif0qXxg_9_8"/>
      <w:bookmarkStart w:id="417" w:name="Tc_PExXIalIE0GTwhvt7qlK8w_9_5"/>
      <w:bookmarkStart w:id="418" w:name="Tc_rA2IyMfPt0m0fQZOiepcoQ_9_2"/>
      <w:bookmarkStart w:id="419" w:name="Tc_ESuf4ZnTtkibzodPROWnQg_9_0"/>
      <w:bookmarkStart w:id="420" w:name="Tc_J7cRq4jSLkKQZgiyhntkaw_8_16"/>
      <w:bookmarkStart w:id="421" w:name="Tc_6Xr2IKdNJkeevPuyUn5MXQ_8_13"/>
      <w:bookmarkStart w:id="422" w:name="Tc_PreCN6cnUkiPih3WSeBV1A_8_11"/>
      <w:bookmarkStart w:id="423" w:name="Tc_8VNj_C9vJE6-O5dcKj0C5A_8_5"/>
      <w:bookmarkStart w:id="424" w:name="Tc_Tpp-_0FrxkOskGSv8FIJBA_8_0"/>
      <w:bookmarkStart w:id="425" w:name="Tc_e6e3_bwu2ECvD4VvnbKzJw_7_16"/>
      <w:bookmarkStart w:id="426" w:name="Tc_CWGPUX9rkkWcNqYhaR3wNA_7_13"/>
      <w:bookmarkStart w:id="427" w:name="Tc_LjSxcYQiYEe8cDX5EsYQzA_7_11"/>
      <w:bookmarkStart w:id="428" w:name="Tc_8mz-m8cWxUOLZgs3N-0n8Q_7_5"/>
      <w:bookmarkStart w:id="429" w:name="Tc_PwY72DR280u64O7aRp8Dbg_7_2"/>
      <w:bookmarkStart w:id="430" w:name="Tc_ZjMkDmcJI0aRhLV5BGMNMw_7_0"/>
      <w:bookmarkStart w:id="431" w:name="Tc_ppDgIO-a_UanmAmtf6pjTA_6_19"/>
      <w:bookmarkStart w:id="432" w:name="Tc_84veoXvqa0GURBod7Lpfgg_6_16"/>
      <w:bookmarkStart w:id="433" w:name="Tc_7Hummn8kQ0CIfFfjXYJqNg_6_13"/>
      <w:bookmarkStart w:id="434" w:name="Tc_EGian4G1tUGVP4DVydgHLw_6_11"/>
      <w:bookmarkStart w:id="435" w:name="Tc_y0FtsGJsbk29rI8qNt7Jjw_6_8"/>
      <w:bookmarkStart w:id="436" w:name="Tc_FcFuAkesQ06Z4ikD8E4yag_6_5"/>
      <w:bookmarkStart w:id="437" w:name="Tc_4LeZffGLI06cY6Gbl8Wj2w_6_0"/>
      <w:bookmarkStart w:id="438" w:name="Tc_sBagtZsB4ECT72iKbKf02g_5_19"/>
      <w:bookmarkStart w:id="439" w:name="Tc_9wAU4-XX20CortD-NJaVTw_5_16"/>
      <w:bookmarkStart w:id="440" w:name="Tc_ow0X9XLvCUWBENDTLzGJTQ_5_13"/>
      <w:bookmarkStart w:id="441" w:name="Tc_D6CFRL1xlka1SI8Cb9BvLw_5_11"/>
      <w:bookmarkStart w:id="442" w:name="Tc_CshLOiKAv0mgGvhWa3Qjhw_5_8"/>
      <w:bookmarkStart w:id="443" w:name="Tc_Ug141CTGNEa_hjVvxhOpjA_5_5"/>
      <w:bookmarkStart w:id="444" w:name="Tc_4QgsQmGjkkW-dFWhy7YOzg_5_0"/>
      <w:bookmarkStart w:id="445" w:name="Tc_fdgrolF-_UurSrSkMD01EA_4_16"/>
      <w:bookmarkStart w:id="446" w:name="Tc_u8qoUjfIdEGdjXy9MhJyGw_4_13"/>
      <w:bookmarkStart w:id="447" w:name="Tc_vvVMIEhgiEy2wMK2vt406g_4_11"/>
      <w:bookmarkStart w:id="448" w:name="Tc_STrthM18XUi9hz8ft5PRTA_4_8"/>
      <w:bookmarkStart w:id="449" w:name="Tc_N_vdcyw2CUmRHFqKta7CyQ_4_2"/>
      <w:bookmarkStart w:id="450" w:name="Tc_FlTfN8U3TUWVjyuWGubUyQ_4_0"/>
      <w:bookmarkStart w:id="451" w:name="Tc_Q4Kg3C_rb02r6AV6iS04Hw_3_18"/>
      <w:bookmarkStart w:id="452" w:name="Tc_8gpxyONw4ESbsqZuPHZinA_3_15"/>
      <w:bookmarkStart w:id="453" w:name="Tc_8_-FHd8Av0KDwbvDgwVGTA_3_10"/>
      <w:bookmarkStart w:id="454" w:name="Tc_jEJBukPTQk2uAzLI7QiXFA_3_7"/>
      <w:bookmarkStart w:id="455" w:name="Tc_q9vv1mQVoE-n6G4DNGGhQA_3_4"/>
      <w:bookmarkStart w:id="456" w:name="Tc_eqU0ZU8TUkuw7jwqU6JcAg_3_0"/>
      <w:bookmarkStart w:id="457" w:name="Tc_gnA-MwCVnEWBlQZ3CK9-iQ_2_18"/>
      <w:bookmarkStart w:id="458" w:name="Tc_OsQCTS4Ud0mOqx2_gW1Ppg_2_15"/>
      <w:bookmarkStart w:id="459" w:name="Tc_GJfWQJP84U29Pj737Z5NrA_2_13"/>
      <w:bookmarkStart w:id="460" w:name="Tc_v2dpnFwM4kmMDorwaWL2eg_2_10"/>
      <w:bookmarkStart w:id="461" w:name="Tc_1vR3yDJfbU2K9TFB7dtoqQ_2_7"/>
      <w:bookmarkStart w:id="462" w:name="Tc_kfko6bcAo0idqa94wqqf-Q_2_4"/>
      <w:bookmarkStart w:id="463" w:name="Tc_Z7-IpagKwUm8r80EOBT-sA_2_2"/>
      <w:bookmarkStart w:id="464" w:name="Tc_R8q5k1F4nECjqYHm9KD8wA_1_13"/>
      <w:bookmarkStart w:id="465" w:name="Tc_aXTegiBqmkCdlvI87FqHWQ_1_10"/>
      <w:bookmarkStart w:id="466" w:name="Tc_ABA-cgHsGUCgQIzTJN3jCw_1_7"/>
      <w:bookmarkStart w:id="467" w:name="Tc_nFduUzK5Rkewn5aO3Rc2vA_1_2"/>
      <w:bookmarkStart w:id="468" w:name="_23726156_40a8_46b0_a0d6_37bdfb31d224"/>
      <w:bookmarkStart w:id="469" w:name="Tc_V5PNq2eMWUS5efcCbdHGpg_18_18"/>
      <w:bookmarkStart w:id="470" w:name="Tc_dheogymgmkym1lutZps7Nw_18_15"/>
      <w:bookmarkStart w:id="471" w:name="Tc_mtd9Pqyt3EqmO-PVTanp0A_18_10"/>
      <w:bookmarkStart w:id="472" w:name="Tc_HLAH1LrfXUCJAM7ueZSiSw_18_7"/>
      <w:bookmarkStart w:id="473" w:name="Tc_-nn6fHerOE2YD43GPkrM8Q_18_4"/>
      <w:bookmarkStart w:id="474" w:name="Tc_dtYpTlKO-UezXnmOrqeAbg_18_0"/>
      <w:bookmarkStart w:id="475" w:name="Tc_UPL7gTWFWUqbXK7dUjnpXQ_17_16"/>
      <w:bookmarkStart w:id="476" w:name="Tc_xvaReKfw1EmJ7wXrAc2MmQ_17_13"/>
      <w:bookmarkStart w:id="477" w:name="Tc_Mi0DvYQy8kyzXGTRZtmnXA_17_8"/>
      <w:bookmarkStart w:id="478" w:name="Tc_qx3eqduMT0arYgQ9vAZf5Q_17_5"/>
      <w:bookmarkStart w:id="479" w:name="Tc_16ZWE29P0UO4ML043iCyWg_17_2"/>
      <w:bookmarkStart w:id="480" w:name="Tc_hej2nCuYpkigLjfKz17bgQ_17_0"/>
      <w:bookmarkStart w:id="481" w:name="Tc_nCvzQyeby0Gb4nlWj5ySBQ_16_16"/>
      <w:bookmarkStart w:id="482" w:name="Tc_rie5hEpolU6-wqQtIhWmuw_16_13"/>
      <w:bookmarkStart w:id="483" w:name="Tc_Rr4OiersnkaHbV75UTn1_A_16_11"/>
      <w:bookmarkStart w:id="484" w:name="Tc_J8n6TDnsCEmsAD8Zt7i_iQ_16_5"/>
      <w:bookmarkStart w:id="485" w:name="Tc_9DQR3cy8QU-lPHDuEvp7vg_16_0"/>
      <w:bookmarkStart w:id="486" w:name="Tc_oGyIS7NSs0i8b7-ZO1dz7g_15_16"/>
      <w:bookmarkStart w:id="487" w:name="Tc_aJXJz6Q8nUeFmbrBtTFSmQ_15_13"/>
      <w:bookmarkStart w:id="488" w:name="Tc_0n87wucCSk6xUkc_jJDv_g_15_11"/>
      <w:bookmarkStart w:id="489" w:name="Tc_hlNkTicc5UWkeGjry60Uig_15_5"/>
      <w:bookmarkStart w:id="490" w:name="Tc_3nbdGf0QM0C3vCo2cuohUQ_15_2"/>
      <w:bookmarkStart w:id="491" w:name="Tc_eASft1dwd06SgqPL8YKDnw_15_0"/>
      <w:bookmarkStart w:id="492" w:name="Tc_Pvp_bI01H0-5KhTW7gE_2Q_14_19"/>
      <w:bookmarkStart w:id="493" w:name="Tc_EL42R_W_xk29nEpUPI_k7A_14_16"/>
      <w:bookmarkStart w:id="494" w:name="Tc_C66dNBobt0qGriSz4s50FA_14_13"/>
      <w:bookmarkStart w:id="495" w:name="Tc_9ELj8ljAmUuqmCQub_ua6Q_14_11"/>
      <w:bookmarkStart w:id="496" w:name="Tc_Igr45TUQFkSIIsqjRTUo6w_14_8"/>
      <w:bookmarkStart w:id="497" w:name="Tc_gAkpakMnoEWzcBdJoAWshw_14_5"/>
      <w:bookmarkStart w:id="498" w:name="Tc_R_5PVmbMq0CJKS1F3wexew_14_0"/>
      <w:bookmarkStart w:id="499" w:name="Tc_X50cBwrWNU6kR8nXRbcUDA_13_19"/>
      <w:bookmarkStart w:id="500" w:name="Tc_njQ3lHPY1EGlAqXEBPz4vQ_13_16"/>
      <w:bookmarkStart w:id="501" w:name="Tc_-9nTnPVCLUeRiciMxMtNbA_13_13"/>
      <w:bookmarkStart w:id="502" w:name="Tc_LfaaUvuIr0aBUBHcf-DhGg_13_11"/>
      <w:bookmarkStart w:id="503" w:name="Tc_xwVLk6IqOEuhcVRw3vxwYg_13_8"/>
      <w:bookmarkStart w:id="504" w:name="Tc_3lx0VSypY0KY9MCOQrhUdg_13_5"/>
      <w:bookmarkStart w:id="505" w:name="Tc_Lfuw-QMtB0W6dw5AZS7Weg_13_0"/>
      <w:bookmarkStart w:id="506" w:name="Tc_hg-xMHCtaEOGv47LTa_TLA_12_19"/>
      <w:bookmarkStart w:id="507" w:name="Tc_rK4RGCBzJ0-Qg97X6pw9PA_12_16"/>
      <w:bookmarkStart w:id="508" w:name="Tc_9Aewx6LN7Eyssp-gF8SBMg_12_13"/>
      <w:bookmarkStart w:id="509" w:name="Tc_MKKDwORNlE6JU1xkrYtKlw_12_11"/>
      <w:bookmarkStart w:id="510" w:name="Tc_cOJf8CZpfU-91Gbgh_TQIg_12_8"/>
      <w:bookmarkStart w:id="511" w:name="Tc_BHiO2X3NjUiUYUwbyeFKFw_12_5"/>
      <w:bookmarkStart w:id="512" w:name="Tc_BO1M1fU4Y0Sfc6p_05vkxg_12_0"/>
      <w:bookmarkStart w:id="513" w:name="Tc_GcxCiMUffE2waO0ND4qP6w_11_16"/>
      <w:bookmarkStart w:id="514" w:name="Tc_9AMWVHAe2US4Fb6oK-HKqg_11_13"/>
      <w:bookmarkStart w:id="515" w:name="Tc_wAdwhq9mtUWSCJYRprlB5Q_11_11"/>
      <w:bookmarkStart w:id="516" w:name="Tc_ZYfhsALEskyzE3WBOn_9Qg_11_8"/>
      <w:bookmarkStart w:id="517" w:name="Tc_9Zm1VjWroUS-EOOyRK1Qkg_11_2"/>
      <w:bookmarkStart w:id="518" w:name="Tc_gzsDEmDXy0qIXKDHa6Qp7w_11_0"/>
      <w:bookmarkStart w:id="519" w:name="Tc_7Oj3V5bRNkuwXgHSWpC4BA_10_18"/>
      <w:bookmarkStart w:id="520" w:name="Tc_uMCpbV8jUEuLuTWzus5jxA_10_15"/>
      <w:bookmarkStart w:id="521" w:name="Tc_G15O682hgUKOYnZGv5Rg0Q_10_10"/>
      <w:bookmarkStart w:id="522" w:name="Tc_0T9L_0LpKEW81CsWpzO0NA_10_7"/>
      <w:bookmarkStart w:id="523" w:name="Tc_yKchZ8J9skKqv-eflv70cQ_10_4"/>
      <w:bookmarkStart w:id="524" w:name="Tc_DMBY0yiDR0ycfrNFhgjm_Q_10_0"/>
      <w:bookmarkStart w:id="525" w:name="Tc_-679Nj2NJkeoC6YQZYgV5w_9_16"/>
      <w:bookmarkStart w:id="526" w:name="Tc_KHfOhkDzQkSIDZCGDpK47A_9_13"/>
      <w:bookmarkStart w:id="527" w:name="Tc_XWCuCxTMbkio6Etif0qXxg_9_8"/>
      <w:bookmarkStart w:id="528" w:name="Tc_PExXIalIE0GTwhvt7qlK8w_9_5"/>
      <w:bookmarkStart w:id="529" w:name="Tc_rA2IyMfPt0m0fQZOiepcoQ_9_2"/>
      <w:bookmarkStart w:id="530" w:name="Tc_ESuf4ZnTtkibzodPROWnQg_9_0"/>
      <w:bookmarkStart w:id="531" w:name="Tc_J7cRq4jSLkKQZgiyhntkaw_8_16"/>
      <w:bookmarkStart w:id="532" w:name="Tc_6Xr2IKdNJkeevPuyUn5MXQ_8_13"/>
      <w:bookmarkStart w:id="533" w:name="Tc_PreCN6cnUkiPih3WSeBV1A_8_11"/>
      <w:bookmarkStart w:id="534" w:name="Tc_8VNj_C9vJE6-O5dcKj0C5A_8_5"/>
      <w:bookmarkStart w:id="535" w:name="Tc_Tpp-_0FrxkOskGSv8FIJBA_8_0"/>
      <w:bookmarkStart w:id="536" w:name="Tc_e6e3_bwu2ECvD4VvnbKzJw_7_16"/>
      <w:bookmarkStart w:id="537" w:name="Tc_CWGPUX9rkkWcNqYhaR3wNA_7_13"/>
      <w:bookmarkStart w:id="538" w:name="Tc_LjSxcYQiYEe8cDX5EsYQzA_7_11"/>
      <w:bookmarkStart w:id="539" w:name="Tc_8mz-m8cWxUOLZgs3N-0n8Q_7_5"/>
      <w:bookmarkStart w:id="540" w:name="Tc_PwY72DR280u64O7aRp8Dbg_7_2"/>
      <w:bookmarkStart w:id="541" w:name="Tc_ZjMkDmcJI0aRhLV5BGMNMw_7_0"/>
      <w:bookmarkStart w:id="542" w:name="Tc_ppDgIO-a_UanmAmtf6pjTA_6_19"/>
      <w:bookmarkStart w:id="543" w:name="Tc_84veoXvqa0GURBod7Lpfgg_6_16"/>
      <w:bookmarkStart w:id="544" w:name="Tc_7Hummn8kQ0CIfFfjXYJqNg_6_13"/>
      <w:bookmarkStart w:id="545" w:name="Tc_EGian4G1tUGVP4DVydgHLw_6_11"/>
      <w:bookmarkStart w:id="546" w:name="Tc_y0FtsGJsbk29rI8qNt7Jjw_6_8"/>
      <w:bookmarkStart w:id="547" w:name="Tc_FcFuAkesQ06Z4ikD8E4yag_6_5"/>
      <w:bookmarkStart w:id="548" w:name="Tc_4LeZffGLI06cY6Gbl8Wj2w_6_0"/>
      <w:bookmarkStart w:id="549" w:name="Tc_sBagtZsB4ECT72iKbKf02g_5_19"/>
      <w:bookmarkStart w:id="550" w:name="Tc_9wAU4-XX20CortD-NJaVTw_5_16"/>
      <w:bookmarkStart w:id="551" w:name="Tc_ow0X9XLvCUWBENDTLzGJTQ_5_13"/>
      <w:bookmarkStart w:id="552" w:name="Tc_D6CFRL1xlka1SI8Cb9BvLw_5_11"/>
      <w:bookmarkStart w:id="553" w:name="Tc_CshLOiKAv0mgGvhWa3Qjhw_5_8"/>
      <w:bookmarkStart w:id="554" w:name="Tc_Ug141CTGNEa_hjVvxhOpjA_5_5"/>
      <w:bookmarkStart w:id="555" w:name="Tc_4QgsQmGjkkW-dFWhy7YOzg_5_0"/>
      <w:bookmarkStart w:id="556" w:name="Tc_fdgrolF-_UurSrSkMD01EA_4_16"/>
      <w:bookmarkStart w:id="557" w:name="Tc_u8qoUjfIdEGdjXy9MhJyGw_4_13"/>
      <w:bookmarkStart w:id="558" w:name="Tc_vvVMIEhgiEy2wMK2vt406g_4_11"/>
      <w:bookmarkStart w:id="559" w:name="Tc_STrthM18XUi9hz8ft5PRTA_4_8"/>
      <w:bookmarkStart w:id="560" w:name="Tc_N_vdcyw2CUmRHFqKta7CyQ_4_2"/>
      <w:bookmarkStart w:id="561" w:name="Tc_FlTfN8U3TUWVjyuWGubUyQ_4_0"/>
      <w:bookmarkStart w:id="562" w:name="Tc_Q4Kg3C_rb02r6AV6iS04Hw_3_18"/>
      <w:bookmarkStart w:id="563" w:name="Tc_8gpxyONw4ESbsqZuPHZinA_3_15"/>
      <w:bookmarkStart w:id="564" w:name="Tc_8_-FHd8Av0KDwbvDgwVGTA_3_10"/>
      <w:bookmarkStart w:id="565" w:name="Tc_jEJBukPTQk2uAzLI7QiXFA_3_7"/>
      <w:bookmarkStart w:id="566" w:name="Tc_q9vv1mQVoE-n6G4DNGGhQA_3_4"/>
      <w:bookmarkStart w:id="567" w:name="Tc_eqU0ZU8TUkuw7jwqU6JcAg_3_0"/>
      <w:bookmarkStart w:id="568" w:name="Tc_gnA-MwCVnEWBlQZ3CK9-iQ_2_18"/>
      <w:bookmarkStart w:id="569" w:name="Tc_OsQCTS4Ud0mOqx2_gW1Ppg_2_15"/>
      <w:bookmarkStart w:id="570" w:name="Tc_GJfWQJP84U29Pj737Z5NrA_2_13"/>
      <w:bookmarkStart w:id="571" w:name="Tc_v2dpnFwM4kmMDorwaWL2eg_2_10"/>
      <w:bookmarkStart w:id="572" w:name="Tc_1vR3yDJfbU2K9TFB7dtoqQ_2_7"/>
      <w:bookmarkStart w:id="573" w:name="Tc_kfko6bcAo0idqa94wqqf-Q_2_4"/>
      <w:bookmarkStart w:id="574" w:name="Tc_Z7-IpagKwUm8r80EOBT-sA_2_2"/>
      <w:bookmarkStart w:id="575" w:name="Tc_R8q5k1F4nECjqYHm9KD8wA_1_13"/>
      <w:bookmarkStart w:id="576" w:name="Tc_aXTegiBqmkCdlvI87FqHWQ_1_10"/>
      <w:bookmarkStart w:id="577" w:name="Tc_ABA-cgHsGUCgQIzTJN3jCw_1_7"/>
      <w:bookmarkStart w:id="578" w:name="Tc_nFduUzK5Rkewn5aO3Rc2vA_1_2"/>
      <w:bookmarkStart w:id="579" w:name="_23726156_40a8_46b0_a0d6_37bdfb31d224"/>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tbl>
      <w:tblPr>
        <w:tblW w:w="10205" w:type="dxa"/>
        <w:jc w:val="left"/>
        <w:tblInd w:w="0" w:type="dxa"/>
        <w:tblLayout w:type="fixed"/>
        <w:tblCellMar>
          <w:top w:w="0" w:type="dxa"/>
          <w:left w:w="0" w:type="dxa"/>
          <w:bottom w:w="0" w:type="dxa"/>
          <w:right w:w="0" w:type="dxa"/>
        </w:tblCellMar>
      </w:tblPr>
      <w:tblGrid>
        <w:gridCol w:w="2526"/>
        <w:gridCol w:w="146"/>
        <w:gridCol w:w="1036"/>
        <w:gridCol w:w="109"/>
        <w:gridCol w:w="250"/>
        <w:gridCol w:w="501"/>
        <w:gridCol w:w="109"/>
        <w:gridCol w:w="211"/>
        <w:gridCol w:w="781"/>
        <w:gridCol w:w="109"/>
        <w:gridCol w:w="211"/>
        <w:gridCol w:w="789"/>
        <w:gridCol w:w="146"/>
        <w:gridCol w:w="931"/>
        <w:gridCol w:w="109"/>
        <w:gridCol w:w="211"/>
        <w:gridCol w:w="874"/>
        <w:gridCol w:w="109"/>
        <w:gridCol w:w="211"/>
        <w:gridCol w:w="836"/>
      </w:tblGrid>
      <w:tr>
        <w:trPr/>
        <w:tc>
          <w:tcPr>
            <w:tcW w:w="25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2710" cy="175260"/>
                      <wp:effectExtent l="0" t="0" r="0" b="0"/>
                      <wp:wrapNone/>
                      <wp:docPr id="37" name="Frame3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57860" cy="175260"/>
                      <wp:effectExtent l="0" t="0" r="0" b="0"/>
                      <wp:wrapNone/>
                      <wp:docPr id="38" name="Frame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8750" cy="175260"/>
                      <wp:effectExtent l="0" t="0" r="0" b="0"/>
                      <wp:wrapNone/>
                      <wp:docPr id="40" name="Frame4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18135" cy="175260"/>
                      <wp:effectExtent l="0" t="0" r="0" b="0"/>
                      <wp:wrapNone/>
                      <wp:docPr id="41" name="Frame41"/>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43"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5935" cy="175260"/>
                      <wp:effectExtent l="0" t="0" r="0" b="0"/>
                      <wp:wrapNone/>
                      <wp:docPr id="44" name="Frame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45"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1015" cy="175260"/>
                      <wp:effectExtent l="0" t="0" r="0" b="0"/>
                      <wp:wrapNone/>
                      <wp:docPr id="47" name="Frame4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2710" cy="175260"/>
                      <wp:effectExtent l="0" t="0" r="0" b="0"/>
                      <wp:wrapNone/>
                      <wp:docPr id="48" name="Frame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91185" cy="175260"/>
                      <wp:effectExtent l="0" t="0" r="0" b="0"/>
                      <wp:wrapNone/>
                      <wp:docPr id="49" name="Frame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54990" cy="175260"/>
                      <wp:effectExtent l="0" t="0" r="0" b="0"/>
                      <wp:wrapNone/>
                      <wp:docPr id="52" name="Frame52"/>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30860" cy="175260"/>
                      <wp:effectExtent l="0" t="0" r="0" b="0"/>
                      <wp:wrapNone/>
                      <wp:docPr id="55" name="Frame55"/>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89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Common Stock</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Paid in</w:t>
            </w:r>
          </w:p>
        </w:tc>
        <w:tc>
          <w:tcPr>
            <w:tcW w:w="109" w:type="dxa"/>
            <w:tcBorders/>
            <w:vAlign w:val="center"/>
          </w:tcPr>
          <w:p>
            <w:pPr>
              <w:pStyle w:val="TableContents"/>
              <w:bidi w:val="0"/>
              <w:spacing w:before="0" w:after="0"/>
              <w:ind w:left="0" w:right="0" w:hanging="0"/>
              <w:jc w:val="left"/>
              <w:rPr/>
            </w:pPr>
            <w:r>
              <w:rPr/>
              <w:t>​</w:t>
            </w:r>
          </w:p>
        </w:tc>
        <w:tc>
          <w:tcPr>
            <w:tcW w:w="1000"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Retained</w:t>
            </w:r>
          </w:p>
        </w:tc>
        <w:tc>
          <w:tcPr>
            <w:tcW w:w="146" w:type="dxa"/>
            <w:tcBorders/>
            <w:vAlign w:val="center"/>
          </w:tcPr>
          <w:p>
            <w:pPr>
              <w:pStyle w:val="TableContents"/>
              <w:bidi w:val="0"/>
              <w:spacing w:before="0" w:after="0"/>
              <w:ind w:left="0" w:right="0" w:hanging="0"/>
              <w:jc w:val="left"/>
              <w:rPr/>
            </w:pPr>
            <w:r>
              <w:rPr/>
              <w:t>​</w:t>
            </w:r>
          </w:p>
        </w:tc>
        <w:tc>
          <w:tcPr>
            <w:tcW w:w="212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Treasury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center"/>
              <w:rPr/>
            </w:pPr>
            <w:r>
              <w:rPr/>
              <w:t>​</w:t>
            </w:r>
          </w:p>
        </w:tc>
      </w:tr>
      <w:tr>
        <w:trPr/>
        <w:tc>
          <w:tcPr>
            <w:tcW w:w="25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Amount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Capital</w:t>
            </w:r>
          </w:p>
        </w:tc>
        <w:tc>
          <w:tcPr>
            <w:tcW w:w="109" w:type="dxa"/>
            <w:tcBorders/>
            <w:vAlign w:val="center"/>
          </w:tcPr>
          <w:p>
            <w:pPr>
              <w:pStyle w:val="TableContents"/>
              <w:bidi w:val="0"/>
              <w:spacing w:before="0" w:after="0"/>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Earnings</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w:t>
            </w:r>
          </w:p>
        </w:tc>
        <w:tc>
          <w:tcPr>
            <w:tcW w:w="109" w:type="dxa"/>
            <w:tcBorders/>
            <w:vAlign w:val="center"/>
          </w:tcPr>
          <w:p>
            <w:pPr>
              <w:pStyle w:val="TableContents"/>
              <w:bidi w:val="0"/>
              <w:spacing w:before="0" w:after="0"/>
              <w:ind w:left="0" w:right="0" w:hanging="0"/>
              <w:jc w:val="left"/>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Amount</w:t>
            </w:r>
          </w:p>
        </w:tc>
        <w:tc>
          <w:tcPr>
            <w:tcW w:w="109" w:type="dxa"/>
            <w:tcBorders/>
            <w:vAlign w:val="center"/>
          </w:tcPr>
          <w:p>
            <w:pPr>
              <w:pStyle w:val="TableContents"/>
              <w:bidi w:val="0"/>
              <w:spacing w:before="0" w:after="0"/>
              <w:ind w:left="0" w:right="0" w:hanging="0"/>
              <w:jc w:val="left"/>
              <w:rPr/>
            </w:pPr>
            <w:r>
              <w:rPr/>
              <w:t>​</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Total</w:t>
            </w:r>
          </w:p>
        </w:tc>
      </w:tr>
      <w:tr>
        <w:trPr/>
        <w:tc>
          <w:tcPr>
            <w:tcW w:w="25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February 3, 2024</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16,354,714</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105,686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9"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319,071</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7,804,013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157,706</w:t>
            </w:r>
          </w:p>
        </w:tc>
      </w:tr>
      <w:tr>
        <w:trPr/>
        <w:tc>
          <w:tcPr>
            <w:tcW w:w="252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Vesting of nonvested shares</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r>
      <w:tr>
        <w:trPr/>
        <w:tc>
          <w:tcPr>
            <w:tcW w:w="25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Issuance of nonvested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2,811</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252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Forfeiture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(5,178)</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25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884</w:t>
            </w:r>
          </w:p>
        </w:tc>
      </w:tr>
      <w:tr>
        <w:trPr/>
        <w:tc>
          <w:tcPr>
            <w:tcW w:w="252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share settlement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(11,618)</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(333)</w:t>
            </w:r>
          </w:p>
        </w:tc>
      </w:tr>
      <w:tr>
        <w:trPr/>
        <w:tc>
          <w:tcPr>
            <w:tcW w:w="25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loss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(3,426)</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(3,426)</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May 4, 2024</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16,340,729</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106,237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315,645</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7,804,013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154,832</w:t>
            </w:r>
          </w:p>
        </w:tc>
      </w:tr>
      <w:tr>
        <w:trPr/>
        <w:tc>
          <w:tcPr>
            <w:tcW w:w="25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Vesting of nonvested shares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r>
      <w:tr>
        <w:trPr/>
        <w:tc>
          <w:tcPr>
            <w:tcW w:w="252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Issuance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110,870</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25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Issuance of vested shares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16,373</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252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Forfeiture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(24,845)</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25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694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694</w:t>
            </w:r>
          </w:p>
        </w:tc>
      </w:tr>
      <w:tr>
        <w:trPr/>
        <w:tc>
          <w:tcPr>
            <w:tcW w:w="252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share settlement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(23,771)</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(524)</w:t>
            </w:r>
          </w:p>
        </w:tc>
      </w:tr>
      <w:tr>
        <w:trPr/>
        <w:tc>
          <w:tcPr>
            <w:tcW w:w="25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loss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(18,413)</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(18,413)</w:t>
            </w:r>
          </w:p>
        </w:tc>
      </w:tr>
      <w:tr>
        <w:trPr/>
        <w:tc>
          <w:tcPr>
            <w:tcW w:w="25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August 3, 2024</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16,419,356</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106,407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297,232</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7,804,013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136,590</w:t>
            </w:r>
          </w:p>
        </w:tc>
      </w:tr>
      <w:tr>
        <w:trPr/>
        <w:tc>
          <w:tcPr>
            <w:tcW w:w="25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80" w:name="Tc_oajGoRn0wUu2jUKrUgHDpA_16_18"/>
      <w:bookmarkStart w:id="581" w:name="Tc_6rbxlEqSj0uXeKosCrQK5g_16_15"/>
      <w:bookmarkStart w:id="582" w:name="Tc_OVv8iEetHEi44Z5-soWHfQ_16_10"/>
      <w:bookmarkStart w:id="583" w:name="Tc_qw-PwQuIq0mBzOE-1U9_2w_16_7"/>
      <w:bookmarkStart w:id="584" w:name="Tc_dR3wxoGreEayIfVePl3a-g_16_4"/>
      <w:bookmarkStart w:id="585" w:name="Tc_5JU_A61jq0aruUiA23LmEA_16_0"/>
      <w:bookmarkStart w:id="586" w:name="Tc_8zKkzzxSoESSDl5_0CaEjg_15_16"/>
      <w:bookmarkStart w:id="587" w:name="Tc_xDAiyKZfhEyRtR4vysdc0g_15_13"/>
      <w:bookmarkStart w:id="588" w:name="Tc_rLp7eV56tkSV9vyPN8Mo6g_15_8"/>
      <w:bookmarkStart w:id="589" w:name="Tc_x8yy5v2NuEqjvNvsgaII1Q_15_5"/>
      <w:bookmarkStart w:id="590" w:name="Tc_yl3iH7MG3UGuyjgggyLWsA_15_2"/>
      <w:bookmarkStart w:id="591" w:name="Tc_xS55P-bn4kC0wx7MZ53mdA_15_0"/>
      <w:bookmarkStart w:id="592" w:name="Tc_sh6b1H-DokSRf8_ZAYgVWQ_14_16"/>
      <w:bookmarkStart w:id="593" w:name="Tc_xny22qh_dUOPijchd9GjHA_14_13"/>
      <w:bookmarkStart w:id="594" w:name="Tc_2UnBz8cJVkiI-mWVyXgmQQ_14_11"/>
      <w:bookmarkStart w:id="595" w:name="Tc__q---1p4xkyfphB4-wYIjA_14_5"/>
      <w:bookmarkStart w:id="596" w:name="Tc_v2aiNtKpFkq_T7s7dG2gDA_14_0"/>
      <w:bookmarkStart w:id="597" w:name="Tc_bw0adUegWkyQjVYD8uYQow_13_16"/>
      <w:bookmarkStart w:id="598" w:name="Tc_m0RbPonorUKSO18n0beJZQ_13_13"/>
      <w:bookmarkStart w:id="599" w:name="Tc_W6CmKAPI1UCtdmzR0YMedg_13_11"/>
      <w:bookmarkStart w:id="600" w:name="Tc_dFJknQI6E0eN7khtPLcFgQ_13_5"/>
      <w:bookmarkStart w:id="601" w:name="Tc_AwTciTLO5EaWLMRWN47KtQ_13_2"/>
      <w:bookmarkStart w:id="602" w:name="Tc_0Gk50LcsXEugD0apJ4ABwA_13_0"/>
      <w:bookmarkStart w:id="603" w:name="Tc_HAv-EgCZC0ChWDUZXr0WEg_12_19"/>
      <w:bookmarkStart w:id="604" w:name="Tc_8Ezb7zGckEKB6Wo3UP43rQ_12_16"/>
      <w:bookmarkStart w:id="605" w:name="Tc_SI8w4rQFhkulrI13L0xMjQ_12_13"/>
      <w:bookmarkStart w:id="606" w:name="Tc_TF26U6l9_E2xDhv5U4SZGA_12_8"/>
      <w:bookmarkStart w:id="607" w:name="Tc_ILU0GagnFEaCje523C3XeQ_12_5"/>
      <w:bookmarkStart w:id="608" w:name="Tc__ojMqXwJekq6dP9joBZAbw_12_0"/>
      <w:bookmarkStart w:id="609" w:name="Tc_kn9kOnAi90qaA5GImPL9gQ_11_19"/>
      <w:bookmarkStart w:id="610" w:name="Tc_mNeAjlo5jU-b4s4Bp3uBxw_11_16"/>
      <w:bookmarkStart w:id="611" w:name="Tc_XjDjatQFCk2BH1IfWIWlJA_11_13"/>
      <w:bookmarkStart w:id="612" w:name="Tc_Ffq_QiUX5kOzeeyGgaAgVQ_11_11"/>
      <w:bookmarkStart w:id="613" w:name="Tc_RAnk9RRf7EGo-IgC7iqCNA_11_8"/>
      <w:bookmarkStart w:id="614" w:name="Tc_arkoqQ5SvkeTJETmK5D6wQ_11_5"/>
      <w:bookmarkStart w:id="615" w:name="Tc_kLiLdVjYyUKN-8y56lv4hw_11_0"/>
      <w:bookmarkStart w:id="616" w:name="Tc_hHSmHBpMSk2capDRq8XKkg_10_18"/>
      <w:bookmarkStart w:id="617" w:name="Tc_mVGG789XlEu7E19M9avscw_10_15"/>
      <w:bookmarkStart w:id="618" w:name="Tc_WIsOexLH6EagarH2CEZ0nA_10_10"/>
      <w:bookmarkStart w:id="619" w:name="Tc_ujsAvZRkdE-taiiUYRCjpA_10_7"/>
      <w:bookmarkStart w:id="620" w:name="Tc_ChzZe1Q9W0OftHrMlNWOVg_10_4"/>
      <w:bookmarkStart w:id="621" w:name="Tc_Fvz8fQNVs0SXQpif9BdLXw_10_0"/>
      <w:bookmarkStart w:id="622" w:name="Tc_-FAkV1CI8E-iXyZOAs55vQ_9_16"/>
      <w:bookmarkStart w:id="623" w:name="Tc_LXWYPO3eb0OiYdraWKzkYg_9_13"/>
      <w:bookmarkStart w:id="624" w:name="Tc_pHfm9bPzSEC3rF80rSlqfQ_9_8"/>
      <w:bookmarkStart w:id="625" w:name="Tc_zHHazbD5h0KUlATF-Yu38w_9_5"/>
      <w:bookmarkStart w:id="626" w:name="Tc_oGc35p_uJ0-pJTtobLXUwQ_9_2"/>
      <w:bookmarkStart w:id="627" w:name="Tc_6BBsW8AkBkO8lk_3lAZtTA_9_0"/>
      <w:bookmarkStart w:id="628" w:name="Tc_fG8eG-TSGkybJFlTPAf--g_8_16"/>
      <w:bookmarkStart w:id="629" w:name="Tc_MmUqQPCG6kG_POxIp34mBA_8_13"/>
      <w:bookmarkStart w:id="630" w:name="Tc_UYkn-dUbTU6_v6Cfu61TQg_8_11"/>
      <w:bookmarkStart w:id="631" w:name="Tc_4jByK4-ZP02Ncu7Qpyws5w_8_0"/>
      <w:bookmarkStart w:id="632" w:name="Tc_a4ojUyhCeE-_Sqe7WzQnmA_7_16"/>
      <w:bookmarkStart w:id="633" w:name="Tc_O3ET2DuCKU2yjdWHpb8grQ_7_13"/>
      <w:bookmarkStart w:id="634" w:name="Tc_2g4Z6K9spECGjevunV6HUQ_7_11"/>
      <w:bookmarkStart w:id="635" w:name="Tc_NlvLiMTpQ0a577_KFlGODw_7_5"/>
      <w:bookmarkStart w:id="636" w:name="Tc_VT-pgUmgFU2__lJPIKurcg_7_2"/>
      <w:bookmarkStart w:id="637" w:name="Tc_HgfGiXM2Ckumjis3-dveTg_7_0"/>
      <w:bookmarkStart w:id="638" w:name="Tc_TH7Vu5cUvE2Bvn6Cgl6YaA_6_19"/>
      <w:bookmarkStart w:id="639" w:name="Tc_Hu0nm1qDGk-IfAEEY3XWSA_6_16"/>
      <w:bookmarkStart w:id="640" w:name="Tc_mtqTeeqQOEu5UjIOsBMcTA_6_13"/>
      <w:bookmarkStart w:id="641" w:name="Tc_P6eDwNbMUEKsMA7UZSCsTw_6_11"/>
      <w:bookmarkStart w:id="642" w:name="Tc__qGkOVe7n0eF_i1rgZNkcA_6_8"/>
      <w:bookmarkStart w:id="643" w:name="Tc_wCxvwhBEWUuGQP8RKOd1kA_6_5"/>
      <w:bookmarkStart w:id="644" w:name="Tc_9c7vuaY1HUSCfCBIJEpIVw_6_0"/>
      <w:bookmarkStart w:id="645" w:name="Tc_pDXzno3f1065m8WEi_PSYw_5_19"/>
      <w:bookmarkStart w:id="646" w:name="Tc_lr0jij5BCECwZ6R4HLkwTA_5_16"/>
      <w:bookmarkStart w:id="647" w:name="Tc_ojP15C4qlUivx5cax64XBA_5_13"/>
      <w:bookmarkStart w:id="648" w:name="Tc_vQJyYuawb0KrOA2Lf1TkdQ_5_11"/>
      <w:bookmarkStart w:id="649" w:name="Tc_9VGKHJg4D0yd7nVdqeYCxg_5_8"/>
      <w:bookmarkStart w:id="650" w:name="Tc_5q0oNT0dZ0K-at2m2xFb9w_5_5"/>
      <w:bookmarkStart w:id="651" w:name="Tc_FXmoIh3JDkOI-FVNGZjkKg_5_0"/>
      <w:bookmarkStart w:id="652" w:name="Tc_oxRtVkLRKEG7J9DAkqXh2A_4_16"/>
      <w:bookmarkStart w:id="653" w:name="Tc_vZ26dXZNQ0--M7w1Aw9W_Q_4_13"/>
      <w:bookmarkStart w:id="654" w:name="Tc_LlfkjnqYLkeWl14yJXlgFg_4_11"/>
      <w:bookmarkStart w:id="655" w:name="Tc_TblZXWY280Su5bEpVcXCfg_4_8"/>
      <w:bookmarkStart w:id="656" w:name="Tc_3lRSW1UpT0ywX4LzuLMGbQ_4_2"/>
      <w:bookmarkStart w:id="657" w:name="Tc_1-3LM9-KhESJdi6Ge8TfzA_4_0"/>
      <w:bookmarkStart w:id="658" w:name="Tc_YonGVtpdUkKQd6kIlK9aWg_3_18"/>
      <w:bookmarkStart w:id="659" w:name="Tc_cpF4gC_2SkOOg8paMjlxsQ_3_15"/>
      <w:bookmarkStart w:id="660" w:name="Tc_1KF6RjkzQECwOgyzzfeMCA_3_10"/>
      <w:bookmarkStart w:id="661" w:name="Tc_O0ZkV1wu6kCWLd-qEoD3hQ_3_7"/>
      <w:bookmarkStart w:id="662" w:name="Tc_aIaHnA4D2UOjZ7QW108NNw_3_4"/>
      <w:bookmarkStart w:id="663" w:name="Tc_W35XVmgX90WFs3fpE0RcBw_3_0"/>
      <w:bookmarkStart w:id="664" w:name="Tc_9l5zBMpHRUqbInmb-DLaZw_2_18"/>
      <w:bookmarkStart w:id="665" w:name="Tc_fncGHv4so0m_LZpnu8SWtg_2_15"/>
      <w:bookmarkStart w:id="666" w:name="Tc_P2wUxIUDh0WbJ6dvC8qXwA_2_13"/>
      <w:bookmarkStart w:id="667" w:name="Tc_QVAtylCZHUGLbNh9w-EbOQ_2_10"/>
      <w:bookmarkStart w:id="668" w:name="Tc_Y6SNioq-p06Lb9NHL6z6nA_2_7"/>
      <w:bookmarkStart w:id="669" w:name="Tc_2Q-QmLR34UaZXvBYkGtgDQ_2_4"/>
      <w:bookmarkStart w:id="670" w:name="Tc_GJY5BRHz4E-_aHWhxyP4mA_2_2"/>
      <w:bookmarkStart w:id="671" w:name="Tc_MB7j8jG-R0aF_2evlhjxOA_1_13"/>
      <w:bookmarkStart w:id="672" w:name="Tc_kLFwt1uGR0K42WkVj9QG2g_1_10"/>
      <w:bookmarkStart w:id="673" w:name="Tc_p7UBCziDO0OwcPoKev0M0g_1_7"/>
      <w:bookmarkStart w:id="674" w:name="Tc_VwhJtn5fB0OZTEPtClyQVA_1_2"/>
      <w:bookmarkStart w:id="675" w:name="_e88109a9_2cd7_4769_9c60_c0f704a590c4"/>
      <w:bookmarkStart w:id="676" w:name="Tc_oajGoRn0wUu2jUKrUgHDpA_16_18"/>
      <w:bookmarkStart w:id="677" w:name="Tc_6rbxlEqSj0uXeKosCrQK5g_16_15"/>
      <w:bookmarkStart w:id="678" w:name="Tc_OVv8iEetHEi44Z5-soWHfQ_16_10"/>
      <w:bookmarkStart w:id="679" w:name="Tc_qw-PwQuIq0mBzOE-1U9_2w_16_7"/>
      <w:bookmarkStart w:id="680" w:name="Tc_dR3wxoGreEayIfVePl3a-g_16_4"/>
      <w:bookmarkStart w:id="681" w:name="Tc_5JU_A61jq0aruUiA23LmEA_16_0"/>
      <w:bookmarkStart w:id="682" w:name="Tc_8zKkzzxSoESSDl5_0CaEjg_15_16"/>
      <w:bookmarkStart w:id="683" w:name="Tc_xDAiyKZfhEyRtR4vysdc0g_15_13"/>
      <w:bookmarkStart w:id="684" w:name="Tc_rLp7eV56tkSV9vyPN8Mo6g_15_8"/>
      <w:bookmarkStart w:id="685" w:name="Tc_x8yy5v2NuEqjvNvsgaII1Q_15_5"/>
      <w:bookmarkStart w:id="686" w:name="Tc_yl3iH7MG3UGuyjgggyLWsA_15_2"/>
      <w:bookmarkStart w:id="687" w:name="Tc_xS55P-bn4kC0wx7MZ53mdA_15_0"/>
      <w:bookmarkStart w:id="688" w:name="Tc_sh6b1H-DokSRf8_ZAYgVWQ_14_16"/>
      <w:bookmarkStart w:id="689" w:name="Tc_xny22qh_dUOPijchd9GjHA_14_13"/>
      <w:bookmarkStart w:id="690" w:name="Tc_2UnBz8cJVkiI-mWVyXgmQQ_14_11"/>
      <w:bookmarkStart w:id="691" w:name="Tc__q---1p4xkyfphB4-wYIjA_14_5"/>
      <w:bookmarkStart w:id="692" w:name="Tc_v2aiNtKpFkq_T7s7dG2gDA_14_0"/>
      <w:bookmarkStart w:id="693" w:name="Tc_bw0adUegWkyQjVYD8uYQow_13_16"/>
      <w:bookmarkStart w:id="694" w:name="Tc_m0RbPonorUKSO18n0beJZQ_13_13"/>
      <w:bookmarkStart w:id="695" w:name="Tc_W6CmKAPI1UCtdmzR0YMedg_13_11"/>
      <w:bookmarkStart w:id="696" w:name="Tc_dFJknQI6E0eN7khtPLcFgQ_13_5"/>
      <w:bookmarkStart w:id="697" w:name="Tc_AwTciTLO5EaWLMRWN47KtQ_13_2"/>
      <w:bookmarkStart w:id="698" w:name="Tc_0Gk50LcsXEugD0apJ4ABwA_13_0"/>
      <w:bookmarkStart w:id="699" w:name="Tc_HAv-EgCZC0ChWDUZXr0WEg_12_19"/>
      <w:bookmarkStart w:id="700" w:name="Tc_8Ezb7zGckEKB6Wo3UP43rQ_12_16"/>
      <w:bookmarkStart w:id="701" w:name="Tc_SI8w4rQFhkulrI13L0xMjQ_12_13"/>
      <w:bookmarkStart w:id="702" w:name="Tc_TF26U6l9_E2xDhv5U4SZGA_12_8"/>
      <w:bookmarkStart w:id="703" w:name="Tc_ILU0GagnFEaCje523C3XeQ_12_5"/>
      <w:bookmarkStart w:id="704" w:name="Tc__ojMqXwJekq6dP9joBZAbw_12_0"/>
      <w:bookmarkStart w:id="705" w:name="Tc_kn9kOnAi90qaA5GImPL9gQ_11_19"/>
      <w:bookmarkStart w:id="706" w:name="Tc_mNeAjlo5jU-b4s4Bp3uBxw_11_16"/>
      <w:bookmarkStart w:id="707" w:name="Tc_XjDjatQFCk2BH1IfWIWlJA_11_13"/>
      <w:bookmarkStart w:id="708" w:name="Tc_Ffq_QiUX5kOzeeyGgaAgVQ_11_11"/>
      <w:bookmarkStart w:id="709" w:name="Tc_RAnk9RRf7EGo-IgC7iqCNA_11_8"/>
      <w:bookmarkStart w:id="710" w:name="Tc_arkoqQ5SvkeTJETmK5D6wQ_11_5"/>
      <w:bookmarkStart w:id="711" w:name="Tc_kLiLdVjYyUKN-8y56lv4hw_11_0"/>
      <w:bookmarkStart w:id="712" w:name="Tc_hHSmHBpMSk2capDRq8XKkg_10_18"/>
      <w:bookmarkStart w:id="713" w:name="Tc_mVGG789XlEu7E19M9avscw_10_15"/>
      <w:bookmarkStart w:id="714" w:name="Tc_WIsOexLH6EagarH2CEZ0nA_10_10"/>
      <w:bookmarkStart w:id="715" w:name="Tc_ujsAvZRkdE-taiiUYRCjpA_10_7"/>
      <w:bookmarkStart w:id="716" w:name="Tc_ChzZe1Q9W0OftHrMlNWOVg_10_4"/>
      <w:bookmarkStart w:id="717" w:name="Tc_Fvz8fQNVs0SXQpif9BdLXw_10_0"/>
      <w:bookmarkStart w:id="718" w:name="Tc_-FAkV1CI8E-iXyZOAs55vQ_9_16"/>
      <w:bookmarkStart w:id="719" w:name="Tc_LXWYPO3eb0OiYdraWKzkYg_9_13"/>
      <w:bookmarkStart w:id="720" w:name="Tc_pHfm9bPzSEC3rF80rSlqfQ_9_8"/>
      <w:bookmarkStart w:id="721" w:name="Tc_zHHazbD5h0KUlATF-Yu38w_9_5"/>
      <w:bookmarkStart w:id="722" w:name="Tc_oGc35p_uJ0-pJTtobLXUwQ_9_2"/>
      <w:bookmarkStart w:id="723" w:name="Tc_6BBsW8AkBkO8lk_3lAZtTA_9_0"/>
      <w:bookmarkStart w:id="724" w:name="Tc_fG8eG-TSGkybJFlTPAf--g_8_16"/>
      <w:bookmarkStart w:id="725" w:name="Tc_MmUqQPCG6kG_POxIp34mBA_8_13"/>
      <w:bookmarkStart w:id="726" w:name="Tc_UYkn-dUbTU6_v6Cfu61TQg_8_11"/>
      <w:bookmarkStart w:id="727" w:name="Tc_4jByK4-ZP02Ncu7Qpyws5w_8_0"/>
      <w:bookmarkStart w:id="728" w:name="Tc_a4ojUyhCeE-_Sqe7WzQnmA_7_16"/>
      <w:bookmarkStart w:id="729" w:name="Tc_O3ET2DuCKU2yjdWHpb8grQ_7_13"/>
      <w:bookmarkStart w:id="730" w:name="Tc_2g4Z6K9spECGjevunV6HUQ_7_11"/>
      <w:bookmarkStart w:id="731" w:name="Tc_NlvLiMTpQ0a577_KFlGODw_7_5"/>
      <w:bookmarkStart w:id="732" w:name="Tc_VT-pgUmgFU2__lJPIKurcg_7_2"/>
      <w:bookmarkStart w:id="733" w:name="Tc_HgfGiXM2Ckumjis3-dveTg_7_0"/>
      <w:bookmarkStart w:id="734" w:name="Tc_TH7Vu5cUvE2Bvn6Cgl6YaA_6_19"/>
      <w:bookmarkStart w:id="735" w:name="Tc_Hu0nm1qDGk-IfAEEY3XWSA_6_16"/>
      <w:bookmarkStart w:id="736" w:name="Tc_mtqTeeqQOEu5UjIOsBMcTA_6_13"/>
      <w:bookmarkStart w:id="737" w:name="Tc_P6eDwNbMUEKsMA7UZSCsTw_6_11"/>
      <w:bookmarkStart w:id="738" w:name="Tc__qGkOVe7n0eF_i1rgZNkcA_6_8"/>
      <w:bookmarkStart w:id="739" w:name="Tc_wCxvwhBEWUuGQP8RKOd1kA_6_5"/>
      <w:bookmarkStart w:id="740" w:name="Tc_9c7vuaY1HUSCfCBIJEpIVw_6_0"/>
      <w:bookmarkStart w:id="741" w:name="Tc_pDXzno3f1065m8WEi_PSYw_5_19"/>
      <w:bookmarkStart w:id="742" w:name="Tc_lr0jij5BCECwZ6R4HLkwTA_5_16"/>
      <w:bookmarkStart w:id="743" w:name="Tc_ojP15C4qlUivx5cax64XBA_5_13"/>
      <w:bookmarkStart w:id="744" w:name="Tc_vQJyYuawb0KrOA2Lf1TkdQ_5_11"/>
      <w:bookmarkStart w:id="745" w:name="Tc_9VGKHJg4D0yd7nVdqeYCxg_5_8"/>
      <w:bookmarkStart w:id="746" w:name="Tc_5q0oNT0dZ0K-at2m2xFb9w_5_5"/>
      <w:bookmarkStart w:id="747" w:name="Tc_FXmoIh3JDkOI-FVNGZjkKg_5_0"/>
      <w:bookmarkStart w:id="748" w:name="Tc_oxRtVkLRKEG7J9DAkqXh2A_4_16"/>
      <w:bookmarkStart w:id="749" w:name="Tc_vZ26dXZNQ0--M7w1Aw9W_Q_4_13"/>
      <w:bookmarkStart w:id="750" w:name="Tc_LlfkjnqYLkeWl14yJXlgFg_4_11"/>
      <w:bookmarkStart w:id="751" w:name="Tc_TblZXWY280Su5bEpVcXCfg_4_8"/>
      <w:bookmarkStart w:id="752" w:name="Tc_3lRSW1UpT0ywX4LzuLMGbQ_4_2"/>
      <w:bookmarkStart w:id="753" w:name="Tc_1-3LM9-KhESJdi6Ge8TfzA_4_0"/>
      <w:bookmarkStart w:id="754" w:name="Tc_YonGVtpdUkKQd6kIlK9aWg_3_18"/>
      <w:bookmarkStart w:id="755" w:name="Tc_cpF4gC_2SkOOg8paMjlxsQ_3_15"/>
      <w:bookmarkStart w:id="756" w:name="Tc_1KF6RjkzQECwOgyzzfeMCA_3_10"/>
      <w:bookmarkStart w:id="757" w:name="Tc_O0ZkV1wu6kCWLd-qEoD3hQ_3_7"/>
      <w:bookmarkStart w:id="758" w:name="Tc_aIaHnA4D2UOjZ7QW108NNw_3_4"/>
      <w:bookmarkStart w:id="759" w:name="Tc_W35XVmgX90WFs3fpE0RcBw_3_0"/>
      <w:bookmarkStart w:id="760" w:name="Tc_9l5zBMpHRUqbInmb-DLaZw_2_18"/>
      <w:bookmarkStart w:id="761" w:name="Tc_fncGHv4so0m_LZpnu8SWtg_2_15"/>
      <w:bookmarkStart w:id="762" w:name="Tc_P2wUxIUDh0WbJ6dvC8qXwA_2_13"/>
      <w:bookmarkStart w:id="763" w:name="Tc_QVAtylCZHUGLbNh9w-EbOQ_2_10"/>
      <w:bookmarkStart w:id="764" w:name="Tc_Y6SNioq-p06Lb9NHL6z6nA_2_7"/>
      <w:bookmarkStart w:id="765" w:name="Tc_2Q-QmLR34UaZXvBYkGtgDQ_2_4"/>
      <w:bookmarkStart w:id="766" w:name="Tc_GJY5BRHz4E-_aHWhxyP4mA_2_2"/>
      <w:bookmarkStart w:id="767" w:name="Tc_MB7j8jG-R0aF_2evlhjxOA_1_13"/>
      <w:bookmarkStart w:id="768" w:name="Tc_kLFwt1uGR0K42WkVj9QG2g_1_10"/>
      <w:bookmarkStart w:id="769" w:name="Tc_p7UBCziDO0OwcPoKev0M0g_1_7"/>
      <w:bookmarkStart w:id="770" w:name="Tc_VwhJtn5fB0OZTEPtClyQVA_1_2"/>
      <w:bookmarkStart w:id="771" w:name="_e88109a9_2cd7_4769_9c60_c0f704a590c4"/>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tbl>
      <w:tblPr>
        <w:tblW w:w="10205" w:type="dxa"/>
        <w:jc w:val="left"/>
        <w:tblInd w:w="0" w:type="dxa"/>
        <w:tblLayout w:type="fixed"/>
        <w:tblCellMar>
          <w:top w:w="0" w:type="dxa"/>
          <w:left w:w="0" w:type="dxa"/>
          <w:bottom w:w="0" w:type="dxa"/>
          <w:right w:w="0" w:type="dxa"/>
        </w:tblCellMar>
      </w:tblPr>
      <w:tblGrid>
        <w:gridCol w:w="2484"/>
        <w:gridCol w:w="146"/>
        <w:gridCol w:w="1036"/>
        <w:gridCol w:w="109"/>
        <w:gridCol w:w="250"/>
        <w:gridCol w:w="501"/>
        <w:gridCol w:w="109"/>
        <w:gridCol w:w="211"/>
        <w:gridCol w:w="781"/>
        <w:gridCol w:w="109"/>
        <w:gridCol w:w="211"/>
        <w:gridCol w:w="781"/>
        <w:gridCol w:w="146"/>
        <w:gridCol w:w="931"/>
        <w:gridCol w:w="109"/>
        <w:gridCol w:w="211"/>
        <w:gridCol w:w="873"/>
        <w:gridCol w:w="109"/>
        <w:gridCol w:w="211"/>
        <w:gridCol w:w="887"/>
      </w:tblGrid>
      <w:tr>
        <w:trPr/>
        <w:tc>
          <w:tcPr>
            <w:tcW w:w="24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2710" cy="175260"/>
                      <wp:effectExtent l="0" t="0" r="0" b="0"/>
                      <wp:wrapNone/>
                      <wp:docPr id="56" name="Frame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57860" cy="175260"/>
                      <wp:effectExtent l="0" t="0" r="0" b="0"/>
                      <wp:wrapNone/>
                      <wp:docPr id="57" name="Frame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58750" cy="175260"/>
                      <wp:effectExtent l="0" t="0" r="0" b="0"/>
                      <wp:wrapNone/>
                      <wp:docPr id="59" name="Frame5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18135" cy="175260"/>
                      <wp:effectExtent l="0" t="0" r="0" b="0"/>
                      <wp:wrapNone/>
                      <wp:docPr id="60" name="Frame60"/>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5935" cy="175260"/>
                      <wp:effectExtent l="0" t="0" r="0" b="0"/>
                      <wp:wrapNone/>
                      <wp:docPr id="63" name="Frame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2710" cy="175260"/>
                      <wp:effectExtent l="0" t="0" r="0" b="0"/>
                      <wp:wrapNone/>
                      <wp:docPr id="67" name="Frame6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68" name="Frame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54355" cy="175260"/>
                      <wp:effectExtent l="0" t="0" r="0" b="0"/>
                      <wp:wrapNone/>
                      <wp:docPr id="71" name="Frame71"/>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63245" cy="175260"/>
                      <wp:effectExtent l="0" t="0" r="0" b="0"/>
                      <wp:wrapNone/>
                      <wp:docPr id="74" name="Frame7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89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Common Stock</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Paid in</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Retained</w:t>
            </w:r>
          </w:p>
        </w:tc>
        <w:tc>
          <w:tcPr>
            <w:tcW w:w="146" w:type="dxa"/>
            <w:tcBorders/>
            <w:vAlign w:val="center"/>
          </w:tcPr>
          <w:p>
            <w:pPr>
              <w:pStyle w:val="TableContents"/>
              <w:bidi w:val="0"/>
              <w:spacing w:before="0" w:after="0"/>
              <w:ind w:left="0" w:right="0" w:hanging="0"/>
              <w:jc w:val="left"/>
              <w:rPr/>
            </w:pPr>
            <w:r>
              <w:rPr/>
              <w:t>​</w:t>
            </w:r>
          </w:p>
        </w:tc>
        <w:tc>
          <w:tcPr>
            <w:tcW w:w="21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Treasury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4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Amount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Capital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Earnings</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Shares</w:t>
            </w:r>
          </w:p>
        </w:tc>
        <w:tc>
          <w:tcPr>
            <w:tcW w:w="109" w:type="dxa"/>
            <w:tcBorders/>
            <w:vAlign w:val="center"/>
          </w:tcPr>
          <w:p>
            <w:pPr>
              <w:pStyle w:val="TableContents"/>
              <w:bidi w:val="0"/>
              <w:spacing w:before="0" w:after="0"/>
              <w:ind w:left="0" w:right="0" w:hanging="0"/>
              <w:jc w:val="lef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Amount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Total</w:t>
            </w:r>
          </w:p>
        </w:tc>
      </w:tr>
      <w:tr>
        <w:trPr/>
        <w:tc>
          <w:tcPr>
            <w:tcW w:w="24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January 28, 2023</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16,158,494</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102,445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331,050</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7,804,013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3"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8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166,444</w:t>
            </w:r>
          </w:p>
        </w:tc>
      </w:tr>
      <w:tr>
        <w:trPr/>
        <w:tc>
          <w:tcPr>
            <w:tcW w:w="248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Vesting of nonvested shares</w:t>
            </w:r>
          </w:p>
        </w:tc>
        <w:tc>
          <w:tcPr>
            <w:tcW w:w="1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Issuance of nonvested shares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48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Forfeiture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(9,647)</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935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935</w:t>
            </w:r>
          </w:p>
        </w:tc>
      </w:tr>
      <w:tr>
        <w:trPr/>
        <w:tc>
          <w:tcPr>
            <w:tcW w:w="248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share settlement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(33,432)</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(783)</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(6,635)</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(6,635)</w:t>
            </w:r>
          </w:p>
        </w:tc>
      </w:tr>
      <w:tr>
        <w:trPr/>
        <w:tc>
          <w:tcPr>
            <w:tcW w:w="248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April 29, 2023</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16,116,915</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102,598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324,415</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7,804,013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159,962</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Issuance of nonvested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259,136</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r>
      <w:tr>
        <w:trPr/>
        <w:tc>
          <w:tcPr>
            <w:tcW w:w="248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Forfeiture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(6,581)</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Stock-based compensation expense</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5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1,049</w:t>
            </w:r>
          </w:p>
        </w:tc>
      </w:tr>
      <w:tr>
        <w:trPr/>
        <w:tc>
          <w:tcPr>
            <w:tcW w:w="2484"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Net share settlement of nonvested shares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(1,400)</w:t>
            </w:r>
          </w:p>
        </w:tc>
        <w:tc>
          <w:tcPr>
            <w:tcW w:w="10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(26)</w:t>
            </w:r>
          </w:p>
        </w:tc>
      </w:tr>
      <w:tr>
        <w:trPr/>
        <w:tc>
          <w:tcPr>
            <w:tcW w:w="248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Net loss</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(5,032)</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(5,032)</w:t>
            </w:r>
          </w:p>
        </w:tc>
      </w:tr>
      <w:tr>
        <w:trPr/>
        <w:tc>
          <w:tcPr>
            <w:tcW w:w="248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Helvetica" w:hAnsi="Helvetica"/>
                <w:sz w:val="18"/>
              </w:rPr>
              <w:t xml:space="preserve">Balances </w:t>
            </w:r>
            <w:r>
              <w:rPr>
                <w:rFonts w:ascii="Times New Roman;Times;serif" w:hAnsi="Times New Roman;Times;serif"/>
                <w:sz w:val="18"/>
              </w:rPr>
              <w:t xml:space="preserve">— </w:t>
            </w:r>
            <w:r>
              <w:rPr>
                <w:rFonts w:ascii="Helvetica" w:hAnsi="Helvetica"/>
                <w:sz w:val="18"/>
              </w:rPr>
              <w:t>July 29, 2023</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16,368,070</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50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160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103,621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319,383</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7,804,013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73"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(267,211)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 w:hAnsi="Helvetica"/>
                <w:sz w:val="18"/>
              </w:rPr>
            </w:pPr>
            <w:r>
              <w:rPr>
                <w:rFonts w:ascii="Helvetica" w:hAnsi="Helvetica"/>
                <w:sz w:val="18"/>
              </w:rPr>
              <w:t>155,953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 w:hAnsi="Helvetica"/>
          <w:sz w:val="18"/>
        </w:rPr>
      </w:pPr>
      <w:r>
        <w:rPr>
          <w:rFonts w:ascii="Helvetica" w:hAnsi="Helvetica"/>
          <w:sz w:val="18"/>
        </w:rPr>
        <w:t>See accompanying notes to the condensed consolidated financial statements (unaudited).</w:t>
      </w:r>
    </w:p>
    <w:p>
      <w:pPr>
        <w:pStyle w:val="TextBody"/>
        <w:bidi w:val="0"/>
        <w:spacing w:before="480" w:after="0"/>
        <w:ind w:left="0" w:right="0" w:hanging="0"/>
        <w:jc w:val="center"/>
        <w:rPr>
          <w:rFonts w:ascii="Helvetica" w:hAnsi="Helvetica"/>
          <w:sz w:val="18"/>
        </w:rPr>
      </w:pPr>
      <w:r>
        <w:rPr>
          <w:rFonts w:ascii="Helvetica" w:hAnsi="Helvetica"/>
          <w:sz w:val="18"/>
        </w:rPr>
        <w:t>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53"/>
        <w:ind w:left="0" w:right="0" w:hanging="0"/>
        <w:jc w:val="left"/>
        <w:rPr>
          <w:rFonts w:ascii="Helvetica" w:hAnsi="Helvetica"/>
          <w:b/>
          <w:sz w:val="18"/>
        </w:rPr>
      </w:pPr>
      <w:bookmarkStart w:id="772" w:name="_ee8e87bd_0476_4242_b469_7b5e7b844da7"/>
      <w:bookmarkEnd w:id="772"/>
      <w:r>
        <w:rPr>
          <w:rFonts w:ascii="Helvetica" w:hAnsi="Helvetica"/>
          <w:b/>
          <w:sz w:val="18"/>
        </w:rPr>
        <w:t>Citi Trends, Inc.</w:t>
      </w:r>
    </w:p>
    <w:p>
      <w:pPr>
        <w:pStyle w:val="TextBody"/>
        <w:bidi w:val="0"/>
        <w:spacing w:before="0" w:after="53"/>
        <w:ind w:left="0" w:right="0" w:hanging="0"/>
        <w:jc w:val="left"/>
        <w:rPr>
          <w:rFonts w:ascii="Helvetica" w:hAnsi="Helvetica"/>
          <w:b/>
          <w:sz w:val="18"/>
        </w:rPr>
      </w:pPr>
      <w:bookmarkStart w:id="773" w:name="Notes_435113"/>
      <w:bookmarkEnd w:id="773"/>
      <w:r>
        <w:rPr>
          <w:rFonts w:ascii="Helvetica" w:hAnsi="Helvetica"/>
          <w:b/>
          <w:sz w:val="18"/>
        </w:rPr>
        <w:t>Notes to the Condensed Consolidated Financial Statements (unaudited)</w:t>
      </w:r>
    </w:p>
    <w:p>
      <w:pPr>
        <w:pStyle w:val="TextBody"/>
        <w:bidi w:val="0"/>
        <w:spacing w:before="0" w:after="53"/>
        <w:ind w:left="0" w:right="0" w:hanging="0"/>
        <w:jc w:val="left"/>
        <w:rPr>
          <w:rFonts w:ascii="Helvetica" w:hAnsi="Helvetica"/>
          <w:b/>
          <w:sz w:val="18"/>
        </w:rPr>
      </w:pPr>
      <w:r>
        <w:rPr>
          <w:rFonts w:ascii="Helvetica" w:hAnsi="Helvetica"/>
          <w:b/>
          <w:sz w:val="18"/>
        </w:rPr>
        <w:t>August 3, 2024</w:t>
      </w:r>
    </w:p>
    <w:p>
      <w:pPr>
        <w:pStyle w:val="TextBody"/>
        <w:bidi w:val="0"/>
        <w:spacing w:before="0" w:after="53"/>
        <w:ind w:left="0" w:right="0" w:hanging="0"/>
        <w:jc w:val="center"/>
        <w:rPr/>
      </w:pPr>
      <w:r>
        <w:rPr/>
        <w:t>​</w:t>
      </w:r>
    </w:p>
    <w:p>
      <w:pPr>
        <w:pStyle w:val="TextBody"/>
        <w:pBdr/>
        <w:bidi w:val="0"/>
        <w:spacing w:lineRule="auto" w:line="307" w:before="0" w:after="240"/>
        <w:ind w:left="0" w:right="0" w:hanging="245"/>
        <w:jc w:val="left"/>
        <w:rPr>
          <w:rFonts w:ascii="Helvetica" w:hAnsi="Helvetica"/>
          <w:sz w:val="18"/>
        </w:rPr>
      </w:pPr>
      <w:r>
        <w:rPr>
          <w:rFonts w:ascii="Helvetica" w:hAnsi="Helvetica"/>
          <w:sz w:val="18"/>
        </w:rPr>
        <w:t>1. Significant Accounting Policies</w:t>
      </w:r>
    </w:p>
    <w:p>
      <w:pPr>
        <w:pStyle w:val="TextBody"/>
        <w:pBdr/>
        <w:bidi w:val="0"/>
        <w:spacing w:lineRule="auto" w:line="307" w:before="0" w:after="0"/>
        <w:ind w:left="0" w:right="0" w:hanging="245"/>
        <w:jc w:val="left"/>
        <w:rPr>
          <w:rFonts w:ascii="Helvetica" w:hAnsi="Helvetica"/>
          <w:i/>
          <w:sz w:val="18"/>
        </w:rPr>
      </w:pPr>
      <w:r>
        <w:rPr>
          <w:rFonts w:ascii="Helvetica" w:hAnsi="Helvetica"/>
          <w:i/>
          <w:sz w:val="18"/>
        </w:rPr>
        <w:t>Basis of Presentation</w:t>
      </w:r>
    </w:p>
    <w:p>
      <w:pPr>
        <w:pStyle w:val="TextBody"/>
        <w:bidi w:val="0"/>
        <w:spacing w:lineRule="auto" w:line="307" w:before="0" w:after="0"/>
        <w:ind w:left="0" w:right="0" w:hanging="0"/>
        <w:jc w:val="left"/>
        <w:rPr>
          <w:rFonts w:ascii="Times New Roman;Times;serif" w:hAnsi="Times New Roman;Times;serif"/>
          <w:sz w:val="18"/>
        </w:rPr>
      </w:pPr>
      <w:r>
        <w:rPr>
          <w:rFonts w:ascii="Helvetica" w:hAnsi="Helvetica"/>
          <w:sz w:val="18"/>
        </w:rPr>
        <w:t xml:space="preserve">Citi Trends, Inc. and its subsidiary (the </w:t>
      </w:r>
      <w:r>
        <w:rPr>
          <w:rFonts w:ascii="Times New Roman;Times;serif" w:hAnsi="Times New Roman;Times;serif"/>
          <w:sz w:val="18"/>
        </w:rPr>
        <w:t>“</w:t>
      </w:r>
      <w:r>
        <w:rPr>
          <w:rFonts w:ascii="Helvetica" w:hAnsi="Helvetica"/>
          <w:sz w:val="18"/>
        </w:rPr>
        <w:t>Company</w:t>
      </w:r>
      <w:r>
        <w:rPr>
          <w:rFonts w:ascii="Times New Roman;Times;serif" w:hAnsi="Times New Roman;Times;serif"/>
          <w:sz w:val="18"/>
        </w:rPr>
        <w:t>”</w:t>
      </w:r>
      <w:r>
        <w:rPr>
          <w:rFonts w:ascii="Helvetica" w:hAnsi="Helvetica"/>
          <w:sz w:val="18"/>
        </w:rPr>
        <w:t>) is a leading specialty value retailer of apparel, accessories and home trends for way less spend primarily for African American and multicultural families. As of August 3, 2024, the Company operated 597</w:t>
      </w:r>
      <w:r>
        <w:rPr>
          <w:rFonts w:ascii="Times New Roman;Times;serif" w:hAnsi="Times New Roman;Times;serif"/>
          <w:sz w:val="18"/>
        </w:rPr>
        <w:t xml:space="preserve"> </w:t>
      </w:r>
      <w:r>
        <w:rPr>
          <w:rFonts w:ascii="Helvetica" w:hAnsi="Helvetica"/>
          <w:sz w:val="18"/>
        </w:rPr>
        <w:t>stores in urban, suburban and rural markets in 33</w:t>
      </w:r>
      <w:r>
        <w:rPr>
          <w:rFonts w:ascii="Times New Roman;Times;serif" w:hAnsi="Times New Roman;Times;serif"/>
          <w:sz w:val="18"/>
        </w:rPr>
        <w:t xml:space="preserve"> </w:t>
      </w:r>
      <w:r>
        <w:rPr>
          <w:rFonts w:ascii="Helvetica" w:hAnsi="Helvetica"/>
          <w:sz w:val="18"/>
        </w:rPr>
        <w:t>states.</w:t>
      </w:r>
    </w:p>
    <w:p>
      <w:pPr>
        <w:pStyle w:val="TextBody"/>
        <w:bidi w:val="0"/>
        <w:spacing w:lineRule="auto" w:line="307" w:before="0" w:after="0"/>
        <w:ind w:left="0" w:right="0" w:hanging="0"/>
        <w:jc w:val="left"/>
        <w:rPr/>
      </w:pPr>
      <w:r>
        <w:rPr/>
        <w:t>​</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The condensed consolidated financial statements are prepared in accordance with U.S. generally accepted accounting principles (</w:t>
      </w:r>
      <w:r>
        <w:rPr>
          <w:rFonts w:ascii="Times New Roman;Times;serif" w:hAnsi="Times New Roman;Times;serif"/>
          <w:sz w:val="18"/>
        </w:rPr>
        <w:t>“</w:t>
      </w:r>
      <w:r>
        <w:rPr>
          <w:rFonts w:ascii="Helvetica" w:hAnsi="Helvetica"/>
          <w:sz w:val="18"/>
        </w:rPr>
        <w:t>U.S. GAAP</w:t>
      </w:r>
      <w:r>
        <w:rPr>
          <w:rFonts w:ascii="Times New Roman;Times;serif" w:hAnsi="Times New Roman;Times;serif"/>
          <w:sz w:val="18"/>
        </w:rPr>
        <w:t>”</w:t>
      </w:r>
      <w:r>
        <w:rPr>
          <w:rFonts w:ascii="Helvetica" w:hAnsi="Helvetica"/>
          <w:sz w:val="18"/>
        </w:rPr>
        <w:t>)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February 3, 2024 is derived from the audited financial statements in the Company</w:t>
      </w:r>
      <w:r>
        <w:rPr>
          <w:rFonts w:ascii="Times New Roman;Times;serif" w:hAnsi="Times New Roman;Times;serif"/>
          <w:sz w:val="18"/>
        </w:rPr>
        <w:t>’</w:t>
      </w:r>
      <w:r>
        <w:rPr>
          <w:rFonts w:ascii="Helvetica" w:hAnsi="Helvetica"/>
          <w:sz w:val="18"/>
        </w:rPr>
        <w:t xml:space="preserve">s Annual Report on Form 10-K for the fiscal year ended February 3, 2024 (the </w:t>
      </w:r>
      <w:r>
        <w:rPr>
          <w:rFonts w:ascii="Times New Roman;Times;serif" w:hAnsi="Times New Roman;Times;serif"/>
          <w:sz w:val="18"/>
        </w:rPr>
        <w:t>“</w:t>
      </w:r>
      <w:r>
        <w:rPr>
          <w:rFonts w:ascii="Helvetica" w:hAnsi="Helvetica"/>
          <w:sz w:val="18"/>
        </w:rPr>
        <w:t>2023 Form 10-K</w:t>
      </w:r>
      <w:r>
        <w:rPr>
          <w:rFonts w:ascii="Times New Roman;Times;serif" w:hAnsi="Times New Roman;Times;serif"/>
          <w:sz w:val="18"/>
        </w:rPr>
        <w:t>”</w:t>
      </w:r>
      <w:r>
        <w:rPr>
          <w:rFonts w:ascii="Helvetica" w:hAnsi="Helvetica"/>
          <w:sz w:val="18"/>
        </w:rPr>
        <w:t>). These condensed consolidated financial statements should be read in conjunction with the audited consolidated financial statements and notes thereto included in the 2023 Form 10-K. Results of a period shorter than a full year may not be indicative of results expected for the entire year as a result of the seasonality of our business, among other things.</w:t>
      </w:r>
    </w:p>
    <w:p>
      <w:pPr>
        <w:pStyle w:val="TextBody"/>
        <w:bidi w:val="0"/>
        <w:spacing w:lineRule="auto" w:line="307" w:before="0" w:after="0"/>
        <w:ind w:left="0" w:right="0" w:hanging="0"/>
        <w:jc w:val="left"/>
        <w:rPr>
          <w:rFonts w:ascii="Helvetica" w:hAnsi="Helvetica"/>
          <w:i/>
          <w:sz w:val="18"/>
        </w:rPr>
      </w:pPr>
      <w:r>
        <w:rPr>
          <w:rFonts w:ascii="Helvetica" w:hAnsi="Helvetica"/>
          <w:i/>
          <w:sz w:val="18"/>
        </w:rPr>
        <w:t>Fiscal Year</w:t>
      </w:r>
    </w:p>
    <w:p>
      <w:pPr>
        <w:pStyle w:val="TextBody"/>
        <w:bidi w:val="0"/>
        <w:spacing w:lineRule="auto" w:line="307" w:before="0" w:after="0"/>
        <w:ind w:left="0" w:right="0" w:hanging="0"/>
        <w:jc w:val="left"/>
        <w:rPr>
          <w:rFonts w:ascii="Helvetica" w:hAnsi="Helvetica"/>
          <w:sz w:val="18"/>
        </w:rPr>
      </w:pPr>
      <w:r>
        <w:rPr>
          <w:rFonts w:ascii="Helvetica" w:hAnsi="Helvetica"/>
          <w:sz w:val="18"/>
        </w:rPr>
        <w:t>The following contains references to fiscal years 2024 and 2023, which represent fiscal years ending or ended on February 1, 2025 and February 3, 2024, respectively. Fiscal 2024 has a 52-week accounting period, and fiscal 2023 had a 53-week accounting period.</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sz w:val="18"/>
        </w:rPr>
      </w:pPr>
      <w:bookmarkStart w:id="774" w:name="_608f0519_3dbb_4abf_8fe6_42992f0eba94"/>
      <w:bookmarkEnd w:id="774"/>
      <w:r>
        <w:rPr>
          <w:rFonts w:ascii="Helvetica" w:hAnsi="Helvetica"/>
          <w:sz w:val="18"/>
        </w:rPr>
        <w:t>2. Cash and Cash Equivalents/Concentration of Credit Risk</w:t>
      </w:r>
    </w:p>
    <w:p>
      <w:pPr>
        <w:pStyle w:val="TextBody"/>
        <w:bidi w:val="0"/>
        <w:spacing w:lineRule="auto" w:line="307" w:before="0" w:after="2"/>
        <w:ind w:left="0" w:right="0" w:hanging="0"/>
        <w:jc w:val="left"/>
        <w:rPr>
          <w:rFonts w:ascii="Helvetica" w:hAnsi="Helvetica"/>
          <w:sz w:val="18"/>
        </w:rPr>
      </w:pPr>
      <w:r>
        <w:rPr>
          <w:rFonts w:ascii="Helvetica" w:hAnsi="Helvetica"/>
          <w:sz w:val="18"/>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sz w:val="18"/>
        </w:rPr>
      </w:pPr>
      <w:r>
        <w:rPr>
          <w:rFonts w:ascii="Helvetica" w:hAnsi="Helvetica"/>
          <w:sz w:val="18"/>
        </w:rPr>
        <w:t>3. Earnings per Share</w:t>
      </w:r>
    </w:p>
    <w:p>
      <w:pPr>
        <w:pStyle w:val="TextBody"/>
        <w:bidi w:val="0"/>
        <w:spacing w:lineRule="auto" w:line="307" w:before="0" w:after="48"/>
        <w:ind w:left="0" w:right="0" w:hanging="0"/>
        <w:jc w:val="left"/>
        <w:rPr>
          <w:rFonts w:ascii="Helvetica" w:hAnsi="Helvetica"/>
          <w:sz w:val="18"/>
        </w:rPr>
      </w:pPr>
      <w:r>
        <w:rPr>
          <w:rFonts w:ascii="Helvetica" w:hAnsi="Helvetica"/>
          <w:sz w:val="18"/>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rFonts w:ascii="Times New Roman;Times;serif" w:hAnsi="Times New Roman;Times;serif"/>
          <w:sz w:val="18"/>
        </w:rPr>
      </w:pPr>
      <w:r>
        <w:rPr>
          <w:rFonts w:ascii="Helvetica" w:hAnsi="Helvetica"/>
          <w:sz w:val="18"/>
        </w:rPr>
        <w:t>The dilutive effect of stock-based compensation arrangements is accounted for using the treasury stock method. The Company includes as assumed proceeds the amount of compensation cost attributed to future services and not yet recognized. For the second quarter of 2024 and 2023, there were 178,000</w:t>
      </w:r>
      <w:r>
        <w:rPr>
          <w:rFonts w:ascii="Times New Roman;Times;serif" w:hAnsi="Times New Roman;Times;serif"/>
          <w:sz w:val="18"/>
        </w:rPr>
        <w:t xml:space="preserve"> </w:t>
      </w:r>
      <w:r>
        <w:rPr>
          <w:rFonts w:ascii="Helvetica" w:hAnsi="Helvetica"/>
          <w:sz w:val="18"/>
        </w:rPr>
        <w:t>and 328,000</w:t>
      </w:r>
      <w:r>
        <w:rPr>
          <w:rFonts w:ascii="Times New Roman;Times;serif" w:hAnsi="Times New Roman;Times;serif"/>
          <w:sz w:val="18"/>
        </w:rPr>
        <w:t xml:space="preserve"> </w:t>
      </w:r>
      <w:r>
        <w:rPr>
          <w:rFonts w:ascii="Helvetica" w:hAnsi="Helvetica"/>
          <w:sz w:val="18"/>
        </w:rPr>
        <w:t>shares of nonvested restricted stock, respectively, excluded from the calculation of diluted earnings per share because of antidilution. For the twenty-six weeks ended August 3, 2024 and July 29, 2023, there were 234,000</w:t>
      </w:r>
      <w:r>
        <w:rPr>
          <w:rFonts w:ascii="Times New Roman;Times;serif" w:hAnsi="Times New Roman;Times;serif"/>
          <w:sz w:val="18"/>
        </w:rPr>
        <w:t xml:space="preserve"> </w:t>
      </w:r>
      <w:r>
        <w:rPr>
          <w:rFonts w:ascii="Helvetica" w:hAnsi="Helvetica"/>
          <w:sz w:val="18"/>
        </w:rPr>
        <w:t>and 215,000</w:t>
      </w:r>
      <w:r>
        <w:rPr>
          <w:rFonts w:ascii="Times New Roman;Times;serif" w:hAnsi="Times New Roman;Times;serif"/>
          <w:sz w:val="18"/>
        </w:rPr>
        <w:t xml:space="preserve"> </w:t>
      </w:r>
      <w:r>
        <w:rPr>
          <w:rFonts w:ascii="Helvetica" w:hAnsi="Helvetica"/>
          <w:sz w:val="18"/>
        </w:rPr>
        <w:t>shares of nonvested restricted stock, respectively, excluded from the calculation of diluted earnings per share because of antidilution.</w:t>
      </w:r>
    </w:p>
    <w:p>
      <w:pPr>
        <w:pStyle w:val="TextBody"/>
        <w:bidi w:val="0"/>
        <w:spacing w:lineRule="auto" w:line="307" w:before="0" w:after="48"/>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48"/>
        <w:ind w:left="0" w:right="0" w:hanging="0"/>
        <w:jc w:val="left"/>
        <w:rPr>
          <w:rFonts w:ascii="Helvetica" w:hAnsi="Helvetica"/>
          <w:sz w:val="18"/>
        </w:rPr>
      </w:pPr>
      <w:bookmarkStart w:id="775" w:name="Tc_CdA_TJo7JE-FYYndHYpKtg_5_0"/>
      <w:bookmarkStart w:id="776" w:name="Tc_I4QLu8-i3E6IaogJ4V2-HA_4_4"/>
      <w:bookmarkStart w:id="777" w:name="Tc_xYKqbS8YV0ai246y7gwKhw_4_2"/>
      <w:bookmarkStart w:id="778" w:name="Tc_aOY1I79G8kyL97QT1zAxAA_4_0"/>
      <w:bookmarkStart w:id="779" w:name="Tc_yYub9BBXqEe8ryhFSeyrvQ_3_0"/>
      <w:bookmarkStart w:id="780" w:name="Tc_xdzA-LRtS0SMzIYehB3ZOA_2_4"/>
      <w:bookmarkStart w:id="781" w:name="Tc_VAP9PJkkdEOSL7fR9FD8Eg_2_2"/>
      <w:bookmarkStart w:id="782" w:name="Tc_7DFYxsl7a0yH--OOlAylbw_1_2"/>
      <w:bookmarkStart w:id="783" w:name="_0c71644f_bc96_4c7e_8bf8_d0ee32354e4c"/>
      <w:bookmarkStart w:id="784" w:name="Tc_s3rp4d7n_0e89N6O0Wel4A_5_0"/>
      <w:bookmarkStart w:id="785" w:name="Tc_thuGUcK0W0y5oeiBJ2sAog_4_4"/>
      <w:bookmarkStart w:id="786" w:name="Tc__uWcJwk120irBbeDZfmTQw_4_2"/>
      <w:bookmarkStart w:id="787" w:name="Tc_qKq72pLvK0miDFUYMNr0iw_4_0"/>
      <w:bookmarkStart w:id="788" w:name="Tc_6YOeal699kqqAtmVDf8kFA_3_0"/>
      <w:bookmarkStart w:id="789" w:name="Tc_shS_abJeYUm5SdyRXYNqVw_2_4"/>
      <w:bookmarkStart w:id="790" w:name="Tc_Vt7FYx-5mkOaitPTmUVo-A_2_2"/>
      <w:bookmarkStart w:id="791" w:name="Tc_TBIz5HdZfEyh5_xL1mj9Wg_1_2"/>
      <w:bookmarkStart w:id="792" w:name="_892bb1cf_55b8_4860_8808_2503342f7aa3"/>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Helvetica" w:hAnsi="Helvetica"/>
          <w:sz w:val="18"/>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21"/>
        <w:gridCol w:w="326"/>
        <w:gridCol w:w="1276"/>
        <w:gridCol w:w="326"/>
        <w:gridCol w:w="1156"/>
      </w:tblGrid>
      <w:tr>
        <w:trPr/>
        <w:tc>
          <w:tcPr>
            <w:tcW w:w="7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521835" cy="175260"/>
                      <wp:effectExtent l="0" t="0" r="0" b="0"/>
                      <wp:wrapNone/>
                      <wp:docPr id="75" name="Frame75"/>
                      <a:graphic xmlns:a="http://schemas.openxmlformats.org/drawingml/2006/main">
                        <a:graphicData uri="http://schemas.microsoft.com/office/word/2010/wordprocessingShape">
                          <wps:wsp>
                            <wps:cNvSpPr txBox="1"/>
                            <wps:spPr>
                              <a:xfrm>
                                <a:off x="0" y="0"/>
                                <a:ext cx="452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10260" cy="175260"/>
                      <wp:effectExtent l="0" t="0" r="0" b="0"/>
                      <wp:wrapNone/>
                      <wp:docPr id="77" name="Frame7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34060" cy="175260"/>
                      <wp:effectExtent l="0" t="0" r="0" b="0"/>
                      <wp:wrapNone/>
                      <wp:docPr id="79" name="Frame7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1" w:type="dxa"/>
            <w:tcBorders/>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758"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r>
      <w:tr>
        <w:trPr/>
        <w:tc>
          <w:tcPr>
            <w:tcW w:w="7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 2024</w:t>
            </w:r>
          </w:p>
        </w:tc>
        <w:tc>
          <w:tcPr>
            <w:tcW w:w="326" w:type="dxa"/>
            <w:tcBorders/>
            <w:shd w:fill="FFFF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 2023</w:t>
            </w:r>
          </w:p>
        </w:tc>
      </w:tr>
      <w:tr>
        <w:trPr/>
        <w:tc>
          <w:tcPr>
            <w:tcW w:w="712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number of common shares outstanding (basic)</w:t>
            </w:r>
          </w:p>
        </w:tc>
        <w:tc>
          <w:tcPr>
            <w:tcW w:w="32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8,336,629</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8,224,762</w:t>
            </w:r>
          </w:p>
        </w:tc>
      </w:tr>
      <w:tr>
        <w:trPr/>
        <w:tc>
          <w:tcPr>
            <w:tcW w:w="712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Incremental shares from assumed vesting of nonvested restricted stock</w:t>
            </w:r>
          </w:p>
        </w:tc>
        <w:tc>
          <w:tcPr>
            <w:tcW w:w="326" w:type="dxa"/>
            <w:tcBorders/>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2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number of common shares and common stock equivalents outstanding (diluted)</w:t>
            </w:r>
          </w:p>
        </w:tc>
        <w:tc>
          <w:tcPr>
            <w:tcW w:w="326" w:type="dxa"/>
            <w:tcBorders/>
            <w:shd w:fill="CCEEFF" w:val="clear"/>
            <w:vAlign w:val="center"/>
          </w:tcPr>
          <w:p>
            <w:pPr>
              <w:pStyle w:val="TableContents"/>
              <w:bidi w:val="0"/>
              <w:spacing w:before="0" w:after="0"/>
              <w:ind w:left="0" w:right="0" w:hanging="0"/>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8,336,629</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 w:hAnsi="Helvetica"/>
                <w:sz w:val="18"/>
              </w:rPr>
            </w:pPr>
            <w:r>
              <w:rPr>
                <w:rFonts w:ascii="Helvetica" w:hAnsi="Helvetica"/>
                <w:sz w:val="18"/>
              </w:rPr>
              <w:t>8,224,762</w:t>
            </w:r>
          </w:p>
        </w:tc>
      </w:tr>
    </w:tbl>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21"/>
        <w:gridCol w:w="326"/>
        <w:gridCol w:w="1276"/>
        <w:gridCol w:w="326"/>
        <w:gridCol w:w="1156"/>
      </w:tblGrid>
      <w:tr>
        <w:trPr/>
        <w:tc>
          <w:tcPr>
            <w:tcW w:w="7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521835" cy="175260"/>
                      <wp:effectExtent l="0" t="0" r="0" b="0"/>
                      <wp:wrapNone/>
                      <wp:docPr id="80" name="Frame80"/>
                      <a:graphic xmlns:a="http://schemas.openxmlformats.org/drawingml/2006/main">
                        <a:graphicData uri="http://schemas.microsoft.com/office/word/2010/wordprocessingShape">
                          <wps:wsp>
                            <wps:cNvSpPr txBox="1"/>
                            <wps:spPr>
                              <a:xfrm>
                                <a:off x="0" y="0"/>
                                <a:ext cx="452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10260" cy="175260"/>
                      <wp:effectExtent l="0" t="0" r="0" b="0"/>
                      <wp:wrapNone/>
                      <wp:docPr id="82" name="Frame82"/>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34060" cy="175260"/>
                      <wp:effectExtent l="0" t="0" r="0" b="0"/>
                      <wp:wrapNone/>
                      <wp:docPr id="84" name="Frame8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1" w:type="dxa"/>
            <w:tcBorders/>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758"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Twenty-Six Weeks Ended</w:t>
            </w:r>
          </w:p>
        </w:tc>
      </w:tr>
      <w:tr>
        <w:trPr/>
        <w:tc>
          <w:tcPr>
            <w:tcW w:w="7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 2024</w:t>
            </w:r>
          </w:p>
        </w:tc>
        <w:tc>
          <w:tcPr>
            <w:tcW w:w="326" w:type="dxa"/>
            <w:tcBorders/>
            <w:shd w:fill="FFFF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 2023</w:t>
            </w:r>
          </w:p>
        </w:tc>
      </w:tr>
      <w:tr>
        <w:trPr/>
        <w:tc>
          <w:tcPr>
            <w:tcW w:w="712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number of common shares outstanding (basic)</w:t>
            </w:r>
          </w:p>
        </w:tc>
        <w:tc>
          <w:tcPr>
            <w:tcW w:w="32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8,294,593</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8,203,497</w:t>
            </w:r>
          </w:p>
        </w:tc>
      </w:tr>
      <w:tr>
        <w:trPr/>
        <w:tc>
          <w:tcPr>
            <w:tcW w:w="712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Incremental shares from assumed vesting of nonvested restricted stock</w:t>
            </w:r>
          </w:p>
        </w:tc>
        <w:tc>
          <w:tcPr>
            <w:tcW w:w="326" w:type="dxa"/>
            <w:tcBorders/>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12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number of common shares and common stock equivalents outstanding (diluted)</w:t>
            </w:r>
          </w:p>
        </w:tc>
        <w:tc>
          <w:tcPr>
            <w:tcW w:w="326" w:type="dxa"/>
            <w:tcBorders/>
            <w:shd w:fill="CCEEFF" w:val="clear"/>
            <w:vAlign w:val="center"/>
          </w:tcPr>
          <w:p>
            <w:pPr>
              <w:pStyle w:val="TableContents"/>
              <w:bidi w:val="0"/>
              <w:spacing w:before="0" w:after="0"/>
              <w:ind w:left="0" w:right="0" w:hanging="0"/>
              <w:jc w:val="left"/>
              <w:rPr/>
            </w:pPr>
            <w:r>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8,294,593</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Helvetica" w:hAnsi="Helvetica"/>
                <w:sz w:val="18"/>
              </w:rPr>
            </w:pPr>
            <w:r>
              <w:rPr>
                <w:rFonts w:ascii="Helvetica" w:hAnsi="Helvetica"/>
                <w:sz w:val="18"/>
              </w:rPr>
              <w:t>8,203,497</w:t>
            </w:r>
          </w:p>
        </w:tc>
      </w:tr>
    </w:tbl>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pPr>
      <w:r>
        <w:rPr/>
        <w:t>​</w:t>
      </w:r>
    </w:p>
    <w:p>
      <w:pPr>
        <w:pStyle w:val="TextBody"/>
        <w:bidi w:val="0"/>
        <w:spacing w:lineRule="auto" w:line="307" w:before="0" w:after="240"/>
        <w:ind w:left="0" w:right="0" w:hanging="0"/>
        <w:jc w:val="left"/>
        <w:rPr>
          <w:rFonts w:ascii="Helvetica" w:hAnsi="Helvetica"/>
          <w:sz w:val="18"/>
        </w:rPr>
      </w:pPr>
      <w:r>
        <w:rPr>
          <w:rFonts w:ascii="Helvetica" w:hAnsi="Helvetica"/>
          <w:sz w:val="18"/>
        </w:rPr>
        <w:t>4. Revolving Credit Facility</w:t>
      </w:r>
    </w:p>
    <w:p>
      <w:pPr>
        <w:pStyle w:val="TextBody"/>
        <w:bidi w:val="0"/>
        <w:spacing w:lineRule="auto" w:line="307" w:before="0" w:after="48"/>
        <w:ind w:left="0" w:right="0" w:hanging="0"/>
        <w:jc w:val="left"/>
        <w:rPr>
          <w:rFonts w:ascii="Times New Roman;Times;serif" w:hAnsi="Times New Roman;Times;serif"/>
          <w:sz w:val="20"/>
        </w:rPr>
      </w:pPr>
      <w:r>
        <w:rPr>
          <w:rFonts w:ascii="Helvetica" w:hAnsi="Helvetica"/>
          <w:sz w:val="18"/>
        </w:rPr>
        <w:t>In October 2011, the Company entered into a five-year, $50</w:t>
      </w:r>
      <w:r>
        <w:rPr>
          <w:rFonts w:ascii="Times New Roman;Times;serif" w:hAnsi="Times New Roman;Times;serif"/>
          <w:sz w:val="20"/>
        </w:rPr>
        <w:t xml:space="preserve"> </w:t>
      </w:r>
      <w:r>
        <w:rPr>
          <w:rFonts w:ascii="Helvetica" w:hAnsi="Helvetica"/>
          <w:sz w:val="18"/>
        </w:rPr>
        <w:t>million credit facility with Bank of America. The facility was amended in August 2015 and May 2020 to extend the maturity dates. The facility was further amended in April 2021 to modify terms and extend the maturity date to April 15, 2026. In May 2023, the facility was amended to replace the London Interbank Offered Rate (</w:t>
      </w:r>
      <w:r>
        <w:rPr>
          <w:rFonts w:ascii="Times New Roman;Times;serif" w:hAnsi="Times New Roman;Times;serif"/>
          <w:sz w:val="20"/>
        </w:rPr>
        <w:t>“</w:t>
      </w:r>
      <w:r>
        <w:rPr>
          <w:rFonts w:ascii="Helvetica" w:hAnsi="Helvetica"/>
          <w:sz w:val="18"/>
        </w:rPr>
        <w:t>LIBOR</w:t>
      </w:r>
      <w:r>
        <w:rPr>
          <w:rFonts w:ascii="Times New Roman;Times;serif" w:hAnsi="Times New Roman;Times;serif"/>
          <w:sz w:val="20"/>
        </w:rPr>
        <w:t>”</w:t>
      </w:r>
      <w:r>
        <w:rPr>
          <w:rFonts w:ascii="Helvetica" w:hAnsi="Helvetica"/>
          <w:sz w:val="18"/>
        </w:rPr>
        <w:t>) with the Secured Overnight Financing Rate (</w:t>
      </w:r>
      <w:r>
        <w:rPr>
          <w:rFonts w:ascii="Times New Roman;Times;serif" w:hAnsi="Times New Roman;Times;serif"/>
          <w:sz w:val="20"/>
        </w:rPr>
        <w:t>“</w:t>
      </w:r>
      <w:r>
        <w:rPr>
          <w:rFonts w:ascii="Helvetica" w:hAnsi="Helvetica"/>
          <w:sz w:val="18"/>
        </w:rPr>
        <w:t>SOFR</w:t>
      </w:r>
      <w:r>
        <w:rPr>
          <w:rFonts w:ascii="Times New Roman;Times;serif" w:hAnsi="Times New Roman;Times;serif"/>
          <w:sz w:val="20"/>
        </w:rPr>
        <w:t>”</w:t>
      </w:r>
      <w:r>
        <w:rPr>
          <w:rFonts w:ascii="Helvetica" w:hAnsi="Helvetica"/>
          <w:sz w:val="18"/>
        </w:rPr>
        <w:t>). The amended facility provides a $75</w:t>
      </w:r>
      <w:r>
        <w:rPr>
          <w:rFonts w:ascii="Times New Roman;Times;serif" w:hAnsi="Times New Roman;Times;serif"/>
          <w:sz w:val="20"/>
        </w:rPr>
        <w:t xml:space="preserve"> </w:t>
      </w:r>
      <w:r>
        <w:rPr>
          <w:rFonts w:ascii="Helvetica" w:hAnsi="Helvetica"/>
          <w:sz w:val="18"/>
        </w:rPr>
        <w:t>million credit commitment and a $25</w:t>
      </w:r>
      <w:r>
        <w:rPr>
          <w:rFonts w:ascii="Times New Roman;Times;serif" w:hAnsi="Times New Roman;Times;serif"/>
          <w:sz w:val="20"/>
        </w:rPr>
        <w:t xml:space="preserve"> </w:t>
      </w:r>
      <w:r>
        <w:rPr>
          <w:rFonts w:ascii="Helvetica" w:hAnsi="Helvetica"/>
          <w:sz w:val="18"/>
        </w:rPr>
        <w:t xml:space="preserve">million uncommitted </w:t>
      </w:r>
      <w:r>
        <w:rPr>
          <w:rFonts w:ascii="Times New Roman;Times;serif" w:hAnsi="Times New Roman;Times;serif"/>
          <w:sz w:val="20"/>
        </w:rPr>
        <w:t>“</w:t>
      </w:r>
      <w:r>
        <w:rPr>
          <w:rFonts w:ascii="Helvetica" w:hAnsi="Helvetica"/>
          <w:sz w:val="18"/>
        </w:rPr>
        <w:t>accordion</w:t>
      </w:r>
      <w:r>
        <w:rPr>
          <w:rFonts w:ascii="Times New Roman;Times;serif" w:hAnsi="Times New Roman;Times;serif"/>
          <w:sz w:val="20"/>
        </w:rPr>
        <w:t xml:space="preserve">” </w:t>
      </w:r>
      <w:r>
        <w:rPr>
          <w:rFonts w:ascii="Helvetica" w:hAnsi="Helvetica"/>
          <w:sz w:val="18"/>
        </w:rPr>
        <w:t>feature that under certain circumstances could allow the Company to increase the size of the facility to $100</w:t>
      </w:r>
      <w:r>
        <w:rPr>
          <w:rFonts w:ascii="Times New Roman;Times;serif" w:hAnsi="Times New Roman;Times;serif"/>
          <w:sz w:val="20"/>
        </w:rPr>
        <w:t xml:space="preserve"> </w:t>
      </w:r>
      <w:r>
        <w:rPr>
          <w:rFonts w:ascii="Helvetica" w:hAnsi="Helvetica"/>
          <w:sz w:val="18"/>
        </w:rPr>
        <w:t>million. The facility is secured by the Company</w:t>
      </w:r>
      <w:r>
        <w:rPr>
          <w:rFonts w:ascii="Times New Roman;Times;serif" w:hAnsi="Times New Roman;Times;serif"/>
          <w:sz w:val="20"/>
        </w:rPr>
        <w:t>’</w:t>
      </w:r>
      <w:r>
        <w:rPr>
          <w:rFonts w:ascii="Helvetica" w:hAnsi="Helvetica"/>
          <w:sz w:val="18"/>
        </w:rPr>
        <w:t>s inventory, accounts receivable and related assets, but not its real estate, fixtures and equipment, and it contains one</w:t>
      </w:r>
      <w:r>
        <w:rPr>
          <w:rFonts w:ascii="Times New Roman;Times;serif" w:hAnsi="Times New Roman;Times;serif"/>
          <w:sz w:val="20"/>
        </w:rPr>
        <w:t xml:space="preserve"> </w:t>
      </w:r>
      <w:r>
        <w:rPr>
          <w:rFonts w:ascii="Helvetica" w:hAnsi="Helvetica"/>
          <w:sz w:val="18"/>
        </w:rPr>
        <w:t>financial covenant, a fixed charge coverage ratio, which is applicable and tested only in certain circumstances. The facility has an unused commitment fee of 0.20%</w:t>
      </w:r>
      <w:r>
        <w:rPr>
          <w:rFonts w:ascii="Times New Roman;Times;serif" w:hAnsi="Times New Roman;Times;serif"/>
          <w:sz w:val="20"/>
        </w:rPr>
        <w:t xml:space="preserve"> </w:t>
      </w:r>
      <w:r>
        <w:rPr>
          <w:rFonts w:ascii="Helvetica" w:hAnsi="Helvetica"/>
          <w:sz w:val="18"/>
        </w:rPr>
        <w:t>and permits the payment of cash dividends subject to certain limitations. Borrowings under the credit facility bear interest (a) for SOFR Loans, at a rate equal to the SOFR Rate plus a SOFR adjustment equal to 0.10%</w:t>
      </w:r>
      <w:r>
        <w:rPr>
          <w:rFonts w:ascii="Times New Roman;Times;serif" w:hAnsi="Times New Roman;Times;serif"/>
          <w:sz w:val="20"/>
        </w:rPr>
        <w:t xml:space="preserve"> </w:t>
      </w:r>
      <w:r>
        <w:rPr>
          <w:rFonts w:ascii="Helvetica" w:hAnsi="Helvetica"/>
          <w:sz w:val="18"/>
        </w:rPr>
        <w:t>plus either 1.25%, 1.50%</w:t>
      </w:r>
      <w:r>
        <w:rPr>
          <w:rFonts w:ascii="Times New Roman;Times;serif" w:hAnsi="Times New Roman;Times;serif"/>
          <w:sz w:val="20"/>
        </w:rPr>
        <w:t xml:space="preserve"> </w:t>
      </w:r>
      <w:r>
        <w:rPr>
          <w:rFonts w:ascii="Helvetica" w:hAnsi="Helvetica"/>
          <w:sz w:val="18"/>
        </w:rPr>
        <w:t>or 1.75%, or (b) for Base Rate Loans, at a rate equal to the highest of (i) the prime rate, (ii) the Federal Funds Rate plus 0.5%</w:t>
      </w:r>
      <w:r>
        <w:rPr>
          <w:rFonts w:ascii="Times New Roman;Times;serif" w:hAnsi="Times New Roman;Times;serif"/>
          <w:sz w:val="20"/>
        </w:rPr>
        <w:t xml:space="preserve"> </w:t>
      </w:r>
      <w:r>
        <w:rPr>
          <w:rFonts w:ascii="Helvetica" w:hAnsi="Helvetica"/>
          <w:sz w:val="18"/>
        </w:rPr>
        <w:t>or (iii) the Eurodollar Rate plus 1.0%, plus, in each case either 0.25%, 0.50%</w:t>
      </w:r>
      <w:r>
        <w:rPr>
          <w:rFonts w:ascii="Times New Roman;Times;serif" w:hAnsi="Times New Roman;Times;serif"/>
          <w:sz w:val="20"/>
        </w:rPr>
        <w:t xml:space="preserve"> </w:t>
      </w:r>
      <w:r>
        <w:rPr>
          <w:rFonts w:ascii="Helvetica" w:hAnsi="Helvetica"/>
          <w:sz w:val="18"/>
        </w:rPr>
        <w:t xml:space="preserve">or 0.75%, based in any such case on the average daily availability for borrowings under the facility. </w:t>
      </w:r>
    </w:p>
    <w:p>
      <w:pPr>
        <w:pStyle w:val="TextBody"/>
        <w:bidi w:val="0"/>
        <w:spacing w:lineRule="auto" w:line="307" w:before="0" w:after="48"/>
        <w:ind w:left="0" w:right="0" w:hanging="0"/>
        <w:jc w:val="left"/>
        <w:rPr/>
      </w:pPr>
      <w:r>
        <w:rPr/>
        <w:t>​</w:t>
      </w:r>
    </w:p>
    <w:p>
      <w:pPr>
        <w:pStyle w:val="TextBody"/>
        <w:bidi w:val="0"/>
        <w:spacing w:lineRule="auto" w:line="307" w:before="0" w:after="48"/>
        <w:ind w:left="0" w:right="0" w:hanging="0"/>
        <w:jc w:val="left"/>
        <w:rPr>
          <w:rFonts w:ascii="Times New Roman;Times;serif" w:hAnsi="Times New Roman;Times;serif"/>
          <w:sz w:val="18"/>
        </w:rPr>
      </w:pPr>
      <w:r>
        <w:rPr>
          <w:rFonts w:ascii="Helvetica" w:hAnsi="Helvetica"/>
          <w:sz w:val="18"/>
        </w:rPr>
        <w:t>As of August 3, 2024, the Company had no</w:t>
      </w:r>
      <w:r>
        <w:rPr>
          <w:rFonts w:ascii="Times New Roman;Times;serif" w:hAnsi="Times New Roman;Times;serif"/>
          <w:sz w:val="18"/>
        </w:rPr>
        <w:t xml:space="preserve"> </w:t>
      </w:r>
      <w:r>
        <w:rPr>
          <w:rFonts w:ascii="Helvetica" w:hAnsi="Helvetica"/>
          <w:sz w:val="18"/>
        </w:rPr>
        <w:t>borrowings under the credit facility and $1.4</w:t>
      </w:r>
      <w:r>
        <w:rPr>
          <w:rFonts w:ascii="Times New Roman;Times;serif" w:hAnsi="Times New Roman;Times;serif"/>
          <w:sz w:val="18"/>
        </w:rPr>
        <w:t xml:space="preserve"> </w:t>
      </w:r>
      <w:r>
        <w:rPr>
          <w:rFonts w:ascii="Helvetica" w:hAnsi="Helvetica"/>
          <w:sz w:val="18"/>
        </w:rPr>
        <w:t>million of letters of credit outstanding.</w:t>
      </w:r>
    </w:p>
    <w:p>
      <w:pPr>
        <w:pStyle w:val="TextBody"/>
        <w:bidi w:val="0"/>
        <w:spacing w:lineRule="auto" w:line="307" w:before="0" w:after="48"/>
        <w:ind w:left="0" w:right="0" w:hanging="0"/>
        <w:jc w:val="left"/>
        <w:rPr/>
      </w:pPr>
      <w:r>
        <w:rPr/>
        <w:t>​</w:t>
      </w:r>
    </w:p>
    <w:p>
      <w:pPr>
        <w:pStyle w:val="TextBody"/>
        <w:bidi w:val="0"/>
        <w:spacing w:lineRule="auto" w:line="304" w:before="0" w:after="240"/>
        <w:ind w:left="0" w:right="0" w:hanging="0"/>
        <w:jc w:val="left"/>
        <w:rPr>
          <w:rFonts w:ascii="Helvetica" w:hAnsi="Helvetica"/>
          <w:sz w:val="18"/>
        </w:rPr>
      </w:pPr>
      <w:r>
        <w:rPr>
          <w:rFonts w:ascii="Helvetica" w:hAnsi="Helvetica"/>
          <w:sz w:val="18"/>
        </w:rPr>
        <w:t>5. Impairment of Assets</w:t>
      </w:r>
    </w:p>
    <w:p>
      <w:pPr>
        <w:pStyle w:val="TextBody"/>
        <w:bidi w:val="0"/>
        <w:spacing w:lineRule="auto" w:line="304" w:before="0" w:after="48"/>
        <w:ind w:left="0" w:right="0" w:hanging="0"/>
        <w:jc w:val="left"/>
        <w:rPr>
          <w:rFonts w:ascii="Times New Roman;Times;serif" w:hAnsi="Times New Roman;Times;serif"/>
          <w:sz w:val="18"/>
        </w:rPr>
      </w:pPr>
      <w:r>
        <w:rPr>
          <w:rFonts w:ascii="Helvetica" w:hAnsi="Helvetica"/>
          <w:sz w:val="18"/>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In the second quarter of 2024, non-cash impairment expense related to underperforming stores totaled $1.3</w:t>
      </w:r>
      <w:r>
        <w:rPr>
          <w:rFonts w:ascii="Times New Roman;Times;serif" w:hAnsi="Times New Roman;Times;serif"/>
          <w:sz w:val="18"/>
        </w:rPr>
        <w:t xml:space="preserve"> </w:t>
      </w:r>
      <w:r>
        <w:rPr>
          <w:rFonts w:ascii="Helvetica" w:hAnsi="Helvetica"/>
          <w:sz w:val="18"/>
        </w:rPr>
        <w:t>million, comprised of $0.7</w:t>
      </w:r>
      <w:r>
        <w:rPr>
          <w:rFonts w:ascii="Times New Roman;Times;serif" w:hAnsi="Times New Roman;Times;serif"/>
          <w:sz w:val="18"/>
        </w:rPr>
        <w:t xml:space="preserve"> </w:t>
      </w:r>
      <w:r>
        <w:rPr>
          <w:rFonts w:ascii="Helvetica" w:hAnsi="Helvetica"/>
          <w:sz w:val="18"/>
        </w:rPr>
        <w:t>million for leasehold improvements and fixtures and equipment, and $0.6</w:t>
      </w:r>
      <w:r>
        <w:rPr>
          <w:rFonts w:ascii="Times New Roman;Times;serif" w:hAnsi="Times New Roman;Times;serif"/>
          <w:sz w:val="18"/>
        </w:rPr>
        <w:t xml:space="preserve"> </w:t>
      </w:r>
      <w:r>
        <w:rPr>
          <w:rFonts w:ascii="Helvetica" w:hAnsi="Helvetica"/>
          <w:sz w:val="18"/>
        </w:rPr>
        <w:t>million for operating lease right of use assets. There was no</w:t>
      </w:r>
      <w:r>
        <w:rPr>
          <w:rFonts w:ascii="Times New Roman;Times;serif" w:hAnsi="Times New Roman;Times;serif"/>
          <w:sz w:val="18"/>
        </w:rPr>
        <w:t xml:space="preserve"> </w:t>
      </w:r>
      <w:r>
        <w:rPr>
          <w:rFonts w:ascii="Helvetica" w:hAnsi="Helvetica"/>
          <w:sz w:val="18"/>
        </w:rPr>
        <w:t xml:space="preserve">impairment expense in the first twenty-six weeks of 2023. </w:t>
      </w:r>
    </w:p>
    <w:p>
      <w:pPr>
        <w:pStyle w:val="TextBody"/>
        <w:bidi w:val="0"/>
        <w:spacing w:lineRule="auto" w:line="304" w:before="0" w:after="48"/>
        <w:ind w:left="0" w:right="0" w:hanging="0"/>
        <w:jc w:val="left"/>
        <w:rPr/>
      </w:pPr>
      <w:r>
        <w:rPr/>
        <w:t>​</w:t>
      </w:r>
    </w:p>
    <w:p>
      <w:pPr>
        <w:pStyle w:val="TextBody"/>
        <w:bidi w:val="0"/>
        <w:spacing w:lineRule="auto" w:line="307" w:before="0" w:after="240"/>
        <w:ind w:left="0" w:right="0" w:hanging="0"/>
        <w:jc w:val="left"/>
        <w:rPr>
          <w:rFonts w:ascii="Helvetica" w:hAnsi="Helvetica"/>
          <w:sz w:val="18"/>
        </w:rPr>
      </w:pPr>
      <w:r>
        <w:rPr>
          <w:rFonts w:ascii="Helvetica" w:hAnsi="Helvetica"/>
          <w:sz w:val="18"/>
        </w:rPr>
        <w:t>6. Income Taxes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The provision for income taxes for the interim period in 2024 is based on an estimate of the annual effective tax rate adjusted to reflect the impact of discrete items. Management judgment is required in projecting ordinary income to estimate the Company</w:t>
      </w:r>
      <w:r>
        <w:rPr>
          <w:rFonts w:ascii="Times New Roman;Times;serif" w:hAnsi="Times New Roman;Times;serif"/>
          <w:sz w:val="18"/>
        </w:rPr>
        <w:t>’</w:t>
      </w:r>
      <w:r>
        <w:rPr>
          <w:rFonts w:ascii="Helvetica" w:hAnsi="Helvetica"/>
          <w:sz w:val="18"/>
        </w:rPr>
        <w:t>s annual effective tax rate. For the first half of 2023 the Company used the discrete effective tax rate method to determine its tax expense based upon interim period results. The Company determined that since small changes in estimated ordinary income would result in significant changes in the estimated annual effective tax rate, the annual effective tax rate method would not have provided a reliable estimate for the first twenty-six weeks of 2023.</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As of August 3, 2024, we had approximately $13.7</w:t>
      </w:r>
      <w:r>
        <w:rPr>
          <w:rFonts w:ascii="Times New Roman;Times;serif" w:hAnsi="Times New Roman;Times;serif"/>
          <w:sz w:val="18"/>
        </w:rPr>
        <w:t xml:space="preserve"> </w:t>
      </w:r>
      <w:r>
        <w:rPr>
          <w:rFonts w:ascii="Helvetica" w:hAnsi="Helvetica"/>
          <w:sz w:val="18"/>
        </w:rPr>
        <w:t xml:space="preserve">million in net deferred tax assets (DTA). At this time, we consider it more likely than not that we will have sufficient taxable income in the future that will allow us to realize these DTAs. If we are not able to generate sufficient taxable income to realize these DTAs, a substantial valuation allowance to reduce our U.S. DTAs may be required, which would materially increase our expenses in the period the allowance is recognized and adversely affect our results of operations. </w:t>
      </w:r>
    </w:p>
    <w:p>
      <w:pPr>
        <w:pStyle w:val="TextBody"/>
        <w:bidi w:val="0"/>
        <w:spacing w:before="480" w:after="0"/>
        <w:ind w:left="0" w:right="0" w:hanging="0"/>
        <w:jc w:val="center"/>
        <w:rPr>
          <w:rFonts w:ascii="Helvetica" w:hAnsi="Helvetica"/>
          <w:sz w:val="18"/>
        </w:rPr>
      </w:pPr>
      <w:r>
        <w:rPr>
          <w:rFonts w:ascii="Helvetica" w:hAnsi="Helvetica"/>
          <w:sz w:val="18"/>
        </w:rPr>
        <w:t>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18"/>
        </w:rPr>
      </w:pPr>
      <w:r>
        <w:rPr>
          <w:rFonts w:ascii="Helvetica" w:hAnsi="Helvetica"/>
          <w:sz w:val="18"/>
        </w:rPr>
        <w:t>As of August 3, 2024, our net DTA includes approximately $9.7</w:t>
      </w:r>
      <w:r>
        <w:rPr>
          <w:rFonts w:ascii="Times New Roman;Times;serif" w:hAnsi="Times New Roman;Times;serif"/>
          <w:sz w:val="18"/>
        </w:rPr>
        <w:t xml:space="preserve"> </w:t>
      </w:r>
      <w:r>
        <w:rPr>
          <w:rFonts w:ascii="Helvetica" w:hAnsi="Helvetica"/>
          <w:sz w:val="18"/>
        </w:rPr>
        <w:t>million related to net operating loss (NOL) carryforwards that can be used to offset taxable income in future periods and reduce our income taxes payable in those future periods. 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w:t>
      </w:r>
    </w:p>
    <w:p>
      <w:pPr>
        <w:pStyle w:val="TextBody"/>
        <w:bidi w:val="0"/>
        <w:spacing w:before="0" w:after="240"/>
        <w:ind w:left="0" w:right="0" w:hanging="0"/>
        <w:jc w:val="left"/>
        <w:rPr>
          <w:rFonts w:ascii="Helvetica" w:hAnsi="Helvetica"/>
          <w:sz w:val="18"/>
        </w:rPr>
      </w:pPr>
      <w:r>
        <w:rPr>
          <w:rFonts w:ascii="Helvetica" w:hAnsi="Helvetica"/>
          <w:sz w:val="18"/>
        </w:rPr>
        <w:t>We are required to evaluate our NOL and tax credit carryforwards and whether certain changes in ownership have occurred as measured under Section 382 that would limit our ability to utilize a portion of our NOL and tax credit carryforwards. If it is determined that an ownership change has occurred, there may be annual limitations on the use of these NOL and tax credit carryforwards under Sections 382 and 383 (or comparable provisions of foreign or state law).</w:t>
      </w:r>
    </w:p>
    <w:p>
      <w:pPr>
        <w:pStyle w:val="TextBody"/>
        <w:bidi w:val="0"/>
        <w:spacing w:lineRule="auto" w:line="307" w:before="0" w:after="240"/>
        <w:ind w:left="0" w:right="0" w:hanging="0"/>
        <w:jc w:val="left"/>
        <w:rPr>
          <w:rFonts w:ascii="Helvetica" w:hAnsi="Helvetica"/>
          <w:sz w:val="18"/>
        </w:rPr>
      </w:pPr>
      <w:r>
        <w:rPr>
          <w:rFonts w:ascii="Helvetica" w:hAnsi="Helvetica"/>
          <w:sz w:val="18"/>
        </w:rPr>
        <w:t>7. Commitments and Contingencies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t>
      </w:r>
    </w:p>
    <w:p>
      <w:pPr>
        <w:pStyle w:val="TextBody"/>
        <w:bidi w:val="0"/>
        <w:spacing w:lineRule="auto" w:line="307" w:before="0" w:after="240"/>
        <w:ind w:left="0" w:right="0" w:hanging="0"/>
        <w:jc w:val="left"/>
        <w:rPr>
          <w:rFonts w:ascii="Helvetica" w:hAnsi="Helvetica"/>
          <w:sz w:val="18"/>
        </w:rPr>
      </w:pPr>
      <w:r>
        <w:rPr>
          <w:rFonts w:ascii="Helvetica" w:hAnsi="Helvetica"/>
          <w:sz w:val="18"/>
        </w:rPr>
        <w:t>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pStyle w:val="TextBody"/>
        <w:bidi w:val="0"/>
        <w:spacing w:lineRule="auto" w:line="307" w:before="0" w:after="240"/>
        <w:ind w:left="0" w:right="0" w:hanging="0"/>
        <w:jc w:val="left"/>
        <w:rPr>
          <w:rFonts w:ascii="Helvetica" w:hAnsi="Helvetica"/>
          <w:sz w:val="18"/>
        </w:rPr>
      </w:pPr>
      <w:r>
        <w:rPr>
          <w:rFonts w:ascii="Helvetica" w:hAnsi="Helvetica"/>
          <w:sz w:val="18"/>
        </w:rPr>
        <w:t>8. Stock Repurchases</w:t>
      </w:r>
    </w:p>
    <w:p>
      <w:pPr>
        <w:pStyle w:val="TextBody"/>
        <w:bidi w:val="0"/>
        <w:spacing w:lineRule="auto" w:line="307" w:before="0" w:after="240"/>
        <w:ind w:left="0" w:right="0" w:hanging="0"/>
        <w:jc w:val="left"/>
        <w:rPr>
          <w:rFonts w:ascii="Helvetica" w:hAnsi="Helvetica"/>
          <w:sz w:val="18"/>
        </w:rPr>
      </w:pPr>
      <w:r>
        <w:rPr>
          <w:rFonts w:ascii="Helvetica" w:hAnsi="Helvetica"/>
          <w:sz w:val="18"/>
        </w:rPr>
        <w:t>The Company periodically repurchases shares of its common stock under board-authorized repurchase programs. Such repurchases may be made in the open market, through block trades or through other negotiated transactions. There were no stock repurchases in the first half of 2024 or the first half of 2023.</w:t>
      </w:r>
    </w:p>
    <w:p>
      <w:pPr>
        <w:pStyle w:val="TextBody"/>
        <w:bidi w:val="0"/>
        <w:spacing w:before="0" w:after="240"/>
        <w:ind w:left="0" w:right="0" w:hanging="0"/>
        <w:jc w:val="left"/>
        <w:rPr>
          <w:rFonts w:ascii="Times New Roman;Times;serif" w:hAnsi="Times New Roman;Times;serif"/>
          <w:sz w:val="18"/>
        </w:rPr>
      </w:pPr>
      <w:r>
        <w:rPr>
          <w:rFonts w:ascii="Helvetica" w:hAnsi="Helvetica"/>
          <w:sz w:val="18"/>
        </w:rPr>
        <w:t>At August 3, 2024, $50.0</w:t>
      </w:r>
      <w:r>
        <w:rPr>
          <w:rFonts w:ascii="Times New Roman;Times;serif" w:hAnsi="Times New Roman;Times;serif"/>
          <w:sz w:val="18"/>
        </w:rPr>
        <w:t xml:space="preserve"> </w:t>
      </w:r>
      <w:r>
        <w:rPr>
          <w:rFonts w:ascii="Helvetica" w:hAnsi="Helvetica"/>
          <w:sz w:val="18"/>
        </w:rPr>
        <w:t>million remained available under the Company</w:t>
      </w:r>
      <w:r>
        <w:rPr>
          <w:rFonts w:ascii="Times New Roman;Times;serif" w:hAnsi="Times New Roman;Times;serif"/>
          <w:sz w:val="18"/>
        </w:rPr>
        <w:t>’</w:t>
      </w:r>
      <w:r>
        <w:rPr>
          <w:rFonts w:ascii="Helvetica" w:hAnsi="Helvetica"/>
          <w:sz w:val="18"/>
        </w:rPr>
        <w:t>s stock repurchase authorization.</w:t>
      </w:r>
    </w:p>
    <w:p>
      <w:pPr>
        <w:pStyle w:val="TextBody"/>
        <w:bidi w:val="0"/>
        <w:spacing w:lineRule="auto" w:line="307" w:before="0" w:after="240"/>
        <w:ind w:left="0" w:right="0" w:hanging="0"/>
        <w:jc w:val="left"/>
        <w:rPr>
          <w:rFonts w:ascii="Helvetica" w:hAnsi="Helvetica"/>
          <w:sz w:val="18"/>
        </w:rPr>
      </w:pPr>
      <w:r>
        <w:rPr>
          <w:rFonts w:ascii="Helvetica" w:hAnsi="Helvetica"/>
          <w:sz w:val="18"/>
        </w:rPr>
        <w:t>9. Revenue</w:t>
      </w:r>
    </w:p>
    <w:p>
      <w:pPr>
        <w:pStyle w:val="TextBody"/>
        <w:bidi w:val="0"/>
        <w:spacing w:lineRule="auto" w:line="307" w:before="0" w:after="0"/>
        <w:ind w:left="0" w:right="0" w:hanging="0"/>
        <w:jc w:val="left"/>
        <w:rPr>
          <w:rFonts w:ascii="Helvetica" w:hAnsi="Helvetica"/>
          <w:i/>
          <w:sz w:val="18"/>
        </w:rPr>
      </w:pPr>
      <w:r>
        <w:rPr>
          <w:rFonts w:ascii="Helvetica" w:hAnsi="Helvetica"/>
          <w:i/>
          <w:sz w:val="18"/>
        </w:rPr>
        <w:t>Revenue Recognition</w:t>
      </w:r>
    </w:p>
    <w:p>
      <w:pPr>
        <w:pStyle w:val="TextBody"/>
        <w:bidi w:val="0"/>
        <w:spacing w:lineRule="auto" w:line="307" w:before="0" w:after="0"/>
        <w:ind w:left="0" w:right="0" w:hanging="0"/>
        <w:jc w:val="left"/>
        <w:rPr>
          <w:rFonts w:ascii="Times New Roman;Times;serif" w:hAnsi="Times New Roman;Times;serif"/>
          <w:sz w:val="18"/>
        </w:rPr>
      </w:pPr>
      <w:r>
        <w:rPr>
          <w:rFonts w:ascii="Helvetica" w:hAnsi="Helvetica"/>
          <w:sz w:val="18"/>
        </w:rPr>
        <w:t>The Company</w:t>
      </w:r>
      <w:r>
        <w:rPr>
          <w:rFonts w:ascii="Times New Roman;Times;serif" w:hAnsi="Times New Roman;Times;serif"/>
          <w:sz w:val="18"/>
        </w:rPr>
        <w:t>’</w:t>
      </w:r>
      <w:r>
        <w:rPr>
          <w:rFonts w:ascii="Helvetica" w:hAnsi="Helvetica"/>
          <w:sz w:val="18"/>
        </w:rPr>
        <w:t>s primary source of revenue is derived from the sale of clothing and accessories to its customers with the Company</w:t>
      </w:r>
      <w:r>
        <w:rPr>
          <w:rFonts w:ascii="Times New Roman;Times;serif" w:hAnsi="Times New Roman;Times;serif"/>
          <w:sz w:val="18"/>
        </w:rPr>
        <w:t>’</w:t>
      </w:r>
      <w:r>
        <w:rPr>
          <w:rFonts w:ascii="Helvetica" w:hAnsi="Helvetica"/>
          <w:sz w:val="18"/>
        </w:rPr>
        <w:t>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w:t>
      </w:r>
      <w:r>
        <w:rPr>
          <w:rFonts w:ascii="Times New Roman;Times;serif" w:hAnsi="Times New Roman;Times;serif"/>
          <w:sz w:val="18"/>
        </w:rPr>
        <w:t>’</w:t>
      </w:r>
      <w:r>
        <w:rPr>
          <w:rFonts w:ascii="Helvetica" w:hAnsi="Helvetica"/>
          <w:sz w:val="18"/>
        </w:rPr>
        <w:t>s performance obligation. The Company defers revenue from the sale of gift cards and recognizes the associated revenue upon the redemption of the cards by customers to purchase merchandise.</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Helvetica" w:hAnsi="Helvetica"/>
          <w:i/>
          <w:sz w:val="18"/>
        </w:rPr>
      </w:pPr>
      <w:r>
        <w:rPr>
          <w:rFonts w:ascii="Helvetica" w:hAnsi="Helvetica"/>
          <w:i/>
          <w:sz w:val="18"/>
        </w:rPr>
        <w:t>Sales Returns</w:t>
      </w:r>
    </w:p>
    <w:p>
      <w:pPr>
        <w:pStyle w:val="TextBody"/>
        <w:bidi w:val="0"/>
        <w:spacing w:lineRule="auto" w:line="307" w:before="0" w:after="0"/>
        <w:ind w:left="0" w:right="0" w:hanging="0"/>
        <w:jc w:val="left"/>
        <w:rPr>
          <w:rFonts w:ascii="Times New Roman;Times;serif" w:hAnsi="Times New Roman;Times;serif"/>
          <w:sz w:val="20"/>
        </w:rPr>
      </w:pPr>
      <w:r>
        <w:rPr>
          <w:rFonts w:ascii="Helvetica" w:hAnsi="Helvetica"/>
          <w:sz w:val="18"/>
        </w:rPr>
        <w:t>The Company allows customers to return merchandise for up to 30 days</w:t>
      </w:r>
      <w:r>
        <w:rPr>
          <w:rFonts w:ascii="Times New Roman;Times;serif" w:hAnsi="Times New Roman;Times;serif"/>
          <w:sz w:val="20"/>
        </w:rPr>
        <w:t xml:space="preserve"> </w:t>
      </w:r>
      <w:r>
        <w:rPr>
          <w:rFonts w:ascii="Helvetica" w:hAnsi="Helvetica"/>
          <w:sz w:val="18"/>
        </w:rPr>
        <w:t xml:space="preserve">after the date of sale subject to certain conditions. Expected refunds to customers are recorded based on estimated margin using historical return information. </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Helvetica" w:hAnsi="Helvetica"/>
          <w:i/>
          <w:sz w:val="18"/>
        </w:rPr>
      </w:pPr>
      <w:r>
        <w:rPr>
          <w:rFonts w:ascii="Helvetica" w:hAnsi="Helvetica"/>
          <w:i/>
          <w:sz w:val="18"/>
        </w:rPr>
        <w:t>Disaggregation of Revenue</w:t>
      </w:r>
    </w:p>
    <w:p>
      <w:pPr>
        <w:pStyle w:val="TextBody"/>
        <w:bidi w:val="0"/>
        <w:spacing w:lineRule="auto" w:line="307" w:before="0" w:after="0"/>
        <w:ind w:left="0" w:right="0" w:hanging="0"/>
        <w:jc w:val="left"/>
        <w:rPr>
          <w:rFonts w:ascii="Times New Roman;Times;serif" w:hAnsi="Times New Roman;Times;serif"/>
          <w:sz w:val="18"/>
        </w:rPr>
      </w:pPr>
      <w:r>
        <w:rPr>
          <w:rFonts w:ascii="Helvetica" w:hAnsi="Helvetica"/>
          <w:sz w:val="18"/>
        </w:rPr>
        <w:t>The Company</w:t>
      </w:r>
      <w:r>
        <w:rPr>
          <w:rFonts w:ascii="Times New Roman;Times;serif" w:hAnsi="Times New Roman;Times;serif"/>
          <w:sz w:val="18"/>
        </w:rPr>
        <w:t>’</w:t>
      </w:r>
      <w:r>
        <w:rPr>
          <w:rFonts w:ascii="Helvetica" w:hAnsi="Helvetica"/>
          <w:sz w:val="18"/>
        </w:rPr>
        <w:t>s retail operations represent a single operating segment based on the way the Company manages its business. Operating decisions and resource allocation decisions are made at the Company level in order to maintain a consistent retail store presentation. The Company</w:t>
      </w:r>
      <w:r>
        <w:rPr>
          <w:rFonts w:ascii="Times New Roman;Times;serif" w:hAnsi="Times New Roman;Times;serif"/>
          <w:sz w:val="18"/>
        </w:rPr>
        <w:t>’</w:t>
      </w:r>
      <w:r>
        <w:rPr>
          <w:rFonts w:ascii="Helvetica" w:hAnsi="Helvetica"/>
          <w:sz w:val="18"/>
        </w:rPr>
        <w:t>s retail stores sell similar products, use similar processes to sell those products and sell their products to similar classes of customers.</w:t>
      </w:r>
    </w:p>
    <w:p>
      <w:pPr>
        <w:pStyle w:val="TextBody"/>
        <w:bidi w:val="0"/>
        <w:spacing w:lineRule="auto" w:line="307" w:before="0" w:after="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120"/>
        <w:ind w:left="0" w:right="0" w:hanging="0"/>
        <w:jc w:val="left"/>
        <w:rPr>
          <w:rFonts w:ascii="Times New Roman;Times;serif" w:hAnsi="Times New Roman;Times;serif"/>
          <w:sz w:val="18"/>
        </w:rPr>
      </w:pPr>
      <w:bookmarkStart w:id="793" w:name="Tc_5sty5_wzZk-4B2ovryaoYg_9_11"/>
      <w:bookmarkStart w:id="794" w:name="Tc_clWnDcTRX0WmIVodshL4kA_9_8"/>
      <w:bookmarkStart w:id="795" w:name="Tc_D4oPr6IbCkCrCvbyEOrPgw_9_5"/>
      <w:bookmarkStart w:id="796" w:name="Tc_r5uqMQFH40mKXMN-hGuM9Q_9_2"/>
      <w:bookmarkStart w:id="797" w:name="Tc_MuPOyzZgUEKAsALLbqFp9Q_9_0"/>
      <w:bookmarkStart w:id="798" w:name="Tc_4SV_npIH8065IlyjHSHXpQ_8_11"/>
      <w:bookmarkStart w:id="799" w:name="Tc_nK0R5IG-l0uPRh3KuMOnRg_8_8"/>
      <w:bookmarkStart w:id="800" w:name="Tc_Kj_aUxy8RkOwUNVizRCETw_8_5"/>
      <w:bookmarkStart w:id="801" w:name="Tc_QYA-3CHEWUOrtvIq-R-HrQ_8_2"/>
      <w:bookmarkStart w:id="802" w:name="Tc_V9FMDkmb-UiY01eXdRynCA_8_0"/>
      <w:bookmarkStart w:id="803" w:name="Tc_5JikP74Vz0C-1fwE_bdw7Q_7_11"/>
      <w:bookmarkStart w:id="804" w:name="Tc_-kP5F0hAs0mVhYyo9HoSSw_7_8"/>
      <w:bookmarkStart w:id="805" w:name="Tc_q-Q4wdSFSEC4788X2tk02Q_7_5"/>
      <w:bookmarkStart w:id="806" w:name="Tc_xQK8vd6c70C4c_wJ_W6P7Q_7_2"/>
      <w:bookmarkStart w:id="807" w:name="Tc_GUMUO8A_PEWOscDHArvVuw_7_0"/>
      <w:bookmarkStart w:id="808" w:name="Tc_ZpqdHdY79kePFsqN3VYfAA_6_11"/>
      <w:bookmarkStart w:id="809" w:name="Tc_d2itX2cdjESH6dy7Cvr9Pg_6_8"/>
      <w:bookmarkStart w:id="810" w:name="Tc_c12Wa07bQUWACuQWwmPwrQ_6_5"/>
      <w:bookmarkStart w:id="811" w:name="Tc_aj7ay1p-Q0Gvr_eHTziqmQ_6_2"/>
      <w:bookmarkStart w:id="812" w:name="Tc_RORT_z1NLE6YM5WLJag9nA_6_0"/>
      <w:bookmarkStart w:id="813" w:name="Tc_ZcmFrKmH7E6MxE2wGGjLDw_5_11"/>
      <w:bookmarkStart w:id="814" w:name="Tc_4laGCGG2MkeMDj3SMtJqKA_5_8"/>
      <w:bookmarkStart w:id="815" w:name="Tc_dZ01uar0w0i8FU2j700Q-Q_5_5"/>
      <w:bookmarkStart w:id="816" w:name="Tc_jFgAazSVIUOV_j9x3cMvaw_5_2"/>
      <w:bookmarkStart w:id="817" w:name="Tc_oALq4n6x-kuASjGlLPPz8Q_5_0"/>
      <w:bookmarkStart w:id="818" w:name="Tc_jI0zBH275EmzsBM9RP57lw_4_11"/>
      <w:bookmarkStart w:id="819" w:name="Tc_AYXBioElhkea_lMx8QXJpA_4_8"/>
      <w:bookmarkStart w:id="820" w:name="Tc_SD25LcEDLUmHNpCcWE5j6w_4_5"/>
      <w:bookmarkStart w:id="821" w:name="Tc_R774SBgsSUmhNjkuBKFZDA_4_2"/>
      <w:bookmarkStart w:id="822" w:name="Tc_bRTphOxVAE281rLQxyh98w_4_0"/>
      <w:bookmarkStart w:id="823" w:name="Tc_laGEQLeyj0eQ9wVyTFgCBQ_3_10"/>
      <w:bookmarkStart w:id="824" w:name="Tc_bBjCfhcV3kC9W97igQNWrA_3_7"/>
      <w:bookmarkStart w:id="825" w:name="Tc_42Ayo4qoKkeCorcpH7Ycyg_3_4"/>
      <w:bookmarkStart w:id="826" w:name="Tc_s351-5DRdkKuJAhBHtZrZA_3_1"/>
      <w:bookmarkStart w:id="827" w:name="Tc_LebEItoBcE2lEb5x-YVGtA_2_10"/>
      <w:bookmarkStart w:id="828" w:name="Tc_zXFbBIkEbU2ZZeRAAkeCqg_2_7"/>
      <w:bookmarkStart w:id="829" w:name="Tc_7OA2EvJr0EObxqAXHu2ivQ_2_4"/>
      <w:bookmarkStart w:id="830" w:name="Tc_eEgYWqZsJUKElrSMSxIl8A_2_1"/>
      <w:bookmarkStart w:id="831" w:name="Tc_iZ_LyDYjtEu3IHP-STB5pw_1_7"/>
      <w:bookmarkStart w:id="832" w:name="Tc_TywHPPFeTkCSi8hOYFxlgA_1_1"/>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r>
        <w:rPr>
          <w:rFonts w:ascii="Helvetica" w:hAnsi="Helvetica"/>
          <w:sz w:val="18"/>
          <w:shd w:fill="FFFFFF" w:val="clear"/>
        </w:rPr>
        <w:t>In the following table, the Company</w:t>
      </w:r>
      <w:r>
        <w:rPr>
          <w:rFonts w:ascii="Times New Roman;Times;serif" w:hAnsi="Times New Roman;Times;serif"/>
          <w:sz w:val="18"/>
          <w:shd w:fill="FFFFFF" w:val="clear"/>
        </w:rPr>
        <w:t>’</w:t>
      </w:r>
      <w:r>
        <w:rPr>
          <w:rFonts w:ascii="Helvetica" w:hAnsi="Helvetica"/>
          <w:sz w:val="18"/>
          <w:shd w:fill="FFFFFF" w:val="clear"/>
        </w:rPr>
        <w:t xml:space="preserve">s revenue from contracts with customers is disaggregated by </w:t>
      </w:r>
      <w:r>
        <w:rPr>
          <w:rFonts w:ascii="Times New Roman;Times;serif" w:hAnsi="Times New Roman;Times;serif"/>
          <w:sz w:val="18"/>
          <w:shd w:fill="FFFFFF" w:val="clear"/>
        </w:rPr>
        <w:t>“</w:t>
      </w:r>
      <w:r>
        <w:rPr>
          <w:rFonts w:ascii="Helvetica" w:hAnsi="Helvetica"/>
          <w:sz w:val="18"/>
          <w:shd w:fill="FFFFFF" w:val="clear"/>
        </w:rPr>
        <w:t>CITI</w:t>
      </w:r>
      <w:r>
        <w:rPr>
          <w:rFonts w:ascii="Times New Roman;Times;serif" w:hAnsi="Times New Roman;Times;serif"/>
          <w:sz w:val="18"/>
          <w:shd w:fill="FFFFFF" w:val="clear"/>
        </w:rPr>
        <w:t xml:space="preserve">” </w:t>
      </w:r>
      <w:r>
        <w:rPr>
          <w:rFonts w:ascii="Helvetica" w:hAnsi="Helvetica"/>
          <w:sz w:val="18"/>
          <w:shd w:fill="FFFFFF" w:val="clear"/>
        </w:rPr>
        <w:t>or major merchandise category. The percentage of net sales for each CITI with the merchandise assortment was approximately:</w:t>
      </w:r>
    </w:p>
    <w:p>
      <w:pPr>
        <w:pStyle w:val="TextBody"/>
        <w:bidi w:val="0"/>
        <w:spacing w:before="0" w:after="0"/>
        <w:ind w:left="0" w:right="0" w:hanging="0"/>
        <w:jc w:val="left"/>
        <w:rPr/>
      </w:pPr>
      <w:r>
        <w:rPr/>
        <w:t>​</w:t>
      </w:r>
    </w:p>
    <w:tbl>
      <w:tblPr>
        <w:tblW w:w="6528" w:type="dxa"/>
        <w:jc w:val="left"/>
        <w:tblInd w:w="0" w:type="dxa"/>
        <w:tblLayout w:type="fixed"/>
        <w:tblCellMar>
          <w:top w:w="0" w:type="dxa"/>
          <w:left w:w="0" w:type="dxa"/>
          <w:bottom w:w="0" w:type="dxa"/>
          <w:right w:w="0" w:type="dxa"/>
        </w:tblCellMar>
      </w:tblPr>
      <w:tblGrid>
        <w:gridCol w:w="2071"/>
        <w:gridCol w:w="468"/>
        <w:gridCol w:w="402"/>
        <w:gridCol w:w="407"/>
        <w:gridCol w:w="395"/>
        <w:gridCol w:w="338"/>
        <w:gridCol w:w="146"/>
        <w:gridCol w:w="468"/>
        <w:gridCol w:w="402"/>
        <w:gridCol w:w="456"/>
        <w:gridCol w:w="442"/>
        <w:gridCol w:w="379"/>
        <w:gridCol w:w="154"/>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15085" cy="175260"/>
                      <wp:effectExtent l="0" t="0" r="0" b="0"/>
                      <wp:wrapNone/>
                      <wp:docPr id="85" name="Frame8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97180" cy="175260"/>
                      <wp:effectExtent l="0" t="0" r="0" b="0"/>
                      <wp:wrapNone/>
                      <wp:docPr id="86" name="Frame86"/>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55270" cy="175260"/>
                      <wp:effectExtent l="0" t="0" r="0" b="0"/>
                      <wp:wrapNone/>
                      <wp:docPr id="87" name="Frame87"/>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58445" cy="175260"/>
                      <wp:effectExtent l="0" t="0" r="0" b="0"/>
                      <wp:wrapNone/>
                      <wp:docPr id="88" name="Frame88"/>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50825" cy="175260"/>
                      <wp:effectExtent l="0" t="0" r="0" b="0"/>
                      <wp:wrapNone/>
                      <wp:docPr id="89" name="Frame8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4630" cy="175260"/>
                      <wp:effectExtent l="0" t="0" r="0" b="0"/>
                      <wp:wrapNone/>
                      <wp:docPr id="90" name="Frame9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92710" cy="175260"/>
                      <wp:effectExtent l="0" t="0" r="0" b="0"/>
                      <wp:wrapNone/>
                      <wp:docPr id="91" name="Frame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97180" cy="175260"/>
                      <wp:effectExtent l="0" t="0" r="0" b="0"/>
                      <wp:wrapNone/>
                      <wp:docPr id="92" name="Frame92"/>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5270" cy="175260"/>
                      <wp:effectExtent l="0" t="0" r="0" b="0"/>
                      <wp:wrapNone/>
                      <wp:docPr id="93" name="Frame93"/>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89560" cy="175260"/>
                      <wp:effectExtent l="0" t="0" r="0" b="0"/>
                      <wp:wrapNone/>
                      <wp:docPr id="94" name="Frame94"/>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80670" cy="175260"/>
                      <wp:effectExtent l="0" t="0" r="0" b="0"/>
                      <wp:wrapNone/>
                      <wp:docPr id="95" name="Frame9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40665" cy="175260"/>
                      <wp:effectExtent l="0" t="0" r="0" b="0"/>
                      <wp:wrapNone/>
                      <wp:docPr id="96" name="Frame9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7790" cy="175260"/>
                      <wp:effectExtent l="0" t="0" r="0" b="0"/>
                      <wp:wrapNone/>
                      <wp:docPr id="97" name="Frame9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20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c>
          <w:tcPr>
            <w:tcW w:w="146" w:type="dxa"/>
            <w:tcBorders/>
            <w:vAlign w:val="center"/>
          </w:tcPr>
          <w:p>
            <w:pPr>
              <w:pStyle w:val="TableContents"/>
              <w:bidi w:val="0"/>
              <w:spacing w:before="0" w:after="0"/>
              <w:ind w:left="0" w:right="0" w:hanging="0"/>
              <w:jc w:val="left"/>
              <w:rPr/>
            </w:pPr>
            <w:r>
              <w:rPr/>
              <w:t>​</w:t>
            </w:r>
          </w:p>
        </w:tc>
        <w:tc>
          <w:tcPr>
            <w:tcW w:w="21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w:t>
            </w:r>
          </w:p>
        </w:tc>
        <w:tc>
          <w:tcPr>
            <w:tcW w:w="407" w:type="dxa"/>
            <w:tcBorders/>
            <w:vAlign w:val="center"/>
          </w:tcPr>
          <w:p>
            <w:pPr>
              <w:pStyle w:val="TableContents"/>
              <w:bidi w:val="0"/>
              <w:spacing w:before="0" w:after="0"/>
              <w:ind w:left="0" w:right="0" w:hanging="0"/>
              <w:jc w:val="left"/>
              <w:rPr/>
            </w:pPr>
            <w:r>
              <w:rPr/>
              <w:t>    </w:t>
            </w:r>
          </w:p>
        </w:tc>
        <w:tc>
          <w:tcPr>
            <w:tcW w:w="733"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w:t>
            </w:r>
          </w:p>
        </w:tc>
        <w:tc>
          <w:tcPr>
            <w:tcW w:w="456" w:type="dxa"/>
            <w:tcBorders/>
            <w:vAlign w:val="center"/>
          </w:tcPr>
          <w:p>
            <w:pPr>
              <w:pStyle w:val="TableContents"/>
              <w:bidi w:val="0"/>
              <w:spacing w:before="0" w:after="0"/>
              <w:ind w:left="0" w:right="0" w:hanging="0"/>
              <w:jc w:val="left"/>
              <w:rPr/>
            </w:pPr>
            <w:r>
              <w:rPr/>
              <w:t>    </w:t>
            </w:r>
          </w:p>
        </w:tc>
        <w:tc>
          <w:tcPr>
            <w:tcW w:w="821" w:type="dxa"/>
            <w:gridSpan w:val="2"/>
            <w:tcBorders/>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407" w:type="dxa"/>
            <w:tcBorders/>
            <w:vAlign w:val="center"/>
          </w:tcPr>
          <w:p>
            <w:pPr>
              <w:pStyle w:val="TableContents"/>
              <w:bidi w:val="0"/>
              <w:spacing w:before="0" w:after="0"/>
              <w:ind w:left="0" w:right="0" w:hanging="0"/>
              <w:jc w:val="left"/>
              <w:rPr/>
            </w:pPr>
            <w:r>
              <w:rPr/>
              <w:t>    </w:t>
            </w:r>
          </w:p>
        </w:tc>
        <w:tc>
          <w:tcPr>
            <w:tcW w:w="7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2023</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2024</w:t>
            </w:r>
          </w:p>
        </w:tc>
        <w:tc>
          <w:tcPr>
            <w:tcW w:w="456" w:type="dxa"/>
            <w:tcBorders/>
            <w:vAlign w:val="center"/>
          </w:tcPr>
          <w:p>
            <w:pPr>
              <w:pStyle w:val="TableContents"/>
              <w:bidi w:val="0"/>
              <w:spacing w:before="0" w:after="0"/>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Helvetica" w:hAnsi="Helvetica"/>
                <w:sz w:val="19"/>
              </w:rPr>
            </w:pPr>
            <w:r>
              <w:rPr>
                <w:rFonts w:ascii="Helvetica" w:hAnsi="Helvetica"/>
                <w:sz w:val="19"/>
              </w:rPr>
              <w:t>Ladies</w:t>
            </w:r>
          </w:p>
        </w:tc>
        <w:tc>
          <w:tcPr>
            <w:tcW w:w="46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27</w:t>
            </w:r>
          </w:p>
        </w:tc>
        <w:tc>
          <w:tcPr>
            <w:tcW w:w="40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27</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29</w:t>
            </w:r>
          </w:p>
        </w:tc>
        <w:tc>
          <w:tcPr>
            <w:tcW w:w="40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5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28</w:t>
            </w:r>
          </w:p>
        </w:tc>
        <w:tc>
          <w:tcPr>
            <w:tcW w:w="379"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Kids</w:t>
            </w:r>
          </w:p>
        </w:tc>
        <w:tc>
          <w:tcPr>
            <w:tcW w:w="46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22</w:t>
            </w:r>
          </w:p>
        </w:tc>
        <w:tc>
          <w:tcPr>
            <w:tcW w:w="40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21</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46"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22</w:t>
            </w:r>
          </w:p>
        </w:tc>
        <w:tc>
          <w:tcPr>
            <w:tcW w:w="40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5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22</w:t>
            </w:r>
          </w:p>
        </w:tc>
        <w:tc>
          <w:tcPr>
            <w:tcW w:w="379"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Helvetica" w:hAnsi="Helvetica"/>
                <w:sz w:val="19"/>
              </w:rPr>
            </w:pPr>
            <w:r>
              <w:rPr>
                <w:rFonts w:ascii="Helvetica" w:hAnsi="Helvetica"/>
                <w:sz w:val="19"/>
              </w:rPr>
              <w:t>Accessories &amp; Beauty</w:t>
            </w:r>
          </w:p>
        </w:tc>
        <w:tc>
          <w:tcPr>
            <w:tcW w:w="46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18</w:t>
            </w:r>
          </w:p>
        </w:tc>
        <w:tc>
          <w:tcPr>
            <w:tcW w:w="40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18</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17</w:t>
            </w:r>
          </w:p>
        </w:tc>
        <w:tc>
          <w:tcPr>
            <w:tcW w:w="40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5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18</w:t>
            </w:r>
          </w:p>
        </w:tc>
        <w:tc>
          <w:tcPr>
            <w:tcW w:w="379"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Mens</w:t>
            </w:r>
          </w:p>
        </w:tc>
        <w:tc>
          <w:tcPr>
            <w:tcW w:w="46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17</w:t>
            </w:r>
          </w:p>
        </w:tc>
        <w:tc>
          <w:tcPr>
            <w:tcW w:w="40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17</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46"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16</w:t>
            </w:r>
          </w:p>
        </w:tc>
        <w:tc>
          <w:tcPr>
            <w:tcW w:w="40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5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16</w:t>
            </w:r>
          </w:p>
        </w:tc>
        <w:tc>
          <w:tcPr>
            <w:tcW w:w="379"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vAlign w:val="center"/>
          </w:tcPr>
          <w:p>
            <w:pPr>
              <w:pStyle w:val="TableContents"/>
              <w:bidi w:val="0"/>
              <w:spacing w:before="0" w:after="0"/>
              <w:ind w:left="0" w:right="0" w:hanging="0"/>
              <w:jc w:val="left"/>
              <w:rPr/>
            </w:pPr>
            <w:r>
              <w:rPr/>
              <w:t>​</w:t>
            </w:r>
          </w:p>
        </w:tc>
      </w:tr>
      <w:tr>
        <w:trPr/>
        <w:tc>
          <w:tcPr>
            <w:tcW w:w="2071" w:type="dxa"/>
            <w:tcBorders/>
            <w:shd w:fill="CCEEFF" w:val="clear"/>
            <w:vAlign w:val="center"/>
          </w:tcPr>
          <w:p>
            <w:pPr>
              <w:pStyle w:val="TableContents"/>
              <w:bidi w:val="0"/>
              <w:spacing w:before="0" w:after="0"/>
              <w:ind w:left="0" w:right="0" w:hanging="0"/>
              <w:jc w:val="left"/>
              <w:rPr>
                <w:rFonts w:ascii="Helvetica" w:hAnsi="Helvetica"/>
                <w:sz w:val="19"/>
              </w:rPr>
            </w:pPr>
            <w:r>
              <w:rPr>
                <w:rFonts w:ascii="Helvetica" w:hAnsi="Helvetica"/>
                <w:sz w:val="19"/>
              </w:rPr>
              <w:t>Home &amp; Lifestyle</w:t>
            </w:r>
          </w:p>
        </w:tc>
        <w:tc>
          <w:tcPr>
            <w:tcW w:w="46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9</w:t>
            </w:r>
          </w:p>
        </w:tc>
        <w:tc>
          <w:tcPr>
            <w:tcW w:w="40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w:t>
            </w:r>
          </w:p>
        </w:tc>
        <w:tc>
          <w:tcPr>
            <w:tcW w:w="33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68"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9</w:t>
            </w:r>
          </w:p>
        </w:tc>
        <w:tc>
          <w:tcPr>
            <w:tcW w:w="40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5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8</w:t>
            </w:r>
          </w:p>
        </w:tc>
        <w:tc>
          <w:tcPr>
            <w:tcW w:w="379"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Helvetica" w:hAnsi="Helvetica"/>
                <w:sz w:val="19"/>
              </w:rPr>
            </w:pPr>
            <w:r>
              <w:rPr>
                <w:rFonts w:ascii="Helvetica" w:hAnsi="Helvetica"/>
                <w:sz w:val="19"/>
              </w:rPr>
              <w:t>Footwear</w:t>
            </w:r>
          </w:p>
        </w:tc>
        <w:tc>
          <w:tcPr>
            <w:tcW w:w="46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w:t>
            </w:r>
          </w:p>
        </w:tc>
        <w:tc>
          <w:tcPr>
            <w:tcW w:w="40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07"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9</w:t>
            </w:r>
          </w:p>
        </w:tc>
        <w:tc>
          <w:tcPr>
            <w:tcW w:w="33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46"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w:t>
            </w:r>
          </w:p>
        </w:tc>
        <w:tc>
          <w:tcPr>
            <w:tcW w:w="40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45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8</w:t>
            </w:r>
          </w:p>
        </w:tc>
        <w:tc>
          <w:tcPr>
            <w:tcW w:w="379"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7" w:before="0" w:after="240"/>
        <w:ind w:left="0" w:right="0" w:hanging="0"/>
        <w:jc w:val="left"/>
        <w:rPr>
          <w:rFonts w:ascii="Helvetica" w:hAnsi="Helvetica"/>
          <w:sz w:val="18"/>
        </w:rPr>
      </w:pPr>
      <w:bookmarkStart w:id="833" w:name="Tc_Ka6D_9JdAUOyoC-veQmTDA_10_4"/>
      <w:bookmarkStart w:id="834" w:name="Tc_bA8g5r5hI0-337Orv7MYTw_10_2"/>
      <w:bookmarkStart w:id="835" w:name="Tc_O9wF0rejMU6uza4Rv2MSAg_9_4"/>
      <w:bookmarkStart w:id="836" w:name="Tc_fLLuWJ4aAEyBHWKhR56sAw_9_0"/>
      <w:bookmarkStart w:id="837" w:name="Tc_aE6eWBbhJEGOzP39VDjScw_8_0"/>
      <w:bookmarkStart w:id="838" w:name="Tc_W3p_Qxp6w0mIZ5Sl00d1xw_7_0"/>
      <w:bookmarkStart w:id="839" w:name="Tc_2U0Yr99NmkO4K0d-U2Z4cg_6_0"/>
      <w:bookmarkStart w:id="840" w:name="Tc_nNe4ZAumjEK0cbeB49b6mA_5_0"/>
      <w:bookmarkStart w:id="841" w:name="Tc_0NmHqhWY90SMEqOXboczBg_4_0"/>
      <w:bookmarkStart w:id="842" w:name="Tc_nJXAY0p96EWctk53vcBMYA_3_0"/>
      <w:bookmarkStart w:id="843" w:name="Tc_0USdFgBUs0yZ7NeP4FefpA_2_2"/>
      <w:bookmarkStart w:id="844" w:name="Tc_9cbx0ATsRUGYtqmTY7edMw_2_0"/>
      <w:bookmarkStart w:id="845" w:name="Tc_kkAGIEjso0KWc6PKfun4KQ_1_2"/>
      <w:bookmarkStart w:id="846" w:name="Tc_ivAPZ3pwi0KJjYP8_XjqbQ_1_0"/>
      <w:bookmarkStart w:id="847" w:name="_db7694a9_5edb_454b_8624_5572ac92c72c"/>
      <w:bookmarkStart w:id="848" w:name="Tc_NV5DVJ_RO0C3LZ_IqC424A_6_11"/>
      <w:bookmarkStart w:id="849" w:name="Tc_GXeubsoF7E6O_CIKkvD0CA_6_8"/>
      <w:bookmarkStart w:id="850" w:name="Tc_hCCx90ohIEiwuq7QIh1QZA_6_5"/>
      <w:bookmarkStart w:id="851" w:name="Tc_drzbRXGvIUKdYqgPU5euXA_6_2"/>
      <w:bookmarkStart w:id="852" w:name="Tc_eV13fWuj30GlUoF5bUhNkQ_6_0"/>
      <w:bookmarkStart w:id="853" w:name="Tc_f3M2abRsfEWTP1kGie_YNQ_5_0"/>
      <w:bookmarkStart w:id="854" w:name="Tc_ndT5pu00ZEiw377FjuoDlg_4_0"/>
      <w:bookmarkStart w:id="855" w:name="Tc_RXqTikT8M0uerkxJ92GrmQ_3_11"/>
      <w:bookmarkStart w:id="856" w:name="Tc_1X4Upy4jIESjJcTHglfgXg_3_8"/>
      <w:bookmarkStart w:id="857" w:name="Tc_J-n83zhikEGV4n22r-KqsA_3_5"/>
      <w:bookmarkStart w:id="858" w:name="Tc_pvikQcNPx0Kl5-RFMYbLww_3_2"/>
      <w:bookmarkStart w:id="859" w:name="Tc_WGb5Wt8w9Uuq6U-j29kKrg_3_0"/>
      <w:bookmarkStart w:id="860" w:name="Tc_fbsYfx0Xc0ydi9BFHeLo-g_2_11"/>
      <w:bookmarkStart w:id="861" w:name="Tc_kYx3rw3MSkGbWDFkUeVFnw_2_8"/>
      <w:bookmarkStart w:id="862" w:name="Tc_Wknsx6_k10uB9UH5p2L4hA_2_5"/>
      <w:bookmarkStart w:id="863" w:name="Tc_h5UlLoYHd0yzEAfWzaRi8g_2_2"/>
      <w:bookmarkStart w:id="864" w:name="Tc_IofTdkFlu02eBnwxGzxmJg_1_8"/>
      <w:bookmarkStart w:id="865" w:name="Tc_Q8S3aKVQpk2589UH4pRnXw_1_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rFonts w:ascii="Helvetica" w:hAnsi="Helvetica"/>
          <w:sz w:val="18"/>
        </w:rPr>
        <w:t>10. Leases</w:t>
      </w:r>
    </w:p>
    <w:p>
      <w:pPr>
        <w:pStyle w:val="TextBody"/>
        <w:bidi w:val="0"/>
        <w:spacing w:lineRule="auto" w:line="307" w:before="0" w:after="240"/>
        <w:ind w:left="0" w:right="0" w:hanging="0"/>
        <w:jc w:val="left"/>
        <w:rPr>
          <w:rFonts w:ascii="Times New Roman;Times;serif" w:hAnsi="Times New Roman;Times;serif"/>
          <w:sz w:val="20"/>
        </w:rPr>
      </w:pPr>
      <w:r>
        <w:rPr>
          <w:rFonts w:ascii="Helvetica" w:hAnsi="Helvetica"/>
          <w:sz w:val="18"/>
        </w:rPr>
        <w:t>The Company leases its retail store locations, distribution centers, and certain office space and equipment. Leases for store locations are typically for a term of five years</w:t>
      </w:r>
      <w:r>
        <w:rPr>
          <w:rFonts w:ascii="Times New Roman;Times;serif" w:hAnsi="Times New Roman;Times;serif"/>
          <w:sz w:val="20"/>
        </w:rPr>
        <w:t xml:space="preserve"> </w:t>
      </w:r>
      <w:r>
        <w:rPr>
          <w:rFonts w:ascii="Helvetica" w:hAnsi="Helvetica"/>
          <w:sz w:val="18"/>
        </w:rPr>
        <w:t xml:space="preserve">with options to extend for </w:t>
      </w:r>
      <w:r>
        <w:rPr>
          <w:rFonts w:ascii="Helvetica" w:hAnsi="Helvetica"/>
          <w:b w:val="false"/>
          <w:i w:val="false"/>
          <w:caps w:val="false"/>
          <w:smallCaps w:val="false"/>
          <w:sz w:val="18"/>
        </w:rPr>
        <w:t>one</w:t>
      </w:r>
      <w:r>
        <w:rPr>
          <w:rFonts w:ascii="Times New Roman;Times;serif" w:hAnsi="Times New Roman;Times;serif"/>
          <w:sz w:val="20"/>
        </w:rPr>
        <w:t xml:space="preserve"> </w:t>
      </w:r>
      <w:r>
        <w:rPr>
          <w:rFonts w:ascii="Helvetica" w:hAnsi="Helvetica"/>
          <w:sz w:val="18"/>
        </w:rPr>
        <w:t>or more five-year</w:t>
      </w:r>
      <w:r>
        <w:rPr>
          <w:rFonts w:ascii="Times New Roman;Times;serif" w:hAnsi="Times New Roman;Times;serif"/>
          <w:sz w:val="20"/>
        </w:rPr>
        <w:t xml:space="preserve"> </w:t>
      </w:r>
      <w:r>
        <w:rPr>
          <w:rFonts w:ascii="Helvetica" w:hAnsi="Helvetica"/>
          <w:sz w:val="18"/>
        </w:rPr>
        <w:t>periods.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 </w:t>
      </w:r>
    </w:p>
    <w:p>
      <w:pPr>
        <w:pStyle w:val="TextBody"/>
        <w:bidi w:val="0"/>
        <w:spacing w:lineRule="auto" w:line="307" w:before="0" w:after="0"/>
        <w:ind w:left="0" w:right="0" w:hanging="0"/>
        <w:jc w:val="left"/>
        <w:rPr>
          <w:rFonts w:ascii="Times New Roman;Times;serif" w:hAnsi="Times New Roman;Times;serif"/>
          <w:sz w:val="20"/>
        </w:rPr>
      </w:pPr>
      <w:r>
        <w:rPr>
          <w:rFonts w:ascii="Helvetica" w:hAnsi="Helvetica"/>
          <w:sz w:val="18"/>
        </w:rPr>
        <w:t>Total lease cost is comprised of operating lease costs, short-term lease costs and variable lease costs, which include rent paid as a percentage of sales, common area maintenance, real estate taxes and insurance for the Company</w:t>
      </w:r>
      <w:r>
        <w:rPr>
          <w:rFonts w:ascii="Times New Roman;Times;serif" w:hAnsi="Times New Roman;Times;serif"/>
          <w:sz w:val="20"/>
        </w:rPr>
        <w:t>’</w:t>
      </w:r>
      <w:r>
        <w:rPr>
          <w:rFonts w:ascii="Helvetica" w:hAnsi="Helvetica"/>
          <w:sz w:val="18"/>
        </w:rPr>
        <w:t>s real estate leases. Lease costs consisted of the following (in thousands):</w:t>
      </w:r>
    </w:p>
    <w:p>
      <w:pPr>
        <w:pStyle w:val="TextBody"/>
        <w:bidi w:val="0"/>
        <w:spacing w:before="0" w:after="0"/>
        <w:ind w:left="0" w:right="0" w:hanging="0"/>
        <w:jc w:val="left"/>
        <w:rPr/>
      </w:pPr>
      <w:r>
        <w:rPr/>
        <w:t>​</w:t>
      </w:r>
    </w:p>
    <w:tbl>
      <w:tblPr>
        <w:tblW w:w="7094" w:type="dxa"/>
        <w:jc w:val="left"/>
        <w:tblInd w:w="0" w:type="dxa"/>
        <w:tblLayout w:type="fixed"/>
        <w:tblCellMar>
          <w:top w:w="0" w:type="dxa"/>
          <w:left w:w="0" w:type="dxa"/>
          <w:bottom w:w="0" w:type="dxa"/>
          <w:right w:w="0" w:type="dxa"/>
        </w:tblCellMar>
      </w:tblPr>
      <w:tblGrid>
        <w:gridCol w:w="1831"/>
        <w:gridCol w:w="109"/>
        <w:gridCol w:w="303"/>
        <w:gridCol w:w="973"/>
        <w:gridCol w:w="109"/>
        <w:gridCol w:w="264"/>
        <w:gridCol w:w="847"/>
        <w:gridCol w:w="109"/>
        <w:gridCol w:w="303"/>
        <w:gridCol w:w="973"/>
        <w:gridCol w:w="117"/>
        <w:gridCol w:w="245"/>
        <w:gridCol w:w="91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62685" cy="175260"/>
                      <wp:effectExtent l="0" t="0" r="0" b="0"/>
                      <wp:wrapNone/>
                      <wp:docPr id="98" name="Frame98"/>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2405" cy="175260"/>
                      <wp:effectExtent l="0" t="0" r="0" b="0"/>
                      <wp:wrapNone/>
                      <wp:docPr id="100" name="Frame10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17855" cy="175260"/>
                      <wp:effectExtent l="0" t="0" r="0" b="0"/>
                      <wp:wrapNone/>
                      <wp:docPr id="101" name="Frame101"/>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7640" cy="175260"/>
                      <wp:effectExtent l="0" t="0" r="0" b="0"/>
                      <wp:wrapNone/>
                      <wp:docPr id="103" name="Frame103"/>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37845" cy="175260"/>
                      <wp:effectExtent l="0" t="0" r="0" b="0"/>
                      <wp:wrapNone/>
                      <wp:docPr id="104" name="Frame104"/>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92405" cy="175260"/>
                      <wp:effectExtent l="0" t="0" r="0" b="0"/>
                      <wp:wrapNone/>
                      <wp:docPr id="106" name="Frame10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17855" cy="175260"/>
                      <wp:effectExtent l="0" t="0" r="0" b="0"/>
                      <wp:wrapNone/>
                      <wp:docPr id="107" name="Frame107"/>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4295" cy="175260"/>
                      <wp:effectExtent l="0" t="0" r="0" b="0"/>
                      <wp:wrapNone/>
                      <wp:docPr id="108" name="Frame108"/>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5575" cy="175260"/>
                      <wp:effectExtent l="0" t="0" r="0" b="0"/>
                      <wp:wrapNone/>
                      <wp:docPr id="109" name="Frame10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78485" cy="175260"/>
                      <wp:effectExtent l="0" t="0" r="0" b="0"/>
                      <wp:wrapNone/>
                      <wp:docPr id="110" name="Frame11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5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Twenty-Six Weeks Ended</w:t>
            </w:r>
          </w:p>
        </w:tc>
      </w:tr>
      <w:tr>
        <w:trPr/>
        <w:tc>
          <w:tcPr>
            <w:tcW w:w="1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 2024</w:t>
            </w:r>
          </w:p>
        </w:tc>
        <w:tc>
          <w:tcPr>
            <w:tcW w:w="109" w:type="dxa"/>
            <w:tcBorders/>
            <w:vAlign w:val="center"/>
          </w:tcPr>
          <w:p>
            <w:pPr>
              <w:pStyle w:val="TableContents"/>
              <w:bidi w:val="0"/>
              <w:spacing w:before="0" w:after="0"/>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 2023</w:t>
            </w:r>
          </w:p>
        </w:tc>
        <w:tc>
          <w:tcPr>
            <w:tcW w:w="109"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 2024</w:t>
            </w:r>
          </w:p>
        </w:tc>
        <w:tc>
          <w:tcPr>
            <w:tcW w:w="117"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 2023</w:t>
            </w:r>
          </w:p>
        </w:tc>
      </w:tr>
      <w:tr>
        <w:trPr/>
        <w:tc>
          <w:tcPr>
            <w:tcW w:w="183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73"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14,400</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47"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15,617</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73"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29,790</w:t>
            </w:r>
          </w:p>
        </w:tc>
        <w:tc>
          <w:tcPr>
            <w:tcW w:w="117"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11"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31,408</w:t>
            </w:r>
          </w:p>
        </w:tc>
      </w:tr>
      <w:tr>
        <w:trPr/>
        <w:tc>
          <w:tcPr>
            <w:tcW w:w="183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Variable lease cost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3,541</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2,919</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6,163</w:t>
            </w:r>
          </w:p>
        </w:tc>
        <w:tc>
          <w:tcPr>
            <w:tcW w:w="117"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5,779</w:t>
            </w:r>
          </w:p>
        </w:tc>
      </w:tr>
      <w:tr>
        <w:trPr/>
        <w:tc>
          <w:tcPr>
            <w:tcW w:w="183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Short term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381</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385</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1,094</w:t>
            </w:r>
          </w:p>
        </w:tc>
        <w:tc>
          <w:tcPr>
            <w:tcW w:w="117"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778</w:t>
            </w:r>
          </w:p>
        </w:tc>
      </w:tr>
      <w:tr>
        <w:trPr/>
        <w:tc>
          <w:tcPr>
            <w:tcW w:w="183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Total lease cost</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18,322</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47"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18,921</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73"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37,047</w:t>
            </w:r>
          </w:p>
        </w:tc>
        <w:tc>
          <w:tcPr>
            <w:tcW w:w="117"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11" w:type="dxa"/>
            <w:tcBorders>
              <w:bottom w:val="double" w:sz="6" w:space="0" w:color="000000"/>
            </w:tcBorders>
            <w:tcMar>
              <w:bottom w:w="28" w:type="dxa"/>
            </w:tcMar>
            <w:vAlign w:val="center"/>
          </w:tcPr>
          <w:p>
            <w:pPr>
              <w:pStyle w:val="TableContents"/>
              <w:bidi w:val="0"/>
              <w:spacing w:before="0" w:after="0"/>
              <w:ind w:left="0" w:right="60" w:hanging="0"/>
              <w:jc w:val="right"/>
              <w:rPr>
                <w:rFonts w:ascii="Helvetica" w:hAnsi="Helvetica"/>
                <w:sz w:val="18"/>
              </w:rPr>
            </w:pPr>
            <w:r>
              <w:rPr>
                <w:rFonts w:ascii="Helvetica" w:hAnsi="Helvetica"/>
                <w:sz w:val="18"/>
              </w:rPr>
              <w:t>37,965</w:t>
            </w:r>
          </w:p>
        </w:tc>
      </w:tr>
    </w:tbl>
    <w:p>
      <w:pPr>
        <w:pStyle w:val="TextBody"/>
        <w:bidi w:val="0"/>
        <w:spacing w:before="0" w:after="53"/>
        <w:ind w:left="0" w:right="0" w:hanging="0"/>
        <w:jc w:val="left"/>
        <w:rPr/>
      </w:pPr>
      <w:r>
        <w:rPr/>
        <w:t>​</w:t>
      </w:r>
    </w:p>
    <w:p>
      <w:pPr>
        <w:pStyle w:val="TextBody"/>
        <w:bidi w:val="0"/>
        <w:spacing w:lineRule="auto" w:line="307" w:before="0" w:after="60"/>
        <w:ind w:left="0" w:right="0" w:hanging="0"/>
        <w:jc w:val="left"/>
        <w:rPr>
          <w:rFonts w:ascii="Helvetica" w:hAnsi="Helvetica"/>
          <w:sz w:val="18"/>
        </w:rPr>
      </w:pPr>
      <w:r>
        <w:rPr>
          <w:rFonts w:ascii="Helvetica" w:hAnsi="Helvetica"/>
          <w:sz w:val="18"/>
        </w:rPr>
        <w:t>Future minimum lease payments as of August 3, 2024 are as follows (in thousands):</w:t>
      </w:r>
    </w:p>
    <w:p>
      <w:pPr>
        <w:pStyle w:val="TextBody"/>
        <w:bidi w:val="0"/>
        <w:spacing w:before="0" w:after="0"/>
        <w:ind w:left="0" w:right="0" w:hanging="0"/>
        <w:jc w:val="left"/>
        <w:rPr/>
      </w:pPr>
      <w:r>
        <w:rPr/>
        <w:t>​</w:t>
      </w:r>
    </w:p>
    <w:tbl>
      <w:tblPr>
        <w:tblW w:w="5034" w:type="dxa"/>
        <w:jc w:val="left"/>
        <w:tblInd w:w="0" w:type="dxa"/>
        <w:tblLayout w:type="fixed"/>
        <w:tblCellMar>
          <w:top w:w="0" w:type="dxa"/>
          <w:left w:w="0" w:type="dxa"/>
          <w:bottom w:w="0" w:type="dxa"/>
          <w:right w:w="0" w:type="dxa"/>
        </w:tblCellMar>
      </w:tblPr>
      <w:tblGrid>
        <w:gridCol w:w="3166"/>
        <w:gridCol w:w="326"/>
        <w:gridCol w:w="226"/>
        <w:gridCol w:w="854"/>
        <w:gridCol w:w="271"/>
        <w:gridCol w:w="19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10410" cy="175260"/>
                      <wp:effectExtent l="0" t="0" r="0" b="0"/>
                      <wp:wrapNone/>
                      <wp:docPr id="111" name="Frame111"/>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3510" cy="175260"/>
                      <wp:effectExtent l="0" t="0" r="0" b="0"/>
                      <wp:wrapNone/>
                      <wp:docPr id="113" name="Frame1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42290" cy="175260"/>
                      <wp:effectExtent l="0" t="0" r="0" b="0"/>
                      <wp:wrapNone/>
                      <wp:docPr id="114" name="Frame114"/>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72085" cy="175260"/>
                      <wp:effectExtent l="0" t="0" r="0" b="0"/>
                      <wp:wrapNone/>
                      <wp:docPr id="115" name="Frame1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1285" cy="175260"/>
                      <wp:effectExtent l="0" t="0" r="0" b="0"/>
                      <wp:wrapNone/>
                      <wp:docPr id="116" name="Frame11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 w:hAnsi="Helvetica"/>
                <w:b/>
                <w:sz w:val="16"/>
              </w:rPr>
            </w:pPr>
            <w:r>
              <w:rPr>
                <w:rFonts w:ascii="Helvetica" w:hAnsi="Helvetica"/>
                <w:b/>
                <w:sz w:val="16"/>
              </w:rPr>
              <w:t>Fiscal Year</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Lease Costs</w:t>
            </w:r>
          </w:p>
        </w:tc>
        <w:tc>
          <w:tcPr>
            <w:tcW w:w="27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Remainder of 2024</w:t>
            </w:r>
          </w:p>
        </w:tc>
        <w:tc>
          <w:tcPr>
            <w:tcW w:w="32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32,492</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2025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57,477</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46,267</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2027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34,974</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26,835</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Thereafter</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106,517</w:t>
            </w:r>
          </w:p>
        </w:tc>
        <w:tc>
          <w:tcPr>
            <w:tcW w:w="2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Total future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304,562</w:t>
            </w:r>
          </w:p>
        </w:tc>
        <w:tc>
          <w:tcPr>
            <w:tcW w:w="2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Less: imputed interest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(72,622)</w:t>
            </w:r>
          </w:p>
        </w:tc>
        <w:tc>
          <w:tcPr>
            <w:tcW w:w="271" w:type="dxa"/>
            <w:tcBorders/>
            <w:vAlign w:val="center"/>
          </w:tcPr>
          <w:p>
            <w:pPr>
              <w:pStyle w:val="TableContents"/>
              <w:bidi w:val="0"/>
              <w:spacing w:before="0" w:after="0"/>
              <w:ind w:left="0" w:right="0" w:hanging="0"/>
              <w:jc w:val="center"/>
              <w:rPr>
                <w:rFonts w:ascii="Helvetica" w:hAnsi="Helvetica"/>
                <w:sz w:val="14"/>
              </w:rPr>
            </w:pPr>
            <w:r>
              <w:rPr>
                <w:rFonts w:ascii="Helvetica" w:hAnsi="Helvetica"/>
                <w:sz w:val="14"/>
              </w:rPr>
              <w:t>(1)</w:t>
            </w:r>
          </w:p>
        </w:tc>
        <w:tc>
          <w:tcPr>
            <w:tcW w:w="191" w:type="dxa"/>
            <w:tcBorders/>
            <w:vAlign w:val="center"/>
          </w:tcPr>
          <w:p>
            <w:pPr>
              <w:pStyle w:val="TableContents"/>
              <w:bidi w:val="0"/>
              <w:spacing w:before="0" w:after="0"/>
              <w:ind w:left="0" w:right="0" w:hanging="0"/>
              <w:jc w:val="center"/>
              <w:rPr/>
            </w:pPr>
            <w:r>
              <w:rPr/>
              <w:t>​</w:t>
            </w:r>
          </w:p>
        </w:tc>
      </w:tr>
      <w:tr>
        <w:trPr/>
        <w:tc>
          <w:tcPr>
            <w:tcW w:w="3166" w:type="dxa"/>
            <w:tcBorders/>
            <w:shd w:fill="CCEEFF" w:val="clear"/>
            <w:vAlign w:val="center"/>
          </w:tcPr>
          <w:p>
            <w:pPr>
              <w:pStyle w:val="TableContents"/>
              <w:bidi w:val="0"/>
              <w:spacing w:before="0" w:after="0"/>
              <w:ind w:left="0" w:right="0" w:hanging="0"/>
              <w:jc w:val="left"/>
              <w:rPr>
                <w:rFonts w:ascii="Helvetica" w:hAnsi="Helvetica"/>
                <w:b w:val="false"/>
                <w:i w:val="false"/>
                <w:caps w:val="false"/>
                <w:smallCaps w:val="false"/>
                <w:sz w:val="18"/>
              </w:rPr>
            </w:pPr>
            <w:r>
              <w:rPr>
                <w:rFonts w:ascii="Helvetica" w:hAnsi="Helvetica"/>
                <w:b w:val="false"/>
                <w:i w:val="false"/>
                <w:caps w:val="false"/>
                <w:smallCaps w:val="false"/>
                <w:sz w:val="18"/>
              </w:rPr>
              <w:t>Total present value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Helvetica" w:hAnsi="Helvetica"/>
                <w:sz w:val="18"/>
              </w:rPr>
            </w:pPr>
            <w:r>
              <w:rPr>
                <w:rFonts w:ascii="Helvetica" w:hAnsi="Helvetica"/>
                <w:sz w:val="18"/>
              </w:rPr>
              <w:t>231,940</w:t>
            </w:r>
          </w:p>
        </w:tc>
        <w:tc>
          <w:tcPr>
            <w:tcW w:w="271" w:type="dxa"/>
            <w:tcBorders/>
            <w:shd w:fill="CCEEFF" w:val="clear"/>
            <w:vAlign w:val="center"/>
          </w:tcPr>
          <w:p>
            <w:pPr>
              <w:pStyle w:val="TableContents"/>
              <w:bidi w:val="0"/>
              <w:spacing w:before="0" w:after="0"/>
              <w:ind w:left="0" w:right="0" w:hanging="0"/>
              <w:jc w:val="center"/>
              <w:rPr>
                <w:rFonts w:ascii="Helvetica" w:hAnsi="Helvetica"/>
                <w:sz w:val="14"/>
              </w:rPr>
            </w:pPr>
            <w:r>
              <w:rPr>
                <w:rFonts w:ascii="Helvetica" w:hAnsi="Helvetica"/>
                <w:sz w:val="14"/>
              </w:rPr>
              <w:t>(2)</w:t>
            </w:r>
          </w:p>
        </w:tc>
        <w:tc>
          <w:tcPr>
            <w:tcW w:w="19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1512" w:right="0" w:hanging="0"/>
        <w:jc w:val="both"/>
        <w:rPr/>
      </w:pPr>
      <w:r>
        <w:rPr/>
        <w:t>​</w:t>
      </w:r>
    </w:p>
    <w:tbl>
      <w:tblPr>
        <w:tblW w:w="4176" w:type="dxa"/>
        <w:jc w:val="left"/>
        <w:tblInd w:w="0" w:type="dxa"/>
        <w:tblLayout w:type="fixed"/>
        <w:tblCellMar>
          <w:top w:w="28" w:type="dxa"/>
          <w:left w:w="28" w:type="dxa"/>
          <w:bottom w:w="28" w:type="dxa"/>
          <w:right w:w="28" w:type="dxa"/>
        </w:tblCellMar>
      </w:tblPr>
      <w:tblGrid>
        <w:gridCol w:w="124"/>
        <w:gridCol w:w="31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Helvetica" w:hAnsi="Helvetica"/>
                <w:sz w:val="16"/>
              </w:rPr>
            </w:pPr>
            <w:r>
              <w:rPr>
                <w:rFonts w:ascii="Helvetica" w:hAnsi="Helvetica"/>
                <w:sz w:val="16"/>
              </w:rPr>
              <w:t>(1)</w:t>
            </w:r>
          </w:p>
        </w:tc>
        <w:tc>
          <w:tcPr>
            <w:tcW w:w="3736" w:type="dxa"/>
            <w:tcBorders/>
            <w:tcMar>
              <w:top w:w="0" w:type="dxa"/>
              <w:left w:w="0" w:type="dxa"/>
              <w:bottom w:w="0" w:type="dxa"/>
              <w:right w:w="0" w:type="dxa"/>
            </w:tcMar>
            <w:vAlign w:val="center"/>
          </w:tcPr>
          <w:p>
            <w:pPr>
              <w:pStyle w:val="TableContents"/>
              <w:bidi w:val="0"/>
              <w:spacing w:before="0" w:after="283"/>
              <w:jc w:val="left"/>
              <w:rPr>
                <w:rFonts w:ascii="Helvetica" w:hAnsi="Helvetica"/>
                <w:b w:val="false"/>
                <w:i w:val="false"/>
                <w:caps w:val="false"/>
                <w:smallCaps w:val="false"/>
                <w:sz w:val="16"/>
              </w:rPr>
            </w:pPr>
            <w:r>
              <w:rPr>
                <w:rFonts w:ascii="Helvetica" w:hAnsi="Helvetica"/>
                <w:b w:val="false"/>
                <w:i w:val="false"/>
                <w:caps w:val="false"/>
                <w:smallCaps w:val="false"/>
                <w:sz w:val="16"/>
              </w:rPr>
              <w:t>Calculated using the discount rate for each lease.</w:t>
            </w:r>
          </w:p>
        </w:tc>
      </w:tr>
    </w:tbl>
    <w:tbl>
      <w:tblPr>
        <w:tblW w:w="5706" w:type="dxa"/>
        <w:jc w:val="left"/>
        <w:tblInd w:w="0" w:type="dxa"/>
        <w:tblLayout w:type="fixed"/>
        <w:tblCellMar>
          <w:top w:w="28" w:type="dxa"/>
          <w:left w:w="28" w:type="dxa"/>
          <w:bottom w:w="28" w:type="dxa"/>
          <w:right w:w="28" w:type="dxa"/>
        </w:tblCellMar>
      </w:tblPr>
      <w:tblGrid>
        <w:gridCol w:w="124"/>
        <w:gridCol w:w="31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Helvetica" w:hAnsi="Helvetica"/>
                <w:sz w:val="16"/>
              </w:rPr>
            </w:pPr>
            <w:r>
              <w:rPr>
                <w:rFonts w:ascii="Helvetica" w:hAnsi="Helvetica"/>
                <w:sz w:val="16"/>
              </w:rPr>
              <w:t>(2)</w:t>
            </w:r>
          </w:p>
        </w:tc>
        <w:tc>
          <w:tcPr>
            <w:tcW w:w="5266" w:type="dxa"/>
            <w:tcBorders/>
            <w:tcMar>
              <w:top w:w="0" w:type="dxa"/>
              <w:left w:w="0" w:type="dxa"/>
              <w:bottom w:w="0" w:type="dxa"/>
              <w:right w:w="0" w:type="dxa"/>
            </w:tcMar>
            <w:vAlign w:val="center"/>
          </w:tcPr>
          <w:p>
            <w:pPr>
              <w:pStyle w:val="TableContents"/>
              <w:bidi w:val="0"/>
              <w:spacing w:before="0" w:after="283"/>
              <w:jc w:val="left"/>
              <w:rPr>
                <w:rFonts w:ascii="Helvetica" w:hAnsi="Helvetica"/>
                <w:b w:val="false"/>
                <w:i w:val="false"/>
                <w:caps w:val="false"/>
                <w:smallCaps w:val="false"/>
                <w:sz w:val="16"/>
              </w:rPr>
            </w:pPr>
            <w:r>
              <w:rPr>
                <w:rFonts w:ascii="Helvetica" w:hAnsi="Helvetica"/>
                <w:b w:val="false"/>
                <w:i w:val="false"/>
                <w:caps w:val="false"/>
                <w:smallCaps w:val="false"/>
                <w:sz w:val="16"/>
              </w:rPr>
              <w:t>Includes short-term and long-term portions of operating lease liabilities.</w:t>
            </w:r>
          </w:p>
        </w:tc>
      </w:tr>
    </w:tbl>
    <w:p>
      <w:pPr>
        <w:pStyle w:val="TextBody"/>
        <w:bidi w:val="0"/>
        <w:spacing w:before="0" w:after="0"/>
        <w:ind w:left="1512" w:right="0" w:hanging="0"/>
        <w:jc w:val="both"/>
        <w:rPr/>
      </w:pPr>
      <w:r>
        <w:rPr/>
        <w:t>​</w:t>
      </w:r>
    </w:p>
    <w:p>
      <w:pPr>
        <w:pStyle w:val="TextBody"/>
        <w:bidi w:val="0"/>
        <w:spacing w:before="0" w:after="0"/>
        <w:ind w:left="1512" w:right="0" w:hanging="0"/>
        <w:jc w:val="both"/>
        <w:rPr/>
      </w:pPr>
      <w:r>
        <w:rPr/>
        <w:t>​</w:t>
      </w:r>
    </w:p>
    <w:p>
      <w:pPr>
        <w:pStyle w:val="TextBody"/>
        <w:bidi w:val="0"/>
        <w:spacing w:before="480" w:after="0"/>
        <w:ind w:left="0" w:right="0" w:hanging="0"/>
        <w:jc w:val="center"/>
        <w:rPr>
          <w:rFonts w:ascii="Helvetica" w:hAnsi="Helvetica"/>
          <w:sz w:val="18"/>
        </w:rPr>
      </w:pPr>
      <w:r>
        <w:rPr>
          <w:rFonts w:ascii="Helvetica" w:hAnsi="Helvetica"/>
          <w:sz w:val="18"/>
        </w:rPr>
        <w:t>10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0"/>
        <w:ind w:left="0" w:right="0" w:hanging="0"/>
        <w:jc w:val="left"/>
        <w:rPr>
          <w:rFonts w:ascii="Helvetica" w:hAnsi="Helvetica"/>
          <w:sz w:val="18"/>
        </w:rPr>
      </w:pPr>
      <w:bookmarkStart w:id="866" w:name="Tc_R66ewbI39k2I9Bqrwgsyhg_7_0"/>
      <w:bookmarkStart w:id="867" w:name="Tc_A6ZSzE5QJEubyUtwQTHYEA_6_0"/>
      <w:bookmarkStart w:id="868" w:name="Tc_4E_XdcbZEU63-lWTjZuROA_4_5"/>
      <w:bookmarkStart w:id="869" w:name="Tc_WwNdrY-8VE-9yBeGrpsNxw_4_2"/>
      <w:bookmarkStart w:id="870" w:name="Tc_ZETVDUPCPEKR3-Njisbt0A_4_0"/>
      <w:bookmarkStart w:id="871" w:name="Tc_4RK0A3v8okSIei_KdrrUow_3_5"/>
      <w:bookmarkStart w:id="872" w:name="Tc_uhNgOeURGUi-ACEZ3CXDRA_3_2"/>
      <w:bookmarkStart w:id="873" w:name="Tc_9B-LOg0pU0CBSzj-u7gS2g_3_0"/>
      <w:bookmarkStart w:id="874" w:name="Tc_MLdPJt6n6Ua8dq_EPalRlg_2_5"/>
      <w:bookmarkStart w:id="875" w:name="Tc_LGsY3r2fTkubX01dIfVB_Q_2_2"/>
      <w:bookmarkStart w:id="876" w:name="Tc_dbwl63bC-0iHgDMMZESDpQ_1_2"/>
      <w:bookmarkEnd w:id="866"/>
      <w:bookmarkEnd w:id="867"/>
      <w:bookmarkEnd w:id="868"/>
      <w:bookmarkEnd w:id="869"/>
      <w:bookmarkEnd w:id="870"/>
      <w:bookmarkEnd w:id="871"/>
      <w:bookmarkEnd w:id="872"/>
      <w:bookmarkEnd w:id="873"/>
      <w:bookmarkEnd w:id="874"/>
      <w:bookmarkEnd w:id="875"/>
      <w:bookmarkEnd w:id="876"/>
      <w:r>
        <w:rPr>
          <w:rFonts w:ascii="Helvetica" w:hAnsi="Helvetica"/>
          <w:sz w:val="18"/>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pStyle w:val="TextBody"/>
        <w:bidi w:val="0"/>
        <w:spacing w:lineRule="auto" w:line="307" w:before="0" w:after="0"/>
        <w:ind w:left="0" w:right="0" w:hanging="0"/>
        <w:jc w:val="left"/>
        <w:rPr/>
      </w:pPr>
      <w:r>
        <w:rPr/>
        <w:t>​</w:t>
      </w:r>
    </w:p>
    <w:p>
      <w:pPr>
        <w:pStyle w:val="TextBody"/>
        <w:bidi w:val="0"/>
        <w:spacing w:lineRule="auto" w:line="307" w:before="0" w:after="0"/>
        <w:ind w:left="0" w:right="0" w:hanging="0"/>
        <w:jc w:val="left"/>
        <w:rPr>
          <w:rFonts w:ascii="Helvetica" w:hAnsi="Helvetica"/>
          <w:sz w:val="18"/>
        </w:rPr>
      </w:pPr>
      <w:r>
        <w:rPr>
          <w:rFonts w:ascii="Helvetica" w:hAnsi="Helvetica"/>
          <w:sz w:val="18"/>
        </w:rPr>
        <w:t>Supplemental cash flows and other information related to operating leases are as follows (in thousands, except for weighted average amounts):</w:t>
      </w:r>
    </w:p>
    <w:p>
      <w:pPr>
        <w:pStyle w:val="TextBody"/>
        <w:bidi w:val="0"/>
        <w:spacing w:before="0" w:after="0"/>
        <w:ind w:left="0" w:right="0" w:hanging="0"/>
        <w:jc w:val="left"/>
        <w:rPr/>
      </w:pPr>
      <w:r>
        <w:rPr/>
        <w:t>​</w:t>
      </w:r>
    </w:p>
    <w:tbl>
      <w:tblPr>
        <w:tblW w:w="9089" w:type="dxa"/>
        <w:jc w:val="left"/>
        <w:tblInd w:w="0" w:type="dxa"/>
        <w:tblLayout w:type="fixed"/>
        <w:tblCellMar>
          <w:top w:w="0" w:type="dxa"/>
          <w:left w:w="0" w:type="dxa"/>
          <w:bottom w:w="0" w:type="dxa"/>
          <w:right w:w="0" w:type="dxa"/>
        </w:tblCellMar>
      </w:tblPr>
      <w:tblGrid>
        <w:gridCol w:w="6211"/>
        <w:gridCol w:w="326"/>
        <w:gridCol w:w="303"/>
        <w:gridCol w:w="973"/>
        <w:gridCol w:w="120"/>
        <w:gridCol w:w="261"/>
        <w:gridCol w:w="895"/>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943985" cy="175260"/>
                      <wp:effectExtent l="0" t="0" r="0" b="0"/>
                      <wp:wrapNone/>
                      <wp:docPr id="117" name="Frame117"/>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2405" cy="175260"/>
                      <wp:effectExtent l="0" t="0" r="0" b="0"/>
                      <wp:wrapNone/>
                      <wp:docPr id="119" name="Frame11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17855" cy="175260"/>
                      <wp:effectExtent l="0" t="0" r="0" b="0"/>
                      <wp:wrapNone/>
                      <wp:docPr id="120" name="Frame120"/>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6200" cy="175260"/>
                      <wp:effectExtent l="0" t="0" r="0" b="0"/>
                      <wp:wrapNone/>
                      <wp:docPr id="121" name="Frame121"/>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65735" cy="175260"/>
                      <wp:effectExtent l="0" t="0" r="0" b="0"/>
                      <wp:wrapNone/>
                      <wp:docPr id="122" name="Frame12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68325" cy="175260"/>
                      <wp:effectExtent l="0" t="0" r="0" b="0"/>
                      <wp:wrapNone/>
                      <wp:docPr id="123" name="Frame123"/>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Twenty-Six Weeks Ended</w:t>
            </w:r>
          </w:p>
        </w:tc>
      </w:tr>
      <w:tr>
        <w:trPr/>
        <w:tc>
          <w:tcPr>
            <w:tcW w:w="6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August 3, 2024</w:t>
            </w:r>
          </w:p>
        </w:tc>
        <w:tc>
          <w:tcPr>
            <w:tcW w:w="120"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 w:hAnsi="Helvetica"/>
                <w:b/>
                <w:sz w:val="16"/>
              </w:rPr>
            </w:pPr>
            <w:r>
              <w:rPr>
                <w:rFonts w:ascii="Helvetica" w:hAnsi="Helvetica"/>
                <w:b/>
                <w:sz w:val="16"/>
              </w:rPr>
              <w:t>July 29, 2023</w:t>
            </w:r>
          </w:p>
        </w:tc>
      </w:tr>
      <w:tr>
        <w:trPr/>
        <w:tc>
          <w:tcPr>
            <w:tcW w:w="6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Cash paid for operating leases</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73"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30,784</w:t>
            </w:r>
          </w:p>
        </w:tc>
        <w:tc>
          <w:tcPr>
            <w:tcW w:w="120"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95"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36,865</w:t>
            </w:r>
          </w:p>
        </w:tc>
      </w:tr>
      <w:tr>
        <w:trPr/>
        <w:tc>
          <w:tcPr>
            <w:tcW w:w="6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Right of use assets obtained in exchange for new operating lease liabilities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973"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19,307</w:t>
            </w:r>
          </w:p>
        </w:tc>
        <w:tc>
          <w:tcPr>
            <w:tcW w:w="120"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t>
            </w:r>
          </w:p>
        </w:tc>
        <w:tc>
          <w:tcPr>
            <w:tcW w:w="8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10,242</w:t>
            </w:r>
          </w:p>
        </w:tc>
      </w:tr>
      <w:tr>
        <w:trPr/>
        <w:tc>
          <w:tcPr>
            <w:tcW w:w="6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left"/>
              <w:rPr/>
            </w:pPr>
            <w:r>
              <w:rPr/>
              <w:t>​</w:t>
            </w:r>
          </w:p>
        </w:tc>
        <w:tc>
          <w:tcPr>
            <w:tcW w:w="120"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0"/>
              <w:ind w:left="0" w:right="0" w:hanging="0"/>
              <w:jc w:val="left"/>
              <w:rPr/>
            </w:pPr>
            <w:r>
              <w:rPr/>
              <w:t>​</w:t>
            </w:r>
          </w:p>
        </w:tc>
      </w:tr>
      <w:tr>
        <w:trPr/>
        <w:tc>
          <w:tcPr>
            <w:tcW w:w="6211" w:type="dxa"/>
            <w:tcBorders/>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remaining lease term (years) - operating leases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7.38</w:t>
            </w:r>
          </w:p>
        </w:tc>
        <w:tc>
          <w:tcPr>
            <w:tcW w:w="120"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895" w:type="dxa"/>
            <w:tcBorders/>
            <w:vAlign w:val="center"/>
          </w:tcPr>
          <w:p>
            <w:pPr>
              <w:pStyle w:val="TableContents"/>
              <w:bidi w:val="0"/>
              <w:spacing w:before="0" w:after="0"/>
              <w:ind w:left="0" w:right="0" w:hanging="0"/>
              <w:jc w:val="right"/>
              <w:rPr>
                <w:rFonts w:ascii="Helvetica" w:hAnsi="Helvetica"/>
                <w:sz w:val="18"/>
              </w:rPr>
            </w:pPr>
            <w:r>
              <w:rPr>
                <w:rFonts w:ascii="Helvetica" w:hAnsi="Helvetica"/>
                <w:sz w:val="18"/>
              </w:rPr>
              <w:t>7.73</w:t>
            </w:r>
          </w:p>
        </w:tc>
      </w:tr>
      <w:tr>
        <w:trPr/>
        <w:tc>
          <w:tcPr>
            <w:tcW w:w="6211" w:type="dxa"/>
            <w:tcBorders/>
            <w:shd w:fill="CCEEFF" w:val="clear"/>
            <w:vAlign w:val="center"/>
          </w:tcPr>
          <w:p>
            <w:pPr>
              <w:pStyle w:val="TableContents"/>
              <w:bidi w:val="0"/>
              <w:spacing w:before="0" w:after="0"/>
              <w:ind w:left="0" w:right="0" w:hanging="0"/>
              <w:jc w:val="left"/>
              <w:rPr>
                <w:rFonts w:ascii="Helvetica" w:hAnsi="Helvetica"/>
                <w:sz w:val="18"/>
              </w:rPr>
            </w:pPr>
            <w:r>
              <w:rPr>
                <w:rFonts w:ascii="Helvetica" w:hAnsi="Helvetica"/>
                <w:sz w:val="18"/>
              </w:rPr>
              <w:t>Weighted average discount rate -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rFonts w:ascii="Helvetica" w:hAnsi="Helvetica"/>
                <w:sz w:val="18"/>
              </w:rPr>
            </w:pPr>
            <w:r>
              <w:rPr>
                <w:rFonts w:ascii="Helvetica" w:hAnsi="Helvetica"/>
                <w:sz w:val="18"/>
              </w:rPr>
              <w:t>5.35%</w:t>
            </w:r>
          </w:p>
        </w:tc>
        <w:tc>
          <w:tcPr>
            <w:tcW w:w="120"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895" w:type="dxa"/>
            <w:tcBorders/>
            <w:shd w:fill="CCEEFF" w:val="clear"/>
            <w:vAlign w:val="center"/>
          </w:tcPr>
          <w:p>
            <w:pPr>
              <w:pStyle w:val="TableContents"/>
              <w:bidi w:val="0"/>
              <w:spacing w:before="0" w:after="0"/>
              <w:ind w:left="0" w:right="60" w:hanging="0"/>
              <w:jc w:val="right"/>
              <w:rPr>
                <w:rFonts w:ascii="Helvetica" w:hAnsi="Helvetica"/>
                <w:sz w:val="18"/>
              </w:rPr>
            </w:pPr>
            <w:r>
              <w:rPr>
                <w:rFonts w:ascii="Helvetica" w:hAnsi="Helvetica"/>
                <w:sz w:val="18"/>
              </w:rPr>
              <w:t>4.72%</w:t>
            </w:r>
          </w:p>
        </w:tc>
      </w:tr>
    </w:tbl>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240"/>
        <w:ind w:left="0" w:right="0" w:hanging="0"/>
        <w:jc w:val="left"/>
        <w:rPr>
          <w:rFonts w:ascii="Helvetica" w:hAnsi="Helvetica"/>
          <w:sz w:val="18"/>
        </w:rPr>
      </w:pPr>
      <w:r>
        <w:rPr>
          <w:rFonts w:ascii="Helvetica" w:hAnsi="Helvetica"/>
          <w:sz w:val="18"/>
        </w:rPr>
        <w:t>11. Recent Accounting Pronouncements</w:t>
      </w:r>
    </w:p>
    <w:p>
      <w:pPr>
        <w:pStyle w:val="TextBody"/>
        <w:bidi w:val="0"/>
        <w:spacing w:before="0" w:after="240"/>
        <w:ind w:left="0" w:right="0" w:hanging="0"/>
        <w:jc w:val="left"/>
        <w:rPr>
          <w:rFonts w:ascii="Times New Roman;Times;serif" w:hAnsi="Times New Roman;Times;serif"/>
          <w:sz w:val="18"/>
        </w:rPr>
      </w:pPr>
      <w:r>
        <w:rPr>
          <w:rFonts w:ascii="Helvetica" w:hAnsi="Helvetica"/>
          <w:sz w:val="18"/>
        </w:rPr>
        <w:t xml:space="preserve">In November 2023, the FASB issued ASU 2023-07, </w:t>
      </w:r>
      <w:r>
        <w:rPr>
          <w:rFonts w:ascii="Times New Roman;Times;serif" w:hAnsi="Times New Roman;Times;serif"/>
          <w:sz w:val="18"/>
        </w:rPr>
        <w:t>“</w:t>
      </w:r>
      <w:r>
        <w:rPr>
          <w:rFonts w:ascii="Helvetica" w:hAnsi="Helvetica"/>
          <w:sz w:val="18"/>
        </w:rPr>
        <w:t>Segment Reporting (Topic 280): Improvements to Reportable Segment Disclosures</w:t>
      </w:r>
      <w:r>
        <w:rPr>
          <w:rFonts w:ascii="Times New Roman;Times;serif" w:hAnsi="Times New Roman;Times;serif"/>
          <w:sz w:val="18"/>
        </w:rPr>
        <w:t xml:space="preserve">” </w:t>
      </w:r>
      <w:r>
        <w:rPr>
          <w:rFonts w:ascii="Helvetica" w:hAnsi="Helvetica"/>
          <w:sz w:val="18"/>
        </w:rPr>
        <w:t>(</w:t>
      </w:r>
      <w:r>
        <w:rPr>
          <w:rFonts w:ascii="Times New Roman;Times;serif" w:hAnsi="Times New Roman;Times;serif"/>
          <w:sz w:val="18"/>
        </w:rPr>
        <w:t>“</w:t>
      </w:r>
      <w:r>
        <w:rPr>
          <w:rFonts w:ascii="Helvetica" w:hAnsi="Helvetica"/>
          <w:sz w:val="18"/>
        </w:rPr>
        <w:t>ASU 2023-07</w:t>
      </w:r>
      <w:r>
        <w:rPr>
          <w:rFonts w:ascii="Times New Roman;Times;serif" w:hAnsi="Times New Roman;Times;serif"/>
          <w:sz w:val="18"/>
        </w:rPr>
        <w:t>”</w:t>
      </w:r>
      <w:r>
        <w:rPr>
          <w:rFonts w:ascii="Helvetica" w:hAnsi="Helvetica"/>
          <w:sz w:val="18"/>
        </w:rPr>
        <w:t>), which expands reportable segment disclosure requirements primarily through enhanced disclosures about significant segment expenses. ASU 2023-07 requires disclosure of (i) significant segment expenses that are regularly provided to the CODM and included within the segment measure of profit or loss, (ii) an amount and description of its composition for other segment items to reconcile to segment profit or loss, and (iii) the title and position of the Company</w:t>
      </w:r>
      <w:r>
        <w:rPr>
          <w:rFonts w:ascii="Times New Roman;Times;serif" w:hAnsi="Times New Roman;Times;serif"/>
          <w:sz w:val="18"/>
        </w:rPr>
        <w:t>’</w:t>
      </w:r>
      <w:r>
        <w:rPr>
          <w:rFonts w:ascii="Helvetica" w:hAnsi="Helvetica"/>
          <w:sz w:val="18"/>
        </w:rPr>
        <w:t>s CODM. The ASU does not change how a public entity identifies its operating segments, aggregates them, or applies the quantitative thresholds to determine its reportable segments. The new standard will be effective on a retrospective basis for fiscal years beginning after December 15, 2023, and interim periods within fiscal years beginning after December 15, 2024, with early adoption permitted. The Company is currently evaluating the ASU to determine the impact of the amended guidance.</w:t>
      </w:r>
    </w:p>
    <w:p>
      <w:pPr>
        <w:pStyle w:val="TextBody"/>
        <w:bidi w:val="0"/>
        <w:spacing w:before="0" w:after="240"/>
        <w:ind w:left="0" w:right="0" w:hanging="0"/>
        <w:jc w:val="left"/>
        <w:rPr>
          <w:rFonts w:ascii="Times New Roman;Times;serif" w:hAnsi="Times New Roman;Times;serif"/>
          <w:sz w:val="18"/>
        </w:rPr>
      </w:pPr>
      <w:r>
        <w:rPr>
          <w:rFonts w:ascii="Helvetica" w:hAnsi="Helvetica"/>
          <w:sz w:val="18"/>
        </w:rPr>
        <w:t xml:space="preserve">In December 2023, the FASB issued ASU 2023-09, </w:t>
      </w:r>
      <w:r>
        <w:rPr>
          <w:rFonts w:ascii="Times New Roman;Times;serif" w:hAnsi="Times New Roman;Times;serif"/>
          <w:sz w:val="18"/>
        </w:rPr>
        <w:t>“</w:t>
      </w:r>
      <w:r>
        <w:rPr>
          <w:rFonts w:ascii="Helvetica" w:hAnsi="Helvetica"/>
          <w:sz w:val="18"/>
        </w:rPr>
        <w:t>Income Taxes (Topic 740): Improvements to Income Tax Disclosures</w:t>
      </w:r>
      <w:r>
        <w:rPr>
          <w:rFonts w:ascii="Times New Roman;Times;serif" w:hAnsi="Times New Roman;Times;serif"/>
          <w:sz w:val="18"/>
        </w:rPr>
        <w:t xml:space="preserve">” </w:t>
      </w:r>
      <w:r>
        <w:rPr>
          <w:rFonts w:ascii="Helvetica" w:hAnsi="Helvetica"/>
          <w:sz w:val="18"/>
        </w:rPr>
        <w:t>(</w:t>
      </w:r>
      <w:r>
        <w:rPr>
          <w:rFonts w:ascii="Times New Roman;Times;serif" w:hAnsi="Times New Roman;Times;serif"/>
          <w:sz w:val="18"/>
        </w:rPr>
        <w:t>“</w:t>
      </w:r>
      <w:r>
        <w:rPr>
          <w:rFonts w:ascii="Helvetica" w:hAnsi="Helvetica"/>
          <w:sz w:val="18"/>
        </w:rPr>
        <w:t>ASU 2023-09</w:t>
      </w:r>
      <w:r>
        <w:rPr>
          <w:rFonts w:ascii="Times New Roman;Times;serif" w:hAnsi="Times New Roman;Times;serif"/>
          <w:sz w:val="18"/>
        </w:rPr>
        <w:t>”</w:t>
      </w:r>
      <w:r>
        <w:rPr>
          <w:rFonts w:ascii="Helvetica" w:hAnsi="Helvetica"/>
          <w:sz w:val="18"/>
        </w:rPr>
        <w:t>). The amendments in ASU 2023-09 require public entities, on an annual basis, to provide disclosure of specific categories in the rate reconciliation, as well as disclosure of income taxes paid disaggregated by jurisdiction. The new standard will be effective on a prospective basis for fiscal years beginning after December 15, 2024 and interim periods therein, with early adoption permitted. The Company is currently evaluating the ASU to determine the impact of the amended guidance.</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Times New Roman;Times;serif" w:hAnsi="Times New Roman;Times;serif"/>
          <w:sz w:val="18"/>
        </w:rPr>
      </w:pPr>
      <w:bookmarkStart w:id="877" w:name="Item2ManagementsDiscussionandAnalysis_36"/>
      <w:bookmarkStart w:id="878" w:name="_ffe49b91_c757_43c9_bbf1_4f3ba01dfaed"/>
      <w:bookmarkEnd w:id="877"/>
      <w:bookmarkEnd w:id="878"/>
      <w:r>
        <w:rPr>
          <w:rFonts w:ascii="Helvetica" w:hAnsi="Helvetica"/>
          <w:b/>
          <w:sz w:val="18"/>
        </w:rPr>
        <w:t>Item 2. Management</w:t>
      </w:r>
      <w:r>
        <w:rPr>
          <w:rFonts w:ascii="Times New Roman;Times;serif" w:hAnsi="Times New Roman;Times;serif"/>
          <w:sz w:val="18"/>
        </w:rPr>
        <w:t>’</w:t>
      </w:r>
      <w:r>
        <w:rPr>
          <w:rFonts w:ascii="Helvetica" w:hAnsi="Helvetica"/>
          <w:b/>
          <w:sz w:val="18"/>
        </w:rPr>
        <w:t>s Discussion and Analysis of Financial Condition and Results of Operations.</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Forward-Looking Statements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 xml:space="preserve">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w:t>
      </w:r>
      <w:r>
        <w:rPr>
          <w:rFonts w:ascii="Times New Roman;Times;serif" w:hAnsi="Times New Roman;Times;serif"/>
          <w:sz w:val="18"/>
        </w:rPr>
        <w:t>“</w:t>
      </w:r>
      <w:r>
        <w:rPr>
          <w:rFonts w:ascii="Helvetica" w:hAnsi="Helvetica"/>
          <w:sz w:val="18"/>
        </w:rPr>
        <w:t>believe,</w:t>
      </w:r>
      <w:r>
        <w:rPr>
          <w:rFonts w:ascii="Times New Roman;Times;serif" w:hAnsi="Times New Roman;Times;serif"/>
          <w:sz w:val="18"/>
        </w:rPr>
        <w:t>” “</w:t>
      </w:r>
      <w:r>
        <w:rPr>
          <w:rFonts w:ascii="Helvetica" w:hAnsi="Helvetica"/>
          <w:sz w:val="18"/>
        </w:rPr>
        <w:t>anticipate,</w:t>
      </w:r>
      <w:r>
        <w:rPr>
          <w:rFonts w:ascii="Times New Roman;Times;serif" w:hAnsi="Times New Roman;Times;serif"/>
          <w:sz w:val="18"/>
        </w:rPr>
        <w:t>” “</w:t>
      </w:r>
      <w:r>
        <w:rPr>
          <w:rFonts w:ascii="Helvetica" w:hAnsi="Helvetica"/>
          <w:sz w:val="18"/>
        </w:rPr>
        <w:t>project,</w:t>
      </w:r>
      <w:r>
        <w:rPr>
          <w:rFonts w:ascii="Times New Roman;Times;serif" w:hAnsi="Times New Roman;Times;serif"/>
          <w:sz w:val="18"/>
        </w:rPr>
        <w:t>” “</w:t>
      </w:r>
      <w:r>
        <w:rPr>
          <w:rFonts w:ascii="Helvetica" w:hAnsi="Helvetica"/>
          <w:sz w:val="18"/>
        </w:rPr>
        <w:t>plan,</w:t>
      </w:r>
      <w:r>
        <w:rPr>
          <w:rFonts w:ascii="Times New Roman;Times;serif" w:hAnsi="Times New Roman;Times;serif"/>
          <w:sz w:val="18"/>
        </w:rPr>
        <w:t>” “</w:t>
      </w:r>
      <w:r>
        <w:rPr>
          <w:rFonts w:ascii="Helvetica" w:hAnsi="Helvetica"/>
          <w:sz w:val="18"/>
        </w:rPr>
        <w:t>expect,</w:t>
      </w:r>
      <w:r>
        <w:rPr>
          <w:rFonts w:ascii="Times New Roman;Times;serif" w:hAnsi="Times New Roman;Times;serif"/>
          <w:sz w:val="18"/>
        </w:rPr>
        <w:t>” “</w:t>
      </w:r>
      <w:r>
        <w:rPr>
          <w:rFonts w:ascii="Helvetica" w:hAnsi="Helvetica"/>
          <w:sz w:val="18"/>
        </w:rPr>
        <w:t>estimate,</w:t>
      </w:r>
      <w:r>
        <w:rPr>
          <w:rFonts w:ascii="Times New Roman;Times;serif" w:hAnsi="Times New Roman;Times;serif"/>
          <w:sz w:val="18"/>
        </w:rPr>
        <w:t>” “</w:t>
      </w:r>
      <w:r>
        <w:rPr>
          <w:rFonts w:ascii="Helvetica" w:hAnsi="Helvetica"/>
          <w:sz w:val="18"/>
        </w:rPr>
        <w:t>objective,</w:t>
      </w:r>
      <w:r>
        <w:rPr>
          <w:rFonts w:ascii="Times New Roman;Times;serif" w:hAnsi="Times New Roman;Times;serif"/>
          <w:sz w:val="18"/>
        </w:rPr>
        <w:t>” “</w:t>
      </w:r>
      <w:r>
        <w:rPr>
          <w:rFonts w:ascii="Helvetica" w:hAnsi="Helvetica"/>
          <w:sz w:val="18"/>
        </w:rPr>
        <w:t>forecast,</w:t>
      </w:r>
      <w:r>
        <w:rPr>
          <w:rFonts w:ascii="Times New Roman;Times;serif" w:hAnsi="Times New Roman;Times;serif"/>
          <w:sz w:val="18"/>
        </w:rPr>
        <w:t>” “</w:t>
      </w:r>
      <w:r>
        <w:rPr>
          <w:rFonts w:ascii="Helvetica" w:hAnsi="Helvetica"/>
          <w:sz w:val="18"/>
        </w:rPr>
        <w:t>goal,</w:t>
      </w:r>
      <w:r>
        <w:rPr>
          <w:rFonts w:ascii="Times New Roman;Times;serif" w:hAnsi="Times New Roman;Times;serif"/>
          <w:sz w:val="18"/>
        </w:rPr>
        <w:t>” “</w:t>
      </w:r>
      <w:r>
        <w:rPr>
          <w:rFonts w:ascii="Helvetica" w:hAnsi="Helvetica"/>
          <w:sz w:val="18"/>
        </w:rPr>
        <w:t>intend,</w:t>
      </w:r>
      <w:r>
        <w:rPr>
          <w:rFonts w:ascii="Times New Roman;Times;serif" w:hAnsi="Times New Roman;Times;serif"/>
          <w:sz w:val="18"/>
        </w:rPr>
        <w:t>” “</w:t>
      </w:r>
      <w:r>
        <w:rPr>
          <w:rFonts w:ascii="Helvetica" w:hAnsi="Helvetica"/>
          <w:sz w:val="18"/>
        </w:rPr>
        <w:t>could,</w:t>
      </w:r>
      <w:r>
        <w:rPr>
          <w:rFonts w:ascii="Times New Roman;Times;serif" w:hAnsi="Times New Roman;Times;serif"/>
          <w:sz w:val="18"/>
        </w:rPr>
        <w:t>” “</w:t>
      </w:r>
      <w:r>
        <w:rPr>
          <w:rFonts w:ascii="Helvetica" w:hAnsi="Helvetica"/>
          <w:sz w:val="18"/>
        </w:rPr>
        <w:t>will likely result,</w:t>
      </w:r>
      <w:r>
        <w:rPr>
          <w:rFonts w:ascii="Times New Roman;Times;serif" w:hAnsi="Times New Roman;Times;serif"/>
          <w:sz w:val="18"/>
        </w:rPr>
        <w:t xml:space="preserve">” </w:t>
      </w:r>
      <w:r>
        <w:rPr>
          <w:rFonts w:ascii="Helvetica" w:hAnsi="Helvetica"/>
          <w:sz w:val="18"/>
        </w:rPr>
        <w:t xml:space="preserve">or </w:t>
      </w:r>
      <w:r>
        <w:rPr>
          <w:rFonts w:ascii="Times New Roman;Times;serif" w:hAnsi="Times New Roman;Times;serif"/>
          <w:sz w:val="18"/>
        </w:rPr>
        <w:t>“</w:t>
      </w:r>
      <w:r>
        <w:rPr>
          <w:rFonts w:ascii="Helvetica" w:hAnsi="Helvetica"/>
          <w:sz w:val="18"/>
        </w:rPr>
        <w:t>will continue</w:t>
      </w:r>
      <w:r>
        <w:rPr>
          <w:rFonts w:ascii="Times New Roman;Times;serif" w:hAnsi="Times New Roman;Times;serif"/>
          <w:sz w:val="18"/>
        </w:rPr>
        <w:t xml:space="preserve">” </w:t>
      </w:r>
      <w:r>
        <w:rPr>
          <w:rFonts w:ascii="Helvetica" w:hAnsi="Helvetica"/>
          <w:sz w:val="18"/>
        </w:rPr>
        <w:t>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pStyle w:val="TextBody"/>
        <w:bidi w:val="0"/>
        <w:spacing w:lineRule="auto" w:line="307" w:before="0" w:after="0"/>
        <w:ind w:left="0" w:right="0" w:hanging="0"/>
        <w:jc w:val="left"/>
        <w:rPr>
          <w:rFonts w:ascii="Times New Roman;Times;serif" w:hAnsi="Times New Roman;Times;serif"/>
          <w:sz w:val="18"/>
        </w:rPr>
      </w:pPr>
      <w:r>
        <w:rPr>
          <w:rFonts w:ascii="Helvetica" w:hAnsi="Helvetica"/>
          <w:sz w:val="18"/>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natural disasters such as hurricanes; uncertainty and economic impact of pandemics, epidemics or other public health emergencies; transportation and distribution delays or interruptions; changes in freight rates; the Company</w:t>
      </w:r>
      <w:r>
        <w:rPr>
          <w:rFonts w:ascii="Times New Roman;Times;serif" w:hAnsi="Times New Roman;Times;serif"/>
          <w:sz w:val="18"/>
        </w:rPr>
        <w:t>’</w:t>
      </w:r>
      <w:r>
        <w:rPr>
          <w:rFonts w:ascii="Helvetica" w:hAnsi="Helvetica"/>
          <w:sz w:val="18"/>
        </w:rPr>
        <w:t>s ability to attract and retain workers; the Company</w:t>
      </w:r>
      <w:r>
        <w:rPr>
          <w:rFonts w:ascii="Times New Roman;Times;serif" w:hAnsi="Times New Roman;Times;serif"/>
          <w:sz w:val="18"/>
        </w:rPr>
        <w:t>’</w:t>
      </w:r>
      <w:r>
        <w:rPr>
          <w:rFonts w:ascii="Helvetica" w:hAnsi="Helvetica"/>
          <w:sz w:val="18"/>
        </w:rPr>
        <w:t>s ability to negotiate effectively the cost and purchase of merchandise; inventory risks due to shifts in market demand; the Company</w:t>
      </w:r>
      <w:r>
        <w:rPr>
          <w:rFonts w:ascii="Times New Roman;Times;serif" w:hAnsi="Times New Roman;Times;serif"/>
          <w:sz w:val="18"/>
        </w:rPr>
        <w:t>’</w:t>
      </w:r>
      <w:r>
        <w:rPr>
          <w:rFonts w:ascii="Helvetica" w:hAnsi="Helvetica"/>
          <w:sz w:val="18"/>
        </w:rPr>
        <w:t>s ability to gauge fashion trends and changing consumer preferences; changes in consumer confidence and consumer spending patterns; competition within the industry; competition in our markets; the duration and extent of any economic stimulus programs; changes in product mix; interruptions in suppliers</w:t>
      </w:r>
      <w:r>
        <w:rPr>
          <w:rFonts w:ascii="Times New Roman;Times;serif" w:hAnsi="Times New Roman;Times;serif"/>
          <w:sz w:val="18"/>
        </w:rPr>
        <w:t xml:space="preserve">’ </w:t>
      </w:r>
      <w:r>
        <w:rPr>
          <w:rFonts w:ascii="Helvetica" w:hAnsi="Helvetica"/>
          <w:sz w:val="18"/>
        </w:rPr>
        <w:t>businesses;</w:t>
      </w:r>
      <w:r>
        <w:rPr>
          <w:rFonts w:ascii="Times New Roman;Times;serif" w:hAnsi="Times New Roman;Times;serif"/>
          <w:sz w:val="18"/>
        </w:rPr>
        <w:t xml:space="preserve"> </w:t>
      </w:r>
      <w:r>
        <w:rPr>
          <w:rFonts w:ascii="Helvetica" w:hAnsi="Helvetica"/>
          <w:sz w:val="18"/>
        </w:rPr>
        <w:t xml:space="preserve">the impact of the cyber disruption we identified on January 14, 2023, including legal, reputational, financial and contractual risks resulting from the disruption, and other risks related to cybersecurity, data privacy and intellectual property; the results of pending or </w:t>
      </w:r>
    </w:p>
    <w:p>
      <w:pPr>
        <w:pStyle w:val="TextBody"/>
        <w:bidi w:val="0"/>
        <w:spacing w:before="480" w:after="0"/>
        <w:ind w:left="0" w:right="0" w:hanging="0"/>
        <w:jc w:val="center"/>
        <w:rPr>
          <w:rFonts w:ascii="Helvetica" w:hAnsi="Helvetica"/>
          <w:sz w:val="18"/>
        </w:rPr>
      </w:pPr>
      <w:r>
        <w:rPr>
          <w:rFonts w:ascii="Helvetica" w:hAnsi="Helvetica"/>
          <w:sz w:val="18"/>
        </w:rPr>
        <w:t>11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threatened litigation; temporary changes in demand due to weather patterns; seasonality of the Company</w:t>
      </w:r>
      <w:r>
        <w:rPr>
          <w:rFonts w:ascii="Times New Roman;Times;serif" w:hAnsi="Times New Roman;Times;serif"/>
          <w:sz w:val="18"/>
        </w:rPr>
        <w:t>’</w:t>
      </w:r>
      <w:r>
        <w:rPr>
          <w:rFonts w:ascii="Helvetica" w:hAnsi="Helvetica"/>
          <w:sz w:val="18"/>
        </w:rPr>
        <w:t xml:space="preserve">s business; delays associated with building, opening, remodeling and operating new stores; delays associated with building, opening or expanding new or existing distribution centers; and other factors described in the section titled </w:t>
      </w:r>
      <w:r>
        <w:rPr>
          <w:rFonts w:ascii="Times New Roman;Times;serif" w:hAnsi="Times New Roman;Times;serif"/>
          <w:sz w:val="18"/>
        </w:rPr>
        <w:t>“</w:t>
      </w:r>
      <w:r>
        <w:rPr>
          <w:rFonts w:ascii="Helvetica" w:hAnsi="Helvetica"/>
          <w:sz w:val="18"/>
        </w:rPr>
        <w:t>Item 1A. Risk Factors</w:t>
      </w:r>
      <w:r>
        <w:rPr>
          <w:rFonts w:ascii="Times New Roman;Times;serif" w:hAnsi="Times New Roman;Times;serif"/>
          <w:sz w:val="18"/>
        </w:rPr>
        <w:t xml:space="preserve">” </w:t>
      </w:r>
      <w:r>
        <w:rPr>
          <w:rFonts w:ascii="Helvetica" w:hAnsi="Helvetica"/>
          <w:sz w:val="18"/>
        </w:rPr>
        <w:t>and elsewhere in the Company</w:t>
      </w:r>
      <w:r>
        <w:rPr>
          <w:rFonts w:ascii="Times New Roman;Times;serif" w:hAnsi="Times New Roman;Times;serif"/>
          <w:sz w:val="18"/>
        </w:rPr>
        <w:t>’</w:t>
      </w:r>
      <w:r>
        <w:rPr>
          <w:rFonts w:ascii="Helvetica" w:hAnsi="Helvetica"/>
          <w:sz w:val="18"/>
        </w:rPr>
        <w:t xml:space="preserve">s Annual Report on Form 10-K for the fiscal year ended February 3, 2024, and in Part II, </w:t>
      </w:r>
      <w:r>
        <w:rPr>
          <w:rFonts w:ascii="Times New Roman;Times;serif" w:hAnsi="Times New Roman;Times;serif"/>
          <w:sz w:val="18"/>
        </w:rPr>
        <w:t>“</w:t>
      </w:r>
      <w:r>
        <w:rPr>
          <w:rFonts w:ascii="Helvetica" w:hAnsi="Helvetica"/>
          <w:sz w:val="18"/>
        </w:rPr>
        <w:t>Item 1A. Risk Factors</w:t>
      </w:r>
      <w:r>
        <w:rPr>
          <w:rFonts w:ascii="Times New Roman;Times;serif" w:hAnsi="Times New Roman;Times;serif"/>
          <w:sz w:val="18"/>
        </w:rPr>
        <w:t xml:space="preserve">” </w:t>
      </w:r>
      <w:r>
        <w:rPr>
          <w:rFonts w:ascii="Helvetica" w:hAnsi="Helvetica"/>
          <w:sz w:val="18"/>
        </w:rPr>
        <w:t>and elsewhere in the Company</w:t>
      </w:r>
      <w:r>
        <w:rPr>
          <w:rFonts w:ascii="Times New Roman;Times;serif" w:hAnsi="Times New Roman;Times;serif"/>
          <w:sz w:val="18"/>
        </w:rPr>
        <w:t>’</w:t>
      </w:r>
      <w:r>
        <w:rPr>
          <w:rFonts w:ascii="Helvetica" w:hAnsi="Helvetica"/>
          <w:sz w:val="18"/>
        </w:rPr>
        <w:t>s Quarterly Reports on Form 10-Q and any amendments thereto and in the other documents the Company files with the SEC, including reports on Form 8-K.</w:t>
      </w:r>
    </w:p>
    <w:p>
      <w:pPr>
        <w:pStyle w:val="TextBody"/>
        <w:bidi w:val="0"/>
        <w:spacing w:lineRule="auto" w:line="307" w:before="0" w:after="240"/>
        <w:ind w:left="0" w:right="0" w:hanging="0"/>
        <w:jc w:val="left"/>
        <w:rPr>
          <w:rFonts w:ascii="Helvetica" w:hAnsi="Helvetica"/>
          <w:sz w:val="18"/>
        </w:rPr>
      </w:pPr>
      <w:r>
        <w:rPr>
          <w:rFonts w:ascii="Helvetica" w:hAnsi="Helvetica"/>
          <w:sz w:val="18"/>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Executive Overview</w:t>
      </w:r>
    </w:p>
    <w:p>
      <w:pPr>
        <w:pStyle w:val="TextBody"/>
        <w:bidi w:val="0"/>
        <w:spacing w:lineRule="auto" w:line="307" w:before="0" w:after="240"/>
        <w:ind w:left="0" w:right="0" w:hanging="0"/>
        <w:jc w:val="left"/>
        <w:rPr>
          <w:rFonts w:ascii="Helvetica" w:hAnsi="Helvetica"/>
          <w:sz w:val="18"/>
        </w:rPr>
      </w:pPr>
      <w:r>
        <w:rPr>
          <w:rFonts w:ascii="Helvetica" w:hAnsi="Helvetica"/>
          <w:sz w:val="18"/>
        </w:rPr>
        <w:t>We are a leading specialty value retailer of apparel, accessories and home trends for way less spend primarily for African American and multicultural families. Our high-quality and trend-right merchandise offerings at everyday low prices are designed to appeal to the fashion and trend preferences of value-conscious customers. As of August 3, 2024, we operated 597 stores in urban, suburban and rural markets in 33 states.</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Uncertainties and Challenges</w:t>
      </w:r>
    </w:p>
    <w:p>
      <w:pPr>
        <w:pStyle w:val="TextBody"/>
        <w:pBdr/>
        <w:bidi w:val="0"/>
        <w:spacing w:lineRule="auto" w:line="307" w:before="0" w:after="0"/>
        <w:ind w:left="0" w:right="0" w:hanging="0"/>
        <w:jc w:val="left"/>
        <w:rPr>
          <w:rFonts w:ascii="Helvetica" w:hAnsi="Helvetica"/>
          <w:b/>
          <w:i/>
          <w:sz w:val="18"/>
        </w:rPr>
      </w:pPr>
      <w:r>
        <w:rPr>
          <w:rFonts w:ascii="Helvetica" w:hAnsi="Helvetica"/>
          <w:b/>
          <w:i/>
          <w:sz w:val="18"/>
        </w:rPr>
        <w:t>General Economic Conditions</w:t>
      </w:r>
    </w:p>
    <w:p>
      <w:pPr>
        <w:pStyle w:val="TextBody"/>
        <w:pBdr/>
        <w:shd w:fill="FFFFFF" w:val="clear"/>
        <w:bidi w:val="0"/>
        <w:spacing w:lineRule="auto" w:line="307" w:before="0" w:after="0"/>
        <w:ind w:left="0" w:right="0" w:hanging="0"/>
        <w:jc w:val="left"/>
        <w:rPr>
          <w:rFonts w:ascii="Helvetica" w:hAnsi="Helvetica"/>
          <w:sz w:val="18"/>
        </w:rPr>
      </w:pPr>
      <w:r>
        <w:rPr>
          <w:rFonts w:ascii="Helvetica" w:hAnsi="Helvetica"/>
          <w:sz w:val="18"/>
        </w:rPr>
        <w:t>We expect that our operations in the short-term will continue to be influenced by general economic conditions, including on-going inflationary pressures, which are particularly impactful to the communities we serve. Given the macro-economic environment, we expect low-income families to remain under pressure and to tightly manage their discretionary spend through the remainder of fiscal 2024. In addition,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pStyle w:val="TextBody"/>
        <w:pBdr/>
        <w:shd w:fill="FFFFFF" w:val="clear"/>
        <w:bidi w:val="0"/>
        <w:spacing w:lineRule="auto" w:line="307" w:before="0" w:after="0"/>
        <w:ind w:left="0" w:right="0" w:hanging="0"/>
        <w:jc w:val="left"/>
        <w:rPr>
          <w:rFonts w:ascii="Helvetica" w:hAnsi="Helvetica"/>
          <w:b/>
          <w:i/>
          <w:sz w:val="18"/>
        </w:rPr>
      </w:pPr>
      <w:r>
        <w:rPr>
          <w:rFonts w:ascii="Helvetica" w:hAnsi="Helvetica"/>
          <w:b/>
          <w:i/>
          <w:sz w:val="18"/>
        </w:rPr>
        <w:t>Seasonality and Weather Patterns</w:t>
      </w:r>
    </w:p>
    <w:p>
      <w:pPr>
        <w:pStyle w:val="TextBody"/>
        <w:pBdr/>
        <w:shd w:fill="FFFFFF" w:val="clear"/>
        <w:bidi w:val="0"/>
        <w:spacing w:lineRule="auto" w:line="307" w:before="0" w:after="0"/>
        <w:ind w:left="0" w:right="0" w:hanging="0"/>
        <w:jc w:val="left"/>
        <w:rPr>
          <w:rFonts w:ascii="Helvetica" w:hAnsi="Helvetica"/>
          <w:sz w:val="18"/>
        </w:rPr>
      </w:pPr>
      <w:r>
        <w:rPr>
          <w:rFonts w:ascii="Helvetica" w:hAnsi="Helvetica"/>
          <w:sz w:val="18"/>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include more non-apparel goods, traffic to our stores is still influenced by weather patterns to some extent.</w:t>
      </w:r>
    </w:p>
    <w:p>
      <w:pPr>
        <w:pStyle w:val="TextBody"/>
        <w:pBdr/>
        <w:shd w:fill="FFFFFF" w:val="clear"/>
        <w:bidi w:val="0"/>
        <w:spacing w:lineRule="auto" w:line="307" w:before="0" w:after="0"/>
        <w:ind w:left="0" w:right="0" w:hanging="0"/>
        <w:jc w:val="left"/>
        <w:rPr>
          <w:rFonts w:ascii="Helvetica" w:hAnsi="Helvetica"/>
          <w:b/>
          <w:i/>
          <w:sz w:val="18"/>
        </w:rPr>
      </w:pPr>
      <w:r>
        <w:rPr>
          <w:rFonts w:ascii="Helvetica" w:hAnsi="Helvetica"/>
          <w:b/>
          <w:i/>
          <w:sz w:val="18"/>
        </w:rPr>
        <w:t>Cyber Disruption (January 2023)</w:t>
      </w:r>
    </w:p>
    <w:p>
      <w:pPr>
        <w:pStyle w:val="TextBody"/>
        <w:pBdr/>
        <w:shd w:fill="FFFFFF" w:val="clear"/>
        <w:bidi w:val="0"/>
        <w:spacing w:lineRule="auto" w:line="307" w:before="0" w:after="0"/>
        <w:ind w:left="0" w:right="0" w:hanging="0"/>
        <w:jc w:val="left"/>
        <w:rPr>
          <w:rFonts w:ascii="Times New Roman;Times;serif" w:hAnsi="Times New Roman;Times;serif"/>
          <w:sz w:val="18"/>
        </w:rPr>
      </w:pPr>
      <w:r>
        <w:rPr>
          <w:rFonts w:ascii="Helvetica" w:hAnsi="Helvetica"/>
          <w:sz w:val="18"/>
        </w:rPr>
        <w:t xml:space="preserve">As previously disclosed, in January 2023, we experienced a disruption of our back office and distribution center IT systems, (the </w:t>
      </w:r>
      <w:r>
        <w:rPr>
          <w:rFonts w:ascii="Times New Roman;Times;serif" w:hAnsi="Times New Roman;Times;serif"/>
          <w:sz w:val="18"/>
        </w:rPr>
        <w:t>“</w:t>
      </w:r>
      <w:r>
        <w:rPr>
          <w:rFonts w:ascii="Helvetica" w:hAnsi="Helvetica"/>
          <w:sz w:val="18"/>
        </w:rPr>
        <w:t>January 2023 cyber disruption</w:t>
      </w:r>
      <w:r>
        <w:rPr>
          <w:rFonts w:ascii="Times New Roman;Times;serif" w:hAnsi="Times New Roman;Times;serif"/>
          <w:sz w:val="18"/>
        </w:rPr>
        <w:t>”</w:t>
      </w:r>
      <w:r>
        <w:rPr>
          <w:rFonts w:ascii="Helvetica" w:hAnsi="Helvetica"/>
          <w:sz w:val="18"/>
        </w:rPr>
        <w:t xml:space="preserve">). In the first twenty-six weeks of fiscal 2023, we recognized $1.7 million of costs related to the cyber disruption in Selling, general and administrative expenses on our Statement of Operations. </w:t>
      </w:r>
    </w:p>
    <w:p>
      <w:pPr>
        <w:pStyle w:val="TextBody"/>
        <w:pBdr/>
        <w:shd w:fill="FFFFFF" w:val="clear"/>
        <w:bidi w:val="0"/>
        <w:spacing w:lineRule="auto" w:line="307" w:before="0" w:after="0"/>
        <w:ind w:left="0" w:right="0" w:hanging="0"/>
        <w:jc w:val="left"/>
        <w:rPr>
          <w:rFonts w:ascii="Helvetica" w:hAnsi="Helvetica"/>
          <w:sz w:val="18"/>
        </w:rPr>
      </w:pPr>
      <w:r>
        <w:rPr>
          <w:rFonts w:ascii="Helvetica" w:hAnsi="Helvetica"/>
          <w:sz w:val="18"/>
        </w:rPr>
        <w:t>Several putative class action lawsuits have been filed against the Company and several inquiries have been made to the Company with respect to the January 2023 cyber disruption. At August 3, 2024, we had an accrual of $0.7 million for estimated losses in connection with these matters recorded in Accrued expenses on our Balance Sheet. For additional information regarding these lawsuits, see Note 7 of the Annual Report on Form 10-K for the fiscal year ended February 3, 2024.</w:t>
      </w:r>
    </w:p>
    <w:p>
      <w:pPr>
        <w:pStyle w:val="TextBody"/>
        <w:shd w:fill="FFFFFF" w:val="clear"/>
        <w:bidi w:val="0"/>
        <w:spacing w:lineRule="auto" w:line="307" w:before="0" w:after="240"/>
        <w:ind w:left="0" w:right="0" w:hanging="0"/>
        <w:jc w:val="left"/>
        <w:rPr>
          <w:rFonts w:ascii="Helvetica" w:hAnsi="Helvetica"/>
          <w:b/>
          <w:sz w:val="18"/>
        </w:rPr>
      </w:pPr>
      <w:r>
        <w:rPr>
          <w:rFonts w:ascii="Helvetica" w:hAnsi="Helvetica"/>
          <w:b/>
          <w:sz w:val="18"/>
        </w:rPr>
        <w:t>Basis of Presentation</w:t>
      </w:r>
    </w:p>
    <w:p>
      <w:pPr>
        <w:pStyle w:val="TextBody"/>
        <w:bidi w:val="0"/>
        <w:spacing w:lineRule="auto" w:line="307" w:before="0" w:after="240"/>
        <w:ind w:left="0" w:right="0" w:hanging="0"/>
        <w:jc w:val="left"/>
        <w:rPr>
          <w:rFonts w:ascii="Helvetica" w:hAnsi="Helvetica"/>
          <w:sz w:val="18"/>
          <w:shd w:fill="FFFFFF" w:val="clear"/>
        </w:rPr>
      </w:pPr>
      <w:r>
        <w:rPr>
          <w:rFonts w:ascii="Helvetica" w:hAnsi="Helvetica"/>
          <w:sz w:val="18"/>
          <w:shd w:fill="FFFFFF" w:val="clear"/>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pStyle w:val="TextBody"/>
        <w:bidi w:val="0"/>
        <w:spacing w:before="480" w:after="0"/>
        <w:ind w:left="0" w:right="0" w:hanging="0"/>
        <w:jc w:val="center"/>
        <w:rPr>
          <w:rFonts w:ascii="Helvetica" w:hAnsi="Helvetica"/>
          <w:sz w:val="18"/>
        </w:rPr>
      </w:pPr>
      <w:r>
        <w:rPr>
          <w:rFonts w:ascii="Helvetica" w:hAnsi="Helvetica"/>
          <w:sz w:val="18"/>
        </w:rPr>
        <w:t>12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following discussion contains references to fiscal years 2024 and 2023, which represent fiscal years ending or ended on February 1, 2025 and February 3, 2024, respectively. Fiscal 2024 has a 52-week accounting period and fiscal 2023 had a 53-week accounting period. This discussion and analysis should be read with the unaudited condensed consolidated financial statements and the notes thereto contained in Part 1, Item 1 of this Report. </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Results of Operations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The following discussion of the Company</w:t>
      </w:r>
      <w:r>
        <w:rPr>
          <w:rFonts w:ascii="Times New Roman;Times;serif" w:hAnsi="Times New Roman;Times;serif"/>
          <w:sz w:val="18"/>
        </w:rPr>
        <w:t>’</w:t>
      </w:r>
      <w:r>
        <w:rPr>
          <w:rFonts w:ascii="Helvetica" w:hAnsi="Helvetica"/>
          <w:sz w:val="18"/>
        </w:rPr>
        <w:t>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among other things.</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Key Operating Statistics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We measure performance using key operating statistics. One of the main performance measures we use is comparable store sales growth. In fiscal years following those with 53 fiscal weeks, the prior year period is shifted by one week to compare similar retail calendar weeks. Additionally, for 2024, we updated our definition of a comparable store. We now define a comparable store as a store that has been open for at least 14 full consecutive months without closure for more than seven days within the same fiscal month.</w:t>
      </w:r>
      <w:r>
        <w:rPr>
          <w:rFonts w:ascii="Times New Roman;Times;serif" w:hAnsi="Times New Roman;Times;serif"/>
          <w:sz w:val="18"/>
        </w:rPr>
        <w:t xml:space="preserve"> </w:t>
      </w:r>
      <w:r>
        <w:rPr>
          <w:rFonts w:ascii="Helvetica" w:hAnsi="Helvetica"/>
          <w:sz w:val="18"/>
        </w:rPr>
        <w:t xml:space="preserve">Remodeled or relocated stores are considered comparable stores if the selling square footage is not changed significantly, the store is not closed for more than five days in any fiscal month and the store remains in the same trade area. This change aligns more with industry standards in regard to measuring </w:t>
      </w:r>
      <w:r>
        <w:rPr>
          <w:rFonts w:ascii="Times New Roman;Times;serif" w:hAnsi="Times New Roman;Times;serif"/>
          <w:sz w:val="18"/>
        </w:rPr>
        <w:t>“</w:t>
      </w:r>
      <w:r>
        <w:rPr>
          <w:rFonts w:ascii="Helvetica" w:hAnsi="Helvetica"/>
          <w:sz w:val="18"/>
        </w:rPr>
        <w:t>comp store</w:t>
      </w:r>
      <w:r>
        <w:rPr>
          <w:rFonts w:ascii="Times New Roman;Times;serif" w:hAnsi="Times New Roman;Times;serif"/>
          <w:sz w:val="18"/>
        </w:rPr>
        <w:t xml:space="preserve">” </w:t>
      </w:r>
      <w:r>
        <w:rPr>
          <w:rFonts w:ascii="Helvetica" w:hAnsi="Helvetica"/>
          <w:sz w:val="18"/>
        </w:rPr>
        <w:t xml:space="preserve">sales performance. This change is effective for fiscal year 2024 and forward. For fiscal year 2024, the definition change results in six stores becoming comparable stores in 2024, which would not have become a comparable store until 2025 under the prior definition. The revised definition would result in no change to the full year 2023 comparable store sales results of 5.3%. </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and distribution center expenses against budgeted amounts. </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Thirteen Weeks Ended August 3, 2024 and July 29, 2023</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Net Sales. </w:t>
      </w:r>
      <w:r>
        <w:rPr>
          <w:rFonts w:ascii="Helvetica" w:hAnsi="Helvetica"/>
          <w:sz w:val="18"/>
        </w:rPr>
        <w:t>Sales comparisons for 2024 to the prior year are affected by the shift in the calendar caused by last year having 53 weeks. Net sales increased $3.0 million, or 1.7%, to $176.6 million in the second quarter of 2024 from $173.6 million in the second quarter of 2023. The shift in the retail calendar contributed $7.9 million to revenue for the thirteen weeks ended August 3, 2024. Comparable store sales, on a comparable weeks basis, decreased 1.7%, resulting in a decrease of $3.0 million in sales. Net store opening and closing activity resulted in a net decrease of $1.9 million in sales.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Cost of Sales (exclusive of depreciation). </w:t>
      </w:r>
      <w:r>
        <w:rPr>
          <w:rFonts w:ascii="Helvetica" w:hAnsi="Helvetica"/>
          <w:sz w:val="18"/>
        </w:rPr>
        <w:t>Cost of sales (exclusive of depreciation) increased $14.4 million, or 13.4%, to $121.6 million in the second quarter of 2024 from $107.2 million in the second quarter of 2023. Cost of sales as a percentage of sales increased to 68.9% in the second quarter of 2024 from 61.8% in the second quarter of 2023. The 710 basis points increase was driven by an increase of 510 basis points of markdowns (from a strategic inventory reset) and a 220 basis points increase in shrink (driven by physical inventory results and accrual rate adjustment), partially offset by a decrease of 20 basis points in other cost of sales.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Selling, General and Administrative Expenses. </w:t>
      </w:r>
      <w:r>
        <w:rPr>
          <w:rFonts w:ascii="Helvetica" w:hAnsi="Helvetica"/>
          <w:sz w:val="18"/>
        </w:rPr>
        <w:t>Selling, general and administrative expenses increased $4.2 million, or 6.1%, to $73.8 million in the second quarter of 2024 from $69.5 million in the second quarter of 2023. The increase was driven by one-time CEO transition related expenses of $1.4 million, corporate expense (primarily payroll, insurance and professional fees) of $3.8 million, and store selling and advertising expense of $1.0 million, partially offset by lower incentive compensation expense of $2.3 million. As a percentage of sales, Selling, general and administrative expenses increased to 41.8% in the second quarter of 2024 from 40.1% in the second quarter of 2023, primarily driven by the aforementioned items.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Depreciation. </w:t>
      </w:r>
      <w:r>
        <w:rPr>
          <w:rFonts w:ascii="Helvetica" w:hAnsi="Helvetica"/>
          <w:sz w:val="18"/>
        </w:rPr>
        <w:t>Depreciation expense increased $0.1 million, or 1.6%, to $4.8 million in the second quarter of 2024 from $4.7 million in the second quarter of 2023.</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Impairment. </w:t>
      </w:r>
      <w:r>
        <w:rPr>
          <w:rFonts w:ascii="Helvetica" w:hAnsi="Helvetica"/>
          <w:sz w:val="18"/>
        </w:rPr>
        <w:t>Non-cash impairment expense related to underperforming stores totaled $1.3 million in the second quarter of 2024, comprised of $0.7 million for leasehold improvements and fixtures and equipment, and $0.6 million for operating lease right of use assets. There was no impairment expense in the second quarter of 2023.</w:t>
      </w:r>
    </w:p>
    <w:p>
      <w:pPr>
        <w:pStyle w:val="TextBody"/>
        <w:bidi w:val="0"/>
        <w:spacing w:before="480" w:after="0"/>
        <w:ind w:left="0" w:right="0" w:hanging="0"/>
        <w:jc w:val="center"/>
        <w:rPr>
          <w:rFonts w:ascii="Helvetica" w:hAnsi="Helvetica"/>
          <w:sz w:val="18"/>
        </w:rPr>
      </w:pPr>
      <w:r>
        <w:rPr>
          <w:rFonts w:ascii="Helvetica" w:hAnsi="Helvetica"/>
          <w:sz w:val="18"/>
        </w:rPr>
        <w:t>13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Income Tax Benefit. </w:t>
      </w:r>
      <w:r>
        <w:rPr>
          <w:rFonts w:ascii="Helvetica" w:hAnsi="Helvetica"/>
          <w:sz w:val="18"/>
        </w:rPr>
        <w:t>Income tax benefit was $6.0 million in the second quarter of 2024 compared to $2.1 million in the second quarter of 2023. The effective tax rate for the second quarter of 2024 and 2023 was 24.4% and 29.2%, respectively. The difference is attributable to a higher projected net loss for full year 2024.</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Net Loss. </w:t>
      </w:r>
      <w:r>
        <w:rPr>
          <w:rFonts w:ascii="Helvetica" w:hAnsi="Helvetica"/>
          <w:sz w:val="18"/>
        </w:rPr>
        <w:t>Net loss was $18.4 million in the second quarter of 2024 compared to net loss of $5.0 million in the second quarter of 2023 due to the factors discussed above.</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Twenty-Six Weeks Ended August 3, 2024 and July 29, 2023</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Net Sales. </w:t>
      </w:r>
      <w:r>
        <w:rPr>
          <w:rFonts w:ascii="Helvetica" w:hAnsi="Helvetica"/>
          <w:sz w:val="18"/>
        </w:rPr>
        <w:t>Sales comparisons for 2024 to the prior year are affected by the shift in the retail calendar caused by last year having 53 weeks. Net sales increased $9.6 million, or 2.7%, to $362.8 million in the first twenty-six weeks of 2024 from $353.2 million in the same period of 2023. The shift in the retail calendar contributed $10.2 million to revenue for the twenty six weeks ended August 3, 2024. Comparable store sales, on a comparable weeks basis, increased 0.7%, resulting in an increase of $2.6 million in sales. Net store opening and closing activity resulted in a net decrease of $3.1 million in sales.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Cost of Sales (exclusive of depreciation). </w:t>
      </w:r>
      <w:r>
        <w:rPr>
          <w:rFonts w:ascii="Helvetica" w:hAnsi="Helvetica"/>
          <w:sz w:val="18"/>
        </w:rPr>
        <w:t>Cost of sales (exclusive of depreciation) increased $15.0 million, or 6.8%, to $235.9 million in the first twenty-six weeks of 2024 from $220.9 million in the same period of 2023. Cost of sales as a percentage of sales increased to 65.0% in the first twenty-six weeks of 2024 from 62.5% in the same period of 2023. The 250 basis points increase was driven by an increase of 180 basis points of markdowns (as mentioned above) and a 180 basis points increase in shrink (as mentioned above), partially offset by a decrease of 80 basis points of freight and a decrease of 20 basis points in other cost of sales.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Selling, General and Administrative Expenses. </w:t>
      </w:r>
      <w:r>
        <w:rPr>
          <w:rFonts w:ascii="Helvetica" w:hAnsi="Helvetica"/>
          <w:sz w:val="18"/>
        </w:rPr>
        <w:t xml:space="preserve">Selling, general and administrative expenses increased $7.6 million, or 5.4%, to $148.0 million in the first twenty-six weeks of 2024 from $140.4 million in the same period of 2023. The increase was primarily driven by one-time CEO transition related expenses of $1.4 million, corporate expenses (primarily payroll, insurance and professional fees) of $5.0 million, and stores selling and advertising expense of $2.5 million, </w:t>
      </w:r>
      <w:r>
        <w:rPr>
          <w:rFonts w:ascii="Helvetica" w:hAnsi="Helvetica"/>
          <w:sz w:val="18"/>
          <w:shd w:fill="FFFFFF" w:val="clear"/>
        </w:rPr>
        <w:t xml:space="preserve">partially offset by lower incentive compensation expense of $1.9 million. </w:t>
      </w:r>
      <w:r>
        <w:rPr>
          <w:rFonts w:ascii="Helvetica" w:hAnsi="Helvetica"/>
          <w:sz w:val="18"/>
        </w:rPr>
        <w:t>As a percentage of sales, Selling, general and administrative expenses increased to 40.8% in the first twenty-six weeks of 2024 from 39.7% in the first twenty-six weeks of 2023, due to the aforementioned items.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Depreciation. </w:t>
      </w:r>
      <w:r>
        <w:rPr>
          <w:rFonts w:ascii="Helvetica" w:hAnsi="Helvetica"/>
          <w:sz w:val="18"/>
        </w:rPr>
        <w:t>Depreciation expense increased $0.2 million, or 2.0%, to $9.6 million in the first twenty-six weeks of 2024 from $9.4 million in the same period last year.</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Impairment.</w:t>
      </w:r>
      <w:r>
        <w:rPr>
          <w:rFonts w:ascii="Times New Roman;Times;serif" w:hAnsi="Times New Roman;Times;serif"/>
          <w:sz w:val="18"/>
        </w:rPr>
        <w:t> </w:t>
      </w:r>
      <w:r>
        <w:rPr>
          <w:rFonts w:ascii="Helvetica" w:hAnsi="Helvetica"/>
          <w:sz w:val="18"/>
        </w:rPr>
        <w:t>Non-cash impairment expense related to underperforming stores totaled $1.3 million in the first twenty-six weeks of 2024, comprised of $0.7 million for leasehold improvements and fixtures and equipment, and $0.6 million for operating lease right of use assets.  There was no impairment expense in the first twenty-six weeks of 2023.</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Income Tax Benefit. </w:t>
      </w:r>
      <w:r>
        <w:rPr>
          <w:rFonts w:ascii="Helvetica" w:hAnsi="Helvetica"/>
          <w:sz w:val="18"/>
        </w:rPr>
        <w:t>Income tax benefit was $8.7 million in the first twenty-six weeks of 2024 compared to $4.0 million in the first twenty-six weeks of 2023. The effective tax rate for the twenty-six weeks of 2024 and 2023 was 28.5% and 25.3%, respectively. The difference is attributable to a higher projected net loss for full year 2024.</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 xml:space="preserve">Net (Loss) Income. </w:t>
      </w:r>
      <w:r>
        <w:rPr>
          <w:rFonts w:ascii="Helvetica" w:hAnsi="Helvetica"/>
          <w:sz w:val="18"/>
        </w:rPr>
        <w:t>Net loss was $21.8 million in the first twenty-six weeks of 2024 compared to net loss of $11.7 million in the same period of 2023 due to the factors discussed above.</w:t>
      </w:r>
    </w:p>
    <w:p>
      <w:pPr>
        <w:pStyle w:val="TextBody"/>
        <w:pBdr/>
        <w:bidi w:val="0"/>
        <w:spacing w:lineRule="auto" w:line="307" w:before="0" w:after="0"/>
        <w:ind w:left="0" w:right="0" w:hanging="0"/>
        <w:jc w:val="left"/>
        <w:rPr>
          <w:rFonts w:ascii="Helvetica" w:hAnsi="Helvetica"/>
          <w:b/>
          <w:sz w:val="18"/>
        </w:rPr>
      </w:pPr>
      <w:r>
        <w:rPr>
          <w:rFonts w:ascii="Helvetica" w:hAnsi="Helvetica"/>
          <w:b/>
          <w:sz w:val="18"/>
        </w:rPr>
        <w:t>Liquidity and Capital Resources</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Capital Allocation</w:t>
      </w:r>
    </w:p>
    <w:p>
      <w:pPr>
        <w:pStyle w:val="TextBody"/>
        <w:shd w:fill="FFFFFF" w:val="clear"/>
        <w:bidi w:val="0"/>
        <w:spacing w:lineRule="auto" w:line="307" w:before="0" w:after="240"/>
        <w:ind w:left="0" w:right="0" w:hanging="0"/>
        <w:jc w:val="left"/>
        <w:rPr>
          <w:rFonts w:ascii="Times New Roman;Times;serif" w:hAnsi="Times New Roman;Times;serif"/>
          <w:sz w:val="18"/>
        </w:rPr>
      </w:pPr>
      <w:r>
        <w:rPr>
          <w:rFonts w:ascii="Helvetica" w:hAnsi="Helvetica"/>
          <w:sz w:val="18"/>
        </w:rPr>
        <w:t>Our capital allocation strategy is to maintain adequate liquidity to prioritize investments in opportunities to profitably grow our business and maintain current operations, then to return excess cash to shareholders through our repurchase programs. Our quarter-end cash and cash equivalents balance was $59.3 million</w:t>
      </w:r>
      <w:r>
        <w:rPr>
          <w:rFonts w:ascii="Times New Roman;Times;serif" w:hAnsi="Times New Roman;Times;serif"/>
          <w:sz w:val="18"/>
        </w:rPr>
        <w:t xml:space="preserve"> </w:t>
      </w:r>
      <w:r>
        <w:rPr>
          <w:rFonts w:ascii="Helvetica" w:hAnsi="Helvetica"/>
          <w:sz w:val="18"/>
        </w:rPr>
        <w:t>compared to cash and cash equivalents of $65.8 million at the end of the second quarter last year. Until required for other purposes, we maintain cash and cash equivalents in deposit or money market accounts.</w:t>
      </w:r>
    </w:p>
    <w:p>
      <w:pPr>
        <w:pStyle w:val="TextBody"/>
        <w:pBdr/>
        <w:bidi w:val="0"/>
        <w:spacing w:lineRule="auto" w:line="307" w:before="0" w:after="0"/>
        <w:ind w:left="0" w:right="0" w:hanging="0"/>
        <w:jc w:val="left"/>
        <w:rPr>
          <w:rFonts w:ascii="Helvetica" w:hAnsi="Helvetica"/>
          <w:sz w:val="18"/>
        </w:rPr>
      </w:pPr>
      <w:r>
        <w:rPr>
          <w:rFonts w:ascii="Helvetica" w:hAnsi="Helvetica"/>
          <w:sz w:val="18"/>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pStyle w:val="TextBody"/>
        <w:bidi w:val="0"/>
        <w:spacing w:before="480" w:after="0"/>
        <w:ind w:left="0" w:right="0" w:hanging="0"/>
        <w:jc w:val="center"/>
        <w:rPr>
          <w:rFonts w:ascii="Helvetica" w:hAnsi="Helvetica"/>
          <w:sz w:val="18"/>
        </w:rPr>
      </w:pPr>
      <w:r>
        <w:rPr>
          <w:rFonts w:ascii="Helvetica" w:hAnsi="Helvetica"/>
          <w:sz w:val="18"/>
        </w:rPr>
        <w:t>14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Inventory</w:t>
      </w:r>
    </w:p>
    <w:p>
      <w:pPr>
        <w:pStyle w:val="TextBody"/>
        <w:pBdr/>
        <w:shd w:fill="FFFFFF" w:val="clear"/>
        <w:bidi w:val="0"/>
        <w:spacing w:before="0" w:after="0"/>
        <w:ind w:left="0" w:right="0" w:hanging="0"/>
        <w:jc w:val="left"/>
        <w:rPr>
          <w:rFonts w:ascii="Helvetica" w:hAnsi="Helvetica"/>
          <w:sz w:val="18"/>
        </w:rPr>
      </w:pPr>
      <w:r>
        <w:rPr>
          <w:rFonts w:ascii="Helvetica" w:hAnsi="Helvetica"/>
          <w:sz w:val="18"/>
        </w:rPr>
        <w:t>Our quarter-end inventory balance was $135.0 million, roughly flat compared to $134.5 million at the end of the second quarter last year.</w:t>
      </w:r>
    </w:p>
    <w:p>
      <w:pPr>
        <w:pStyle w:val="TextBody"/>
        <w:pBdr/>
        <w:shd w:fill="FFFFFF" w:val="clear"/>
        <w:bidi w:val="0"/>
        <w:spacing w:before="0" w:after="0"/>
        <w:ind w:left="0" w:right="0" w:hanging="0"/>
        <w:jc w:val="left"/>
        <w:rPr>
          <w:rFonts w:ascii="Helvetica" w:hAnsi="Helvetica"/>
          <w:b/>
          <w:i/>
          <w:sz w:val="18"/>
        </w:rPr>
      </w:pPr>
      <w:r>
        <w:rPr>
          <w:rFonts w:ascii="Helvetica" w:hAnsi="Helvetica"/>
          <w:b/>
          <w:i/>
          <w:sz w:val="18"/>
        </w:rPr>
        <w:t>Capital Expenditures</w:t>
      </w:r>
    </w:p>
    <w:p>
      <w:pPr>
        <w:pStyle w:val="TextBody"/>
        <w:pBdr/>
        <w:shd w:fill="FFFFFF" w:val="clear"/>
        <w:bidi w:val="0"/>
        <w:spacing w:lineRule="auto" w:line="307" w:before="0" w:after="0"/>
        <w:ind w:left="0" w:right="0" w:hanging="0"/>
        <w:jc w:val="left"/>
        <w:rPr>
          <w:rFonts w:ascii="Helvetica" w:hAnsi="Helvetica"/>
          <w:sz w:val="18"/>
        </w:rPr>
      </w:pPr>
      <w:r>
        <w:rPr>
          <w:rFonts w:ascii="Helvetica" w:hAnsi="Helvetica"/>
          <w:sz w:val="18"/>
        </w:rPr>
        <w:t xml:space="preserve">Capital expenditures in the first twenty-six weeks of 2024 were $5.6 million, a decrease of $1.3 million over the first twenty-six weeks of 2023, as we pared back our investments in new stores and remodels. We anticipate capital expenditures in fiscal 2024 to be approximately $13 million, primarily for opening new stores and remodeling existing stores, combined with ongoing investments in our systems. </w:t>
      </w:r>
    </w:p>
    <w:p>
      <w:pPr>
        <w:pStyle w:val="TextBody"/>
        <w:pBdr/>
        <w:shd w:fill="FFFFFF" w:val="clear"/>
        <w:bidi w:val="0"/>
        <w:spacing w:lineRule="auto" w:line="307" w:before="0" w:after="0"/>
        <w:ind w:left="0" w:right="0" w:hanging="0"/>
        <w:jc w:val="left"/>
        <w:rPr>
          <w:rFonts w:ascii="Helvetica" w:hAnsi="Helvetica"/>
          <w:b/>
          <w:i/>
          <w:sz w:val="18"/>
        </w:rPr>
      </w:pPr>
      <w:r>
        <w:rPr>
          <w:rFonts w:ascii="Helvetica" w:hAnsi="Helvetica"/>
          <w:b/>
          <w:i/>
          <w:sz w:val="18"/>
        </w:rPr>
        <w:t>Stock Repurchases</w:t>
      </w:r>
    </w:p>
    <w:p>
      <w:pPr>
        <w:pStyle w:val="TextBody"/>
        <w:pBdr/>
        <w:shd w:fill="FFFFFF" w:val="clear"/>
        <w:bidi w:val="0"/>
        <w:spacing w:lineRule="auto" w:line="307" w:before="0" w:after="0"/>
        <w:ind w:left="0" w:right="0" w:hanging="0"/>
        <w:jc w:val="left"/>
        <w:rPr>
          <w:rFonts w:ascii="Helvetica" w:hAnsi="Helvetica"/>
          <w:sz w:val="18"/>
        </w:rPr>
      </w:pPr>
      <w:r>
        <w:rPr>
          <w:rFonts w:ascii="Helvetica" w:hAnsi="Helvetica"/>
          <w:sz w:val="18"/>
        </w:rPr>
        <w:t>We did not repurchase any shares of our common stock in the first twenty-six weeks of fiscal 2024 or fiscal 2023. See Part II of this Report and Note 8 to the Financial Statements for more information.</w:t>
      </w:r>
    </w:p>
    <w:p>
      <w:pPr>
        <w:pStyle w:val="TextBody"/>
        <w:pBdr/>
        <w:shd w:fill="FFFFFF" w:val="clear"/>
        <w:bidi w:val="0"/>
        <w:spacing w:lineRule="auto" w:line="307" w:before="0" w:after="0"/>
        <w:ind w:left="0" w:right="0" w:hanging="0"/>
        <w:jc w:val="left"/>
        <w:rPr>
          <w:rFonts w:ascii="Helvetica" w:hAnsi="Helvetica"/>
          <w:b/>
          <w:i/>
          <w:sz w:val="18"/>
        </w:rPr>
      </w:pPr>
      <w:r>
        <w:rPr>
          <w:rFonts w:ascii="Helvetica" w:hAnsi="Helvetica"/>
          <w:b/>
          <w:i/>
          <w:sz w:val="18"/>
        </w:rPr>
        <w:t>Revolving Credit Facility</w:t>
      </w:r>
    </w:p>
    <w:p>
      <w:pPr>
        <w:pStyle w:val="TextBody"/>
        <w:shd w:fill="FFFFFF" w:val="clear"/>
        <w:bidi w:val="0"/>
        <w:spacing w:lineRule="auto" w:line="307" w:before="0" w:after="240"/>
        <w:ind w:left="0" w:right="0" w:hanging="0"/>
        <w:jc w:val="left"/>
        <w:rPr>
          <w:rFonts w:ascii="Times New Roman;Times;serif" w:hAnsi="Times New Roman;Times;serif"/>
          <w:sz w:val="18"/>
        </w:rPr>
      </w:pPr>
      <w:r>
        <w:rPr>
          <w:rFonts w:ascii="Helvetica" w:hAnsi="Helvetica"/>
          <w:sz w:val="18"/>
        </w:rPr>
        <w:t xml:space="preserve">We have a revolving credit facility that matures in April 2026 and provides a $75 million credit commitment and a $25 million uncommitted </w:t>
      </w:r>
      <w:r>
        <w:rPr>
          <w:rFonts w:ascii="Times New Roman;Times;serif" w:hAnsi="Times New Roman;Times;serif"/>
          <w:sz w:val="18"/>
        </w:rPr>
        <w:t>“</w:t>
      </w:r>
      <w:r>
        <w:rPr>
          <w:rFonts w:ascii="Helvetica" w:hAnsi="Helvetica"/>
          <w:sz w:val="18"/>
        </w:rPr>
        <w:t>accordion</w:t>
      </w:r>
      <w:r>
        <w:rPr>
          <w:rFonts w:ascii="Times New Roman;Times;serif" w:hAnsi="Times New Roman;Times;serif"/>
          <w:sz w:val="18"/>
        </w:rPr>
        <w:t xml:space="preserve">” </w:t>
      </w:r>
      <w:r>
        <w:rPr>
          <w:rFonts w:ascii="Helvetica" w:hAnsi="Helvetica"/>
          <w:sz w:val="18"/>
        </w:rPr>
        <w:t>feature. Additional details of the credit facility are in Note 4 to the Financial Statements. At the end of the second quarter of 2024, we had no borrowings under the credit facility and $1.4 million in letters of credit outstanding.</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Cash Flows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Cash Flows From Operating Activities</w:t>
      </w:r>
      <w:r>
        <w:rPr>
          <w:rFonts w:ascii="Helvetica" w:hAnsi="Helvetica"/>
          <w:sz w:val="18"/>
        </w:rPr>
        <w:t xml:space="preserve">. Net cash used in operating activities was $14.0 million in the first twenty-six weeks of 2024 compared to $30.0 million in the same period of 2023. Sources of cash for the first twenty-six weeks of 2024 included net loss adjusted for non-cash expenses totaling $6.6 million (compared to net loss adjusted for non-cash items of $22.2 million in the first twenty-six weeks of 2023). </w:t>
      </w:r>
    </w:p>
    <w:p>
      <w:pPr>
        <w:pStyle w:val="TextBody"/>
        <w:bidi w:val="0"/>
        <w:spacing w:lineRule="auto" w:line="307" w:before="0" w:after="240"/>
        <w:ind w:left="0" w:right="0" w:hanging="0"/>
        <w:jc w:val="left"/>
        <w:rPr>
          <w:rFonts w:ascii="Helvetica" w:hAnsi="Helvetica"/>
          <w:sz w:val="18"/>
        </w:rPr>
      </w:pPr>
      <w:r>
        <w:rPr>
          <w:rFonts w:ascii="Helvetica" w:hAnsi="Helvetica"/>
          <w:sz w:val="18"/>
        </w:rPr>
        <w:t>Significant uses of cash from operating activities in the first twenty-six weeks of 2024 included (1) a $21.9 million decrease in accrued expenses and other long-term liabilities (compared to a $31.2 million decrease in the first twenty-six weeks of 2023) due primarily to payments of operating lease liabilities; (2) a $6.1 million increase in prepaid and other current assets (compared to a $3.8 million dollar increase in the same period last year); and (3) a $4.6 million increase in inventory (compared to a $28.7 million increase in the same period last year).</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Cash Flows From Investing Activities.</w:t>
      </w:r>
      <w:r>
        <w:rPr>
          <w:rFonts w:ascii="Times New Roman;Times;serif" w:hAnsi="Times New Roman;Times;serif"/>
          <w:sz w:val="18"/>
        </w:rPr>
        <w:t xml:space="preserve"> </w:t>
      </w:r>
      <w:r>
        <w:rPr>
          <w:rFonts w:ascii="Helvetica" w:hAnsi="Helvetica"/>
          <w:sz w:val="18"/>
        </w:rPr>
        <w:t>Cash used in investing activities was $5.6 million in the first twenty-six weeks of 2024 compared to cash used of $6.9 million in the same period last year. Cash used in the first twenty-six weeks of fiscal 2024 and fiscal 2023 consisted of purchases of property and equipment.</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i/>
          <w:sz w:val="18"/>
        </w:rPr>
        <w:t>Cash Flows From Financing Activities.</w:t>
      </w:r>
      <w:r>
        <w:rPr>
          <w:rFonts w:ascii="Times New Roman;Times;serif" w:hAnsi="Times New Roman;Times;serif"/>
          <w:sz w:val="18"/>
        </w:rPr>
        <w:t xml:space="preserve"> </w:t>
      </w:r>
      <w:r>
        <w:rPr>
          <w:rFonts w:ascii="Helvetica" w:hAnsi="Helvetica"/>
          <w:sz w:val="18"/>
        </w:rPr>
        <w:t>Cash used in financing activities was $0.9 million in the first twenty-six weeks of 2024 compared to $0.8 million in the same period last year. Cash used in the first twenty-six weeks of fiscal 2024 and fiscal 2023 consisted of payments to settle withholding taxes on restricted stock that vested.</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Cash Requirements and Commitments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Our principal cash requirements consist of (1) inventory purchases; (2) capital expenditures to invest in our infrastructure; and (3) 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August 3, 2024, our contractual commitments for operating leases totaled $231.9 million (with $49.1 million due within 12 months). See Note 10 to the Financial Statements for more information regarding lease commitments. </w:t>
      </w:r>
    </w:p>
    <w:p>
      <w:pPr>
        <w:pStyle w:val="TextBody"/>
        <w:bidi w:val="0"/>
        <w:spacing w:lineRule="auto" w:line="307" w:before="0" w:after="240"/>
        <w:ind w:left="0" w:right="0" w:hanging="0"/>
        <w:jc w:val="left"/>
        <w:rPr>
          <w:rFonts w:ascii="Helvetica" w:hAnsi="Helvetica"/>
          <w:b/>
          <w:sz w:val="18"/>
        </w:rPr>
      </w:pPr>
      <w:r>
        <w:rPr>
          <w:rFonts w:ascii="Helvetica" w:hAnsi="Helvetica"/>
          <w:b/>
          <w:sz w:val="18"/>
        </w:rPr>
        <w:t>Critical Accounting Policies</w:t>
      </w:r>
    </w:p>
    <w:p>
      <w:pPr>
        <w:pStyle w:val="TextBody"/>
        <w:bidi w:val="0"/>
        <w:spacing w:lineRule="auto" w:line="307" w:before="0" w:after="240"/>
        <w:ind w:left="0" w:right="0" w:hanging="0"/>
        <w:jc w:val="left"/>
        <w:rPr>
          <w:rFonts w:ascii="Helvetica" w:hAnsi="Helvetica"/>
          <w:sz w:val="18"/>
        </w:rPr>
      </w:pPr>
      <w:r>
        <w:rPr>
          <w:rFonts w:ascii="Helvetica" w:hAnsi="Helvetica"/>
          <w:sz w:val="18"/>
        </w:rPr>
        <w:t xml:space="preserve">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480" w:after="0"/>
        <w:ind w:left="0" w:right="0" w:hanging="0"/>
        <w:jc w:val="center"/>
        <w:rPr>
          <w:rFonts w:ascii="Helvetica" w:hAnsi="Helvetica"/>
          <w:sz w:val="18"/>
        </w:rPr>
      </w:pPr>
      <w:r>
        <w:rPr>
          <w:rFonts w:ascii="Helvetica" w:hAnsi="Helvetica"/>
          <w:sz w:val="18"/>
        </w:rPr>
        <w:t>15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Helvetica" w:hAnsi="Helvetica"/>
          <w:sz w:val="18"/>
        </w:rPr>
      </w:pPr>
      <w:r>
        <w:rPr>
          <w:rFonts w:ascii="Helvetica" w:hAnsi="Helvetica"/>
          <w:sz w:val="18"/>
        </w:rPr>
        <w:t>There have been no material changes to the Critical Accounting Policies outlined in our Annual Report on Form 10-K for the fiscal year ended February 3, 2024.</w:t>
      </w:r>
    </w:p>
    <w:p>
      <w:pPr>
        <w:pStyle w:val="TextBody"/>
        <w:bidi w:val="0"/>
        <w:spacing w:lineRule="auto" w:line="307" w:before="0" w:after="240"/>
        <w:ind w:left="0" w:right="0" w:hanging="0"/>
        <w:jc w:val="left"/>
        <w:rPr>
          <w:rFonts w:ascii="Helvetica" w:hAnsi="Helvetica"/>
          <w:b/>
          <w:sz w:val="18"/>
        </w:rPr>
      </w:pPr>
      <w:bookmarkStart w:id="879" w:name="Item3Quantitative_526205"/>
      <w:bookmarkStart w:id="880" w:name="_f40d8e2e_7210_49c0_a96e_1d14382d8c74"/>
      <w:bookmarkEnd w:id="879"/>
      <w:bookmarkEnd w:id="880"/>
      <w:r>
        <w:rPr>
          <w:rFonts w:ascii="Helvetica" w:hAnsi="Helvetica"/>
          <w:b/>
          <w:sz w:val="18"/>
        </w:rPr>
        <w:t>Item 3. Quantitative and Qualitative Disclosures About Market Risk.</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There have been no material changes in our market risk during the twenty-six weeks ended August 3, 2024 compared to the disclosures in Part II, Item 7A of our Annual Report on Form 10-K for the fiscal year ended February 3, 2024</w:t>
      </w:r>
      <w:r>
        <w:rPr>
          <w:rFonts w:ascii="Helvetica" w:hAnsi="Helvetica"/>
          <w:sz w:val="20"/>
        </w:rPr>
        <w:t>.</w:t>
      </w:r>
    </w:p>
    <w:p>
      <w:pPr>
        <w:pStyle w:val="TextBody"/>
        <w:bidi w:val="0"/>
        <w:spacing w:lineRule="auto" w:line="307" w:before="0" w:after="240"/>
        <w:ind w:left="0" w:right="0" w:hanging="0"/>
        <w:jc w:val="left"/>
        <w:rPr>
          <w:rFonts w:ascii="Helvetica" w:hAnsi="Helvetica"/>
          <w:b/>
          <w:sz w:val="18"/>
        </w:rPr>
      </w:pPr>
      <w:bookmarkStart w:id="881" w:name="Item4ControlsandProcedures_109413"/>
      <w:bookmarkStart w:id="882" w:name="_9947aa33_557f_42b5_abd9_9e0e4b780a35"/>
      <w:bookmarkEnd w:id="881"/>
      <w:bookmarkEnd w:id="882"/>
      <w:r>
        <w:rPr>
          <w:rFonts w:ascii="Helvetica" w:hAnsi="Helvetica"/>
          <w:b/>
          <w:sz w:val="18"/>
        </w:rPr>
        <w:t>Item 4. Controls and Procedures.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August 3, 2024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w:t>
      </w:r>
      <w:r>
        <w:rPr>
          <w:rFonts w:ascii="Times New Roman;Times;serif" w:hAnsi="Times New Roman;Times;serif"/>
          <w:sz w:val="18"/>
        </w:rPr>
        <w:t>’</w:t>
      </w:r>
      <w:r>
        <w:rPr>
          <w:rFonts w:ascii="Helvetica" w:hAnsi="Helvetica"/>
          <w:sz w:val="18"/>
        </w:rPr>
        <w:t>s rules and forms, and that such information has been accumulated and communicated to our management, including the officers who certify our financial reports, as appropriate, to allow timely decisions regarding the required disclosures.</w:t>
      </w:r>
    </w:p>
    <w:p>
      <w:pPr>
        <w:pStyle w:val="TextBody"/>
        <w:bidi w:val="0"/>
        <w:spacing w:lineRule="auto" w:line="304" w:before="0" w:after="240"/>
        <w:ind w:left="0" w:right="0" w:hanging="0"/>
        <w:jc w:val="left"/>
        <w:rPr>
          <w:rFonts w:ascii="Helvetica" w:hAnsi="Helvetica"/>
          <w:sz w:val="18"/>
        </w:rPr>
      </w:pPr>
      <w:r>
        <w:rPr>
          <w:rFonts w:ascii="Helvetica" w:hAnsi="Helvetica"/>
          <w:sz w:val="18"/>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pStyle w:val="TextBody"/>
        <w:bidi w:val="0"/>
        <w:spacing w:lineRule="auto" w:line="307" w:before="0" w:after="240"/>
        <w:ind w:left="0" w:right="0" w:hanging="0"/>
        <w:jc w:val="left"/>
        <w:rPr>
          <w:rFonts w:ascii="Helvetica" w:hAnsi="Helvetica"/>
          <w:sz w:val="18"/>
        </w:rPr>
      </w:pPr>
      <w:r>
        <w:rPr>
          <w:rFonts w:ascii="Helvetica" w:hAnsi="Helvetica"/>
          <w:sz w:val="18"/>
        </w:rPr>
        <w:t>There were no changes in our internal control over financial reporting that occurred during the fiscal quarter ended August 3, 2024 that have materially affected, or are reasonably likely to materially affect, our internal control over financial reporting.</w:t>
      </w:r>
    </w:p>
    <w:p>
      <w:pPr>
        <w:pStyle w:val="TextBody"/>
        <w:bidi w:val="0"/>
        <w:spacing w:lineRule="auto" w:line="307" w:before="0" w:after="240"/>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16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left"/>
        <w:rPr>
          <w:rFonts w:ascii="Times New Roman;Times;serif" w:hAnsi="Times New Roman;Times;serif"/>
          <w:sz w:val="18"/>
        </w:rPr>
      </w:pPr>
      <w:bookmarkStart w:id="883" w:name="PARTIIOTHER_417392"/>
      <w:bookmarkStart w:id="884" w:name="_2547d4ff_a641_40b2_8dc9_4d020f45ed72"/>
      <w:bookmarkEnd w:id="883"/>
      <w:bookmarkEnd w:id="884"/>
      <w:r>
        <w:rPr>
          <w:rFonts w:ascii="Helvetica" w:hAnsi="Helvetica"/>
          <w:b/>
          <w:sz w:val="18"/>
        </w:rPr>
        <w:t xml:space="preserve">PART II </w:t>
      </w:r>
      <w:r>
        <w:rPr>
          <w:rFonts w:ascii="Times New Roman;Times;serif" w:hAnsi="Times New Roman;Times;serif"/>
          <w:sz w:val="18"/>
        </w:rPr>
        <w:t xml:space="preserve">— </w:t>
      </w:r>
      <w:r>
        <w:rPr>
          <w:rFonts w:ascii="Helvetica" w:hAnsi="Helvetica"/>
          <w:b/>
          <w:sz w:val="18"/>
        </w:rPr>
        <w:t>OTHER INFORMATION</w:t>
      </w:r>
    </w:p>
    <w:p>
      <w:pPr>
        <w:pStyle w:val="TextBody"/>
        <w:bidi w:val="0"/>
        <w:spacing w:lineRule="auto" w:line="307" w:before="0" w:after="240"/>
        <w:ind w:left="0" w:right="0" w:hanging="0"/>
        <w:jc w:val="left"/>
        <w:rPr>
          <w:rFonts w:ascii="Helvetica" w:hAnsi="Helvetica"/>
          <w:b/>
          <w:sz w:val="18"/>
        </w:rPr>
      </w:pPr>
      <w:bookmarkStart w:id="885" w:name="Item1LegalProceedings_534485"/>
      <w:bookmarkEnd w:id="885"/>
      <w:r>
        <w:rPr>
          <w:rFonts w:ascii="Helvetica" w:hAnsi="Helvetica"/>
          <w:b/>
          <w:sz w:val="18"/>
        </w:rPr>
        <w:t>Item 1. Legal Proceedings.</w:t>
      </w:r>
    </w:p>
    <w:p>
      <w:pPr>
        <w:pStyle w:val="TextBody"/>
        <w:bidi w:val="0"/>
        <w:spacing w:lineRule="auto" w:line="307" w:before="0" w:after="240"/>
        <w:ind w:left="0" w:right="0" w:hanging="0"/>
        <w:jc w:val="left"/>
        <w:rPr>
          <w:rFonts w:ascii="Helvetica" w:hAnsi="Helvetica"/>
          <w:sz w:val="18"/>
          <w:shd w:fill="FFFFFF" w:val="clear"/>
        </w:rPr>
      </w:pPr>
      <w:r>
        <w:rPr>
          <w:rFonts w:ascii="Helvetica" w:hAnsi="Helvetica"/>
          <w:sz w:val="18"/>
          <w:shd w:fill="FFFFFF" w:val="clear"/>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pStyle w:val="TextBody"/>
        <w:bidi w:val="0"/>
        <w:spacing w:lineRule="auto" w:line="307" w:before="0" w:after="240"/>
        <w:ind w:left="0" w:right="0" w:hanging="0"/>
        <w:jc w:val="left"/>
        <w:rPr>
          <w:rFonts w:ascii="Helvetica" w:hAnsi="Helvetica"/>
          <w:b/>
          <w:sz w:val="18"/>
        </w:rPr>
      </w:pPr>
      <w:bookmarkStart w:id="886" w:name="Item1ARiskFactors_712442"/>
      <w:bookmarkStart w:id="887" w:name="_18676930_3120_4e0c_9684_d2ebc9f40c0e"/>
      <w:bookmarkEnd w:id="886"/>
      <w:bookmarkEnd w:id="887"/>
      <w:r>
        <w:rPr>
          <w:rFonts w:ascii="Helvetica" w:hAnsi="Helvetica"/>
          <w:b/>
          <w:sz w:val="18"/>
        </w:rPr>
        <w:t>Item 1A. Risk Factors.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 xml:space="preserve">There have been no material changes to the Risk Factors described under the section </w:t>
      </w:r>
      <w:r>
        <w:rPr>
          <w:rFonts w:ascii="Times New Roman;Times;serif" w:hAnsi="Times New Roman;Times;serif"/>
          <w:sz w:val="18"/>
        </w:rPr>
        <w:t>“</w:t>
      </w:r>
      <w:r>
        <w:rPr>
          <w:rFonts w:ascii="Helvetica" w:hAnsi="Helvetica"/>
          <w:sz w:val="18"/>
        </w:rPr>
        <w:t>ITEM 1A. RISK FACTORS</w:t>
      </w:r>
      <w:r>
        <w:rPr>
          <w:rFonts w:ascii="Times New Roman;Times;serif" w:hAnsi="Times New Roman;Times;serif"/>
          <w:sz w:val="18"/>
        </w:rPr>
        <w:t xml:space="preserve">” </w:t>
      </w:r>
      <w:r>
        <w:rPr>
          <w:rFonts w:ascii="Helvetica" w:hAnsi="Helvetica"/>
          <w:sz w:val="18"/>
        </w:rPr>
        <w:t>in our Annual Report on Form 10-K for the fiscal year ended February 3, 2024.</w:t>
      </w:r>
    </w:p>
    <w:p>
      <w:pPr>
        <w:pStyle w:val="TextBody"/>
        <w:bidi w:val="0"/>
        <w:spacing w:before="0" w:after="53"/>
        <w:ind w:left="0" w:right="0" w:hanging="0"/>
        <w:jc w:val="left"/>
        <w:rPr>
          <w:rFonts w:ascii="Helvetica" w:hAnsi="Helvetica"/>
          <w:b/>
          <w:sz w:val="18"/>
        </w:rPr>
      </w:pPr>
      <w:bookmarkStart w:id="888" w:name="Item2Unregistered_848127"/>
      <w:bookmarkStart w:id="889" w:name="_ec1c0a5c_0702_4e78_a5ce_1d17d8e6cf8c"/>
      <w:bookmarkEnd w:id="888"/>
      <w:bookmarkEnd w:id="889"/>
      <w:r>
        <w:rPr>
          <w:rFonts w:ascii="Helvetica" w:hAnsi="Helvetica"/>
          <w:b/>
          <w:sz w:val="18"/>
        </w:rPr>
        <w:t>Item 2. Unregistered Sales of Equity Securities, and Use of Proceeds.</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i/>
          <w:sz w:val="18"/>
        </w:rPr>
      </w:pPr>
      <w:r>
        <w:rPr>
          <w:rFonts w:ascii="Helvetica" w:hAnsi="Helvetica"/>
          <w:i/>
          <w:sz w:val="18"/>
        </w:rPr>
        <w:t>Information on Share Repurchases</w:t>
      </w:r>
    </w:p>
    <w:p>
      <w:pPr>
        <w:pStyle w:val="TextBody"/>
        <w:bidi w:val="0"/>
        <w:spacing w:lineRule="auto" w:line="307" w:before="0" w:after="240"/>
        <w:ind w:left="0" w:right="0" w:hanging="0"/>
        <w:jc w:val="left"/>
        <w:rPr>
          <w:rFonts w:ascii="Times New Roman;Times;serif" w:hAnsi="Times New Roman;Times;serif"/>
          <w:sz w:val="18"/>
        </w:rPr>
      </w:pPr>
      <w:r>
        <w:rPr>
          <w:rFonts w:ascii="Helvetica" w:hAnsi="Helvetica"/>
          <w:sz w:val="18"/>
        </w:rPr>
        <w:t>The Company did not repurchase any shares in the second quarter of 2024. At August 3, 2024, $50.0 million remained available under the Company</w:t>
      </w:r>
      <w:r>
        <w:rPr>
          <w:rFonts w:ascii="Times New Roman;Times;serif" w:hAnsi="Times New Roman;Times;serif"/>
          <w:sz w:val="18"/>
        </w:rPr>
        <w:t>’</w:t>
      </w:r>
      <w:r>
        <w:rPr>
          <w:rFonts w:ascii="Helvetica" w:hAnsi="Helvetica"/>
          <w:sz w:val="18"/>
        </w:rPr>
        <w:t>s stock repurchase authorization.</w:t>
      </w:r>
    </w:p>
    <w:p>
      <w:pPr>
        <w:pStyle w:val="TextBody"/>
        <w:bidi w:val="0"/>
        <w:spacing w:before="0" w:after="53"/>
        <w:ind w:left="0" w:right="0" w:hanging="0"/>
        <w:jc w:val="left"/>
        <w:rPr/>
      </w:pPr>
      <w:r>
        <w:rPr/>
        <w:t>​</w:t>
      </w:r>
    </w:p>
    <w:p>
      <w:pPr>
        <w:pStyle w:val="TextBody"/>
        <w:bidi w:val="0"/>
        <w:spacing w:lineRule="auto" w:line="307" w:before="0" w:after="240"/>
        <w:ind w:left="0" w:right="0" w:hanging="0"/>
        <w:jc w:val="left"/>
        <w:rPr>
          <w:rFonts w:ascii="Helvetica" w:hAnsi="Helvetica"/>
          <w:b/>
          <w:sz w:val="18"/>
        </w:rPr>
      </w:pPr>
      <w:bookmarkStart w:id="890" w:name="Item3DefaultsUponSeniorSecurities_256165"/>
      <w:bookmarkStart w:id="891" w:name="_913145b5_48dd_42e5_83c0_5b547eae9abf"/>
      <w:bookmarkEnd w:id="890"/>
      <w:bookmarkEnd w:id="891"/>
      <w:r>
        <w:rPr>
          <w:rFonts w:ascii="Helvetica" w:hAnsi="Helvetica"/>
          <w:b/>
          <w:sz w:val="18"/>
        </w:rPr>
        <w:t>Item 3. Defaults Upon Senior Securities.</w:t>
      </w:r>
    </w:p>
    <w:p>
      <w:pPr>
        <w:pStyle w:val="TextBody"/>
        <w:bidi w:val="0"/>
        <w:spacing w:lineRule="auto" w:line="307" w:before="0" w:after="240"/>
        <w:ind w:left="0" w:right="0" w:firstLine="720"/>
        <w:jc w:val="left"/>
        <w:rPr>
          <w:rFonts w:ascii="Helvetica" w:hAnsi="Helvetica"/>
          <w:sz w:val="18"/>
        </w:rPr>
      </w:pPr>
      <w:r>
        <w:rPr>
          <w:rFonts w:ascii="Helvetica" w:hAnsi="Helvetica"/>
          <w:sz w:val="18"/>
        </w:rPr>
        <w:t>Not applicable.</w:t>
      </w:r>
    </w:p>
    <w:p>
      <w:pPr>
        <w:pStyle w:val="TextBody"/>
        <w:bidi w:val="0"/>
        <w:spacing w:lineRule="auto" w:line="307" w:before="0" w:after="240"/>
        <w:ind w:left="0" w:right="0" w:hanging="0"/>
        <w:jc w:val="left"/>
        <w:rPr>
          <w:rFonts w:ascii="Helvetica" w:hAnsi="Helvetica"/>
          <w:b/>
          <w:sz w:val="18"/>
        </w:rPr>
      </w:pPr>
      <w:bookmarkStart w:id="892" w:name="Item4MineSafetyDisclosures_796715"/>
      <w:bookmarkStart w:id="893" w:name="_49e151a4_d153_4420_aa33_6f09c8bb96dc"/>
      <w:bookmarkEnd w:id="892"/>
      <w:bookmarkEnd w:id="893"/>
      <w:r>
        <w:rPr>
          <w:rFonts w:ascii="Helvetica" w:hAnsi="Helvetica"/>
          <w:b/>
          <w:sz w:val="18"/>
        </w:rPr>
        <w:t>Item 4. Mine Safety Disclosures.</w:t>
      </w:r>
    </w:p>
    <w:p>
      <w:pPr>
        <w:pStyle w:val="TextBody"/>
        <w:bidi w:val="0"/>
        <w:spacing w:lineRule="auto" w:line="307" w:before="0" w:after="240"/>
        <w:ind w:left="0" w:right="0" w:firstLine="720"/>
        <w:jc w:val="left"/>
        <w:rPr>
          <w:rFonts w:ascii="Helvetica" w:hAnsi="Helvetica"/>
          <w:sz w:val="18"/>
        </w:rPr>
      </w:pPr>
      <w:r>
        <w:rPr>
          <w:rFonts w:ascii="Helvetica" w:hAnsi="Helvetica"/>
          <w:sz w:val="18"/>
        </w:rPr>
        <w:t>Not applicable.</w:t>
      </w:r>
    </w:p>
    <w:p>
      <w:pPr>
        <w:pStyle w:val="TextBody"/>
        <w:bidi w:val="0"/>
        <w:spacing w:lineRule="auto" w:line="307" w:before="0" w:after="240"/>
        <w:ind w:left="0" w:right="0" w:hanging="0"/>
        <w:jc w:val="left"/>
        <w:rPr>
          <w:rFonts w:ascii="Times New Roman;Times;serif" w:hAnsi="Times New Roman;Times;serif"/>
          <w:sz w:val="20"/>
        </w:rPr>
      </w:pPr>
      <w:bookmarkStart w:id="894" w:name="Item5OtherInformation_995576"/>
      <w:bookmarkStart w:id="895" w:name="_31148eb6_aa00_4605_acfb_537b03068887"/>
      <w:bookmarkEnd w:id="894"/>
      <w:bookmarkEnd w:id="895"/>
      <w:r>
        <w:rPr>
          <w:rFonts w:ascii="Helvetica" w:hAnsi="Helvetica"/>
          <w:b/>
          <w:sz w:val="18"/>
        </w:rPr>
        <w:t>Item 5. Other</w:t>
      </w:r>
      <w:r>
        <w:rPr>
          <w:rFonts w:ascii="Times New Roman;Times;serif" w:hAnsi="Times New Roman;Times;serif"/>
          <w:sz w:val="20"/>
        </w:rPr>
        <w:t xml:space="preserve"> </w:t>
      </w:r>
      <w:r>
        <w:rPr>
          <w:rFonts w:ascii="Helvetica" w:hAnsi="Helvetica"/>
          <w:b/>
          <w:sz w:val="18"/>
        </w:rPr>
        <w:t>Information.</w:t>
      </w:r>
    </w:p>
    <w:p>
      <w:pPr>
        <w:pStyle w:val="TextBody"/>
        <w:bidi w:val="0"/>
        <w:spacing w:before="0" w:after="240"/>
        <w:ind w:left="0" w:right="0" w:hanging="0"/>
        <w:jc w:val="left"/>
        <w:rPr>
          <w:rFonts w:ascii="Times New Roman;Times;serif" w:hAnsi="Times New Roman;Times;serif"/>
          <w:sz w:val="20"/>
        </w:rPr>
      </w:pPr>
      <w:r>
        <w:rPr>
          <w:rFonts w:ascii="Helvetica" w:hAnsi="Helvetica"/>
          <w:sz w:val="18"/>
        </w:rPr>
        <w:t>Not</w:t>
      </w:r>
      <w:r>
        <w:rPr>
          <w:rFonts w:ascii="Times New Roman;Times;serif" w:hAnsi="Times New Roman;Times;serif"/>
          <w:sz w:val="20"/>
        </w:rPr>
        <w:t xml:space="preserve"> </w:t>
      </w:r>
      <w:r>
        <w:rPr>
          <w:rFonts w:ascii="Helvetica" w:hAnsi="Helvetica"/>
          <w:sz w:val="18"/>
        </w:rPr>
        <w:t>applicable.</w:t>
      </w:r>
    </w:p>
    <w:p>
      <w:pPr>
        <w:pStyle w:val="TextBody"/>
        <w:bidi w:val="0"/>
        <w:spacing w:before="0" w:after="53"/>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17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53"/>
        <w:ind w:left="0" w:right="0" w:hanging="0"/>
        <w:jc w:val="left"/>
        <w:rPr>
          <w:rFonts w:ascii="Helvetica" w:hAnsi="Helvetica"/>
          <w:b/>
          <w:sz w:val="18"/>
        </w:rPr>
      </w:pPr>
      <w:bookmarkStart w:id="896" w:name="Item6Exhibits_688103"/>
      <w:bookmarkStart w:id="897" w:name="_af048743_6d3c_48d9_941a_ee38cdaba157"/>
      <w:bookmarkEnd w:id="896"/>
      <w:bookmarkEnd w:id="897"/>
      <w:r>
        <w:rPr>
          <w:rFonts w:ascii="Helvetica" w:hAnsi="Helvetica"/>
          <w:b/>
          <w:sz w:val="18"/>
        </w:rPr>
        <w:t>Item 6. Exhibits.</w:t>
      </w:r>
    </w:p>
    <w:p>
      <w:pPr>
        <w:pStyle w:val="TextBody"/>
        <w:bidi w:val="0"/>
        <w:spacing w:before="0" w:after="53"/>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
        <w:gridCol w:w="109"/>
        <w:gridCol w:w="9615"/>
      </w:tblGrid>
      <w:tr>
        <w:trPr/>
        <w:tc>
          <w:tcPr>
            <w:tcW w:w="481" w:type="dxa"/>
            <w:tcBorders/>
            <w:vAlign w:val="center"/>
          </w:tcPr>
          <w:p>
            <w:pPr>
              <w:pStyle w:val="TableContents"/>
              <w:bidi w:val="0"/>
              <w:spacing w:before="0" w:after="53"/>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24" name="Frame1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53"/>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53"/>
                              <w:ind w:left="0" w:right="0" w:hanging="0"/>
                              <w:jc w:val="left"/>
                              <w:rPr/>
                            </w:pPr>
                            <w:r>
                              <w:rPr/>
                              <w:t>​</w:t>
                            </w:r>
                          </w:p>
                        </w:txbxContent>
                      </v:textbox>
                      <w10:wrap type="none"/>
                    </v:rect>
                  </w:pict>
                </mc:Fallback>
              </mc:AlternateContent>
            </w:r>
          </w:p>
        </w:tc>
        <w:tc>
          <w:tcPr>
            <w:tcW w:w="9615" w:type="dxa"/>
            <w:tcBorders/>
            <w:vAlign w:val="center"/>
          </w:tcPr>
          <w:p>
            <w:pPr>
              <w:pStyle w:val="TableContents"/>
              <w:bidi w:val="0"/>
              <w:spacing w:before="0" w:after="283"/>
              <w:ind w:left="0" w:right="0" w:hanging="0"/>
              <w:jc w:val="left"/>
              <w:rPr>
                <w:sz w:val="4"/>
                <w:szCs w:val="4"/>
              </w:rPr>
            </w:pPr>
            <w:r>
              <w:rPr>
                <w:sz w:val="4"/>
                <w:szCs w:val="4"/>
              </w:rPr>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r:id="rId2">
              <w:r>
                <w:rPr>
                  <w:rStyle w:val="InternetLink"/>
                  <w:rFonts w:ascii="Times New Roman;Times;serif" w:hAnsi="Times New Roman;Times;serif"/>
                  <w:b w:val="false"/>
                  <w:i w:val="false"/>
                  <w:caps w:val="false"/>
                  <w:smallCaps w:val="false"/>
                  <w:sz w:val="18"/>
                </w:rPr>
                <w:t>Third Amended and Restated Certificate of Incorporation (incorporated by reference to Exhibit 3.1 to the Company</w:t>
              </w:r>
            </w:hyperlink>
            <w:hyperlink r:id="rId3">
              <w:r>
                <w:rPr>
                  <w:rStyle w:val="InternetLink"/>
                  <w:rFonts w:ascii="Times New Roman;Times;serif" w:hAnsi="Times New Roman;Times;serif"/>
                  <w:caps w:val="false"/>
                  <w:smallCaps w:val="false"/>
                  <w:sz w:val="18"/>
                </w:rPr>
                <w:t>’</w:t>
              </w:r>
            </w:hyperlink>
            <w:hyperlink r:id="rId4">
              <w:r>
                <w:rPr>
                  <w:rStyle w:val="InternetLink"/>
                  <w:rFonts w:ascii="Times New Roman;Times;serif" w:hAnsi="Times New Roman;Times;serif"/>
                  <w:b w:val="false"/>
                  <w:i w:val="false"/>
                  <w:caps w:val="false"/>
                  <w:smallCaps w:val="false"/>
                  <w:sz w:val="18"/>
                </w:rPr>
                <w:t>s Current Report on Form 8-K filed with the SEC on June 7, 2018)</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3.2</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Change of Registered Agent and/or Registered Office (incorporated by reference to Exhibit 3.1 to the Company</w:t>
              </w:r>
            </w:hyperlink>
            <w:hyperlink r:id="rId6">
              <w:r>
                <w:rPr>
                  <w:rStyle w:val="InternetLink"/>
                  <w:rFonts w:ascii="Times New Roman;Times;serif" w:hAnsi="Times New Roman;Times;serif"/>
                  <w:caps w:val="false"/>
                  <w:smallCaps w:val="false"/>
                  <w:sz w:val="20"/>
                </w:rPr>
                <w:t>’</w:t>
              </w:r>
            </w:hyperlink>
            <w:hyperlink r:id="rId7">
              <w:r>
                <w:rPr>
                  <w:rStyle w:val="InternetLink"/>
                  <w:rFonts w:ascii="Times New Roman;Times;serif" w:hAnsi="Times New Roman;Times;serif"/>
                  <w:b w:val="false"/>
                  <w:i w:val="false"/>
                  <w:caps w:val="false"/>
                  <w:smallCaps w:val="false"/>
                  <w:sz w:val="20"/>
                </w:rPr>
                <w:t>s Current Report on Form 8-K filed with the SEC on October 31, 2022).</w:t>
              </w:r>
            </w:hyperlink>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3.3</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r:id="rId8">
              <w:r>
                <w:rPr>
                  <w:rStyle w:val="InternetLink"/>
                  <w:rFonts w:ascii="Times New Roman;Times;serif" w:hAnsi="Times New Roman;Times;serif"/>
                  <w:b w:val="false"/>
                  <w:i w:val="false"/>
                  <w:caps w:val="false"/>
                  <w:smallCaps w:val="false"/>
                  <w:sz w:val="20"/>
                </w:rPr>
                <w:t>Fourth Amended and Restated Bylaws (incorporated by reference to Exhibit 3.2 to the Company</w:t>
              </w:r>
            </w:hyperlink>
            <w:hyperlink r:id="rId9">
              <w:r>
                <w:rPr>
                  <w:rStyle w:val="InternetLink"/>
                  <w:rFonts w:ascii="Times New Roman;Times;serif" w:hAnsi="Times New Roman;Times;serif"/>
                  <w:caps w:val="false"/>
                  <w:smallCaps w:val="false"/>
                  <w:sz w:val="20"/>
                </w:rPr>
                <w:t>’</w:t>
              </w:r>
            </w:hyperlink>
            <w:hyperlink r:id="rId10">
              <w:r>
                <w:rPr>
                  <w:rStyle w:val="InternetLink"/>
                  <w:rFonts w:ascii="Times New Roman;Times;serif" w:hAnsi="Times New Roman;Times;serif"/>
                  <w:b w:val="false"/>
                  <w:i w:val="false"/>
                  <w:caps w:val="false"/>
                  <w:smallCaps w:val="false"/>
                  <w:sz w:val="20"/>
                </w:rPr>
                <w:t>s Current Report on Form 8-K filed with the SEC on October 31, 2022).</w:t>
              </w:r>
            </w:hyperlink>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3.4</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r:id="rId11">
              <w:r>
                <w:rPr>
                  <w:rStyle w:val="InternetLink"/>
                  <w:rFonts w:ascii="Times New Roman;Times;serif" w:hAnsi="Times New Roman;Times;serif"/>
                  <w:b w:val="false"/>
                  <w:i w:val="false"/>
                  <w:caps w:val="false"/>
                  <w:smallCaps w:val="false"/>
                  <w:sz w:val="20"/>
                </w:rPr>
                <w:t>Certificate of Elimination of the Series A Junior Participating Preferred Stock of Citi Trends, Inc. (incorporated by reference to Exhibit 3.1 to the Company</w:t>
              </w:r>
            </w:hyperlink>
            <w:hyperlink r:id="rId12">
              <w:r>
                <w:rPr>
                  <w:rStyle w:val="InternetLink"/>
                  <w:rFonts w:ascii="Times New Roman;Times;serif" w:hAnsi="Times New Roman;Times;serif"/>
                  <w:caps w:val="false"/>
                  <w:smallCaps w:val="false"/>
                  <w:sz w:val="20"/>
                </w:rPr>
                <w:t>’</w:t>
              </w:r>
            </w:hyperlink>
            <w:hyperlink r:id="rId13">
              <w:r>
                <w:rPr>
                  <w:rStyle w:val="InternetLink"/>
                  <w:rFonts w:ascii="Times New Roman;Times;serif" w:hAnsi="Times New Roman;Times;serif"/>
                  <w:b w:val="false"/>
                  <w:i w:val="false"/>
                  <w:caps w:val="false"/>
                  <w:smallCaps w:val="false"/>
                  <w:sz w:val="20"/>
                </w:rPr>
                <w:t>s Current Report on Form 8-K filed with the SEC on May 7, 2024).</w:t>
              </w:r>
            </w:hyperlink>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4.1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r:id="rId14">
              <w:r>
                <w:rPr>
                  <w:rStyle w:val="InternetLink"/>
                  <w:rFonts w:ascii="Times New Roman;Times;serif" w:hAnsi="Times New Roman;Times;serif"/>
                  <w:b w:val="false"/>
                  <w:i w:val="false"/>
                  <w:caps w:val="false"/>
                  <w:smallCaps w:val="false"/>
                  <w:sz w:val="20"/>
                </w:rPr>
                <w:t>Second Amendment to the Stockholder Protection Rights Agreement, dated as of May 7, 2024, between Citi Trends, Inc. and Equiniti Trust Company, LLC, as Rights Agent (incorporated by reference to Exhibit 4.3 to the Company</w:t>
              </w:r>
            </w:hyperlink>
            <w:hyperlink r:id="rId15">
              <w:r>
                <w:rPr>
                  <w:rStyle w:val="InternetLink"/>
                  <w:rFonts w:ascii="Times New Roman;Times;serif" w:hAnsi="Times New Roman;Times;serif"/>
                  <w:caps w:val="false"/>
                  <w:smallCaps w:val="false"/>
                  <w:sz w:val="20"/>
                </w:rPr>
                <w:t>’</w:t>
              </w:r>
            </w:hyperlink>
            <w:hyperlink r:id="rId16">
              <w:r>
                <w:rPr>
                  <w:rStyle w:val="InternetLink"/>
                  <w:rFonts w:ascii="Times New Roman;Times;serif" w:hAnsi="Times New Roman;Times;serif"/>
                  <w:b w:val="false"/>
                  <w:i w:val="false"/>
                  <w:caps w:val="false"/>
                  <w:smallCaps w:val="false"/>
                  <w:sz w:val="20"/>
                </w:rPr>
                <w:t>s Current Report on Form 8-K filed with the SEC on May 7, 2024).</w:t>
              </w:r>
            </w:hyperlink>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r:id="rId17">
              <w:r>
                <w:rPr>
                  <w:rStyle w:val="InternetLink"/>
                  <w:rFonts w:ascii="Times New Roman;Times;serif" w:hAnsi="Times New Roman;Times;serif"/>
                  <w:b w:val="false"/>
                  <w:i w:val="false"/>
                  <w:caps w:val="false"/>
                  <w:smallCaps w:val="false"/>
                  <w:sz w:val="18"/>
                </w:rPr>
                <w:t>Separation Agreement, dated May 31, 2024, to be effective as of June 1, 2024, between David N. Makuen and Citi Trends, Inc. (incorporated by reference to Exhibit 10.1 to the Company</w:t>
              </w:r>
            </w:hyperlink>
            <w:hyperlink r:id="rId18">
              <w:r>
                <w:rPr>
                  <w:rStyle w:val="InternetLink"/>
                  <w:rFonts w:ascii="Times New Roman;Times;serif" w:hAnsi="Times New Roman;Times;serif"/>
                  <w:caps w:val="false"/>
                  <w:smallCaps w:val="false"/>
                  <w:sz w:val="18"/>
                </w:rPr>
                <w:t>’</w:t>
              </w:r>
            </w:hyperlink>
            <w:hyperlink r:id="rId19">
              <w:r>
                <w:rPr>
                  <w:rStyle w:val="InternetLink"/>
                  <w:rFonts w:ascii="Times New Roman;Times;serif" w:hAnsi="Times New Roman;Times;serif"/>
                  <w:b w:val="false"/>
                  <w:i w:val="false"/>
                  <w:caps w:val="false"/>
                  <w:smallCaps w:val="false"/>
                  <w:sz w:val="18"/>
                </w:rPr>
                <w:t>s Current Report on Form 8-K filed with the SEC on May 31, 2024).</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10.2</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"https://www.sec.gov/Archives/edgar/data/1318484/000155837024007183/ctrn-20240620xdef14a.htm" \l "AppendixA_758846"</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Amendment to the Citi Trends, Inc. 2021 Incentive Plan, incorporated by reference to Appendix A of the Company</w:t>
            </w:r>
            <w:r>
              <w:rPr>
                <w:rStyle w:val="InternetLink"/>
                <w:smallCaps w:val="false"/>
                <w:caps w:val="false"/>
                <w:sz w:val="18"/>
                <w:i w:val="false"/>
                <w:b w:val="false"/>
                <w:rFonts w:ascii="Times New Roman;Times;serif" w:hAnsi="Times New Roman;Times;serif"/>
              </w:rPr>
              <w:fldChar w:fldCharType="end"/>
            </w:r>
            <w:r>
              <w:fldChar w:fldCharType="begin"/>
            </w:r>
            <w:r>
              <w:rPr>
                <w:rStyle w:val="InternetLink"/>
                <w:smallCaps w:val="false"/>
                <w:caps w:val="false"/>
                <w:sz w:val="18"/>
                <w:rFonts w:ascii="Times New Roman;Times;serif" w:hAnsi="Times New Roman;Times;serif"/>
              </w:rPr>
              <w:instrText xml:space="preserve"> HYPERLINK "https://www.sec.gov/Archives/edgar/data/1318484/000155837024007183/ctrn-20240620xdef14a.htm" \l "AppendixA_758846"</w:instrText>
            </w:r>
            <w:r>
              <w:rPr>
                <w:rStyle w:val="InternetLink"/>
                <w:smallCaps w:val="false"/>
                <w:caps w:val="false"/>
                <w:sz w:val="18"/>
                <w:rFonts w:ascii="Times New Roman;Times;serif" w:hAnsi="Times New Roman;Times;serif"/>
              </w:rPr>
              <w:fldChar w:fldCharType="separate"/>
            </w:r>
            <w:r>
              <w:rPr>
                <w:rStyle w:val="InternetLink"/>
                <w:rFonts w:ascii="Times New Roman;Times;serif" w:hAnsi="Times New Roman;Times;serif"/>
                <w:caps w:val="false"/>
                <w:smallCaps w:val="false"/>
                <w:sz w:val="18"/>
              </w:rPr>
              <w:t>’</w:t>
            </w:r>
            <w:r>
              <w:rPr>
                <w:rStyle w:val="InternetLink"/>
                <w:smallCaps w:val="false"/>
                <w:caps w:val="false"/>
                <w:sz w:val="18"/>
                <w:rFonts w:ascii="Times New Roman;Times;serif" w:hAnsi="Times New Roman;Times;serif"/>
              </w:rPr>
              <w:fldChar w:fldCharType="end"/>
            </w:r>
            <w:r>
              <w:fldChar w:fldCharType="begin"/>
            </w:r>
            <w:r>
              <w:rPr>
                <w:rStyle w:val="InternetLink"/>
                <w:smallCaps w:val="false"/>
                <w:caps w:val="false"/>
                <w:sz w:val="18"/>
                <w:i w:val="false"/>
                <w:b w:val="false"/>
                <w:rFonts w:ascii="Times New Roman;Times;serif" w:hAnsi="Times New Roman;Times;serif"/>
              </w:rPr>
              <w:instrText xml:space="preserve"> HYPERLINK "https://www.sec.gov/Archives/edgar/data/1318484/000155837024007183/ctrn-20240620xdef14a.htm" \l "AppendixA_758846"</w:instrText>
            </w:r>
            <w:r>
              <w:rPr>
                <w:rStyle w:val="InternetLink"/>
                <w:smallCaps w:val="false"/>
                <w:caps w:val="false"/>
                <w:sz w:val="18"/>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18"/>
              </w:rPr>
              <w:t>s Definitive Proxy Statement on Schedule 14A filed on May 8, 2024.</w:t>
            </w:r>
            <w:r>
              <w:rPr>
                <w:rStyle w:val="InternetLink"/>
                <w:smallCaps w:val="false"/>
                <w:caps w:val="false"/>
                <w:sz w:val="18"/>
                <w:i w:val="false"/>
                <w:b w:val="false"/>
                <w:rFonts w:ascii="Times New Roman;Times;serif" w:hAnsi="Times New Roman;Times;serif"/>
              </w:rPr>
              <w:fldChar w:fldCharType="end"/>
            </w:r>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10.3</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40803xex10d3.htm">
              <w:r>
                <w:rPr>
                  <w:rStyle w:val="InternetLink"/>
                  <w:rFonts w:ascii="Times New Roman;Times;serif" w:hAnsi="Times New Roman;Times;serif"/>
                  <w:b w:val="false"/>
                  <w:i w:val="false"/>
                  <w:caps w:val="false"/>
                  <w:smallCaps w:val="false"/>
                  <w:sz w:val="18"/>
                </w:rPr>
                <w:t>Employment Non-Compete, Non-Solicit and Confidentiality Agreement, between Citi Trends, Inc. and Kyle Koenig dated as of March 24, 2018.</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10.4</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40803xex10d4.htm">
              <w:r>
                <w:rPr>
                  <w:rStyle w:val="InternetLink"/>
                  <w:rFonts w:ascii="Times New Roman;Times;serif" w:hAnsi="Times New Roman;Times;serif"/>
                  <w:b w:val="false"/>
                  <w:i w:val="false"/>
                  <w:caps w:val="false"/>
                  <w:smallCaps w:val="false"/>
                  <w:sz w:val="18"/>
                </w:rPr>
                <w:t>Severance Agreement, between Citi Trends, Inc. and Kyle Koenig dated as of March 24, 2018.</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10.5</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40803xex10d5.htm">
              <w:r>
                <w:rPr>
                  <w:rStyle w:val="InternetLink"/>
                  <w:rFonts w:ascii="Times New Roman;Times;serif" w:hAnsi="Times New Roman;Times;serif"/>
                  <w:b w:val="false"/>
                  <w:i w:val="false"/>
                  <w:caps w:val="false"/>
                  <w:smallCaps w:val="false"/>
                  <w:sz w:val="18"/>
                </w:rPr>
                <w:t>Employment Non-Compete, Non-Solicit and Confidentiality Agreement, between Citi Trends, Inc. and Katrina George dated as of September 6, 2024.</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10.6</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40803xex10d6.htm">
              <w:r>
                <w:rPr>
                  <w:rStyle w:val="InternetLink"/>
                  <w:rFonts w:ascii="Times New Roman;Times;serif" w:hAnsi="Times New Roman;Times;serif"/>
                  <w:b w:val="false"/>
                  <w:i w:val="false"/>
                  <w:caps w:val="false"/>
                  <w:smallCaps w:val="false"/>
                  <w:sz w:val="18"/>
                </w:rPr>
                <w:t>Severance Agreement, between Citi Trends, Inc. and Katrina George dated as of September 6, 2024.</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31.1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40803xex31d1.htm">
              <w:r>
                <w:rPr>
                  <w:rStyle w:val="InternetLink"/>
                  <w:rFonts w:ascii="Times New Roman;Times;serif" w:hAnsi="Times New Roman;Times;serif"/>
                  <w:b w:val="false"/>
                  <w:i w:val="false"/>
                  <w:caps w:val="false"/>
                  <w:smallCaps w:val="false"/>
                  <w:sz w:val="18"/>
                </w:rPr>
                <w:t>Certification of Principal Executive Officer, Pursuant to Rule 13a-14(a) of the Securities Exchange Act of 1934, Adopted Pursuant to Section 302 of the Sarbanes-Oxley Act of 2002</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31.2</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40803xex31d2.htm">
              <w:r>
                <w:rPr>
                  <w:rStyle w:val="InternetLink"/>
                  <w:rFonts w:ascii="Times New Roman;Times;serif" w:hAnsi="Times New Roman;Times;serif"/>
                  <w:b w:val="false"/>
                  <w:i w:val="false"/>
                  <w:caps w:val="false"/>
                  <w:smallCaps w:val="false"/>
                  <w:sz w:val="18"/>
                </w:rPr>
                <w:t>Certification of Principal Financial Officer, Pursuant to Rule 13a-14(a) of the Securities Exchange Act of 1934, Adopted Pursuant to Section 302 of the Sarbanes-Oxley Act of 2002.</w:t>
              </w:r>
            </w:hyperlink>
            <w:r>
              <w:rPr>
                <w:rFonts w:ascii="Helvetica" w:hAnsi="Helvetica"/>
                <w:sz w:val="18"/>
              </w:rPr>
              <w:t>+</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32.1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hyperlink w:anchor="ctrn-20240803xex32d1.htm">
              <w:r>
                <w:rPr>
                  <w:rStyle w:val="InternetLink"/>
                  <w:rFonts w:ascii="Times New Roman;Times;serif" w:hAnsi="Times New Roman;Times;serif"/>
                  <w:b w:val="false"/>
                  <w:i w:val="false"/>
                  <w:caps w:val="false"/>
                  <w:smallCaps w:val="false"/>
                  <w:sz w:val="20"/>
                </w:rPr>
                <w:t>Certifications Pursuant to 18 U.S.C. Section 1350, as adopted pursuant to Section 906 of the Sarbanes-Oxley Act of 2002.+</w:t>
              </w:r>
            </w:hyperlink>
            <w:hyperlink w:anchor="ctrn-20240803xex32d1.htm">
              <w:r>
                <w:rPr>
                  <w:rStyle w:val="InternetLink"/>
                  <w:rFonts w:ascii="Times New Roman;Times;serif" w:hAnsi="Times New Roman;Times;serif"/>
                  <w:caps w:val="false"/>
                  <w:smallCaps w:val="false"/>
                  <w:sz w:val="20"/>
                </w:rPr>
                <w:t>†</w:t>
              </w:r>
            </w:hyperlink>
          </w:p>
        </w:tc>
      </w:tr>
      <w:tr>
        <w:trPr/>
        <w:tc>
          <w:tcPr>
            <w:tcW w:w="481" w:type="dxa"/>
            <w:tcBorders/>
            <w:vAlign w:val="center"/>
          </w:tcPr>
          <w:p>
            <w:pPr>
              <w:pStyle w:val="TableContents"/>
              <w:bidi w:val="0"/>
              <w:spacing w:lineRule="auto" w:line="343" w:before="0" w:after="0"/>
              <w:ind w:left="0" w:right="0" w:hanging="0"/>
              <w:jc w:val="left"/>
              <w:rPr>
                <w:shd w:fill="FFFF00" w:val="clear"/>
              </w:rPr>
            </w:pPr>
            <w:r>
              <w:rPr>
                <w:shd w:fill="FFFF00" w:val="clea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101</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rFonts w:ascii="Times New Roman;Times;serif" w:hAnsi="Times New Roman;Times;serif"/>
                <w:sz w:val="18"/>
              </w:rPr>
            </w:pPr>
            <w:r>
              <w:rPr>
                <w:rFonts w:ascii="Helvetica" w:hAnsi="Helvetica"/>
                <w:sz w:val="18"/>
                <w:shd w:fill="FFFFFF" w:val="clear"/>
              </w:rPr>
              <w:t xml:space="preserve">Inline XBRL Document Set for the condensed consolidated financial statements and accompanying notes in Part I, Item 1, </w:t>
            </w:r>
            <w:r>
              <w:rPr>
                <w:rFonts w:ascii="Times New Roman;Times;serif" w:hAnsi="Times New Roman;Times;serif"/>
                <w:sz w:val="18"/>
                <w:shd w:fill="FFFFFF" w:val="clear"/>
              </w:rPr>
              <w:t>“</w:t>
            </w:r>
            <w:r>
              <w:rPr>
                <w:rFonts w:ascii="Helvetica" w:hAnsi="Helvetica"/>
                <w:sz w:val="18"/>
                <w:shd w:fill="FFFFFF" w:val="clear"/>
              </w:rPr>
              <w:t>Financial Statements</w:t>
            </w:r>
            <w:r>
              <w:rPr>
                <w:rFonts w:ascii="Times New Roman;Times;serif" w:hAnsi="Times New Roman;Times;serif"/>
                <w:sz w:val="18"/>
                <w:shd w:fill="FFFFFF" w:val="clear"/>
              </w:rPr>
              <w:t xml:space="preserve">” </w:t>
            </w:r>
            <w:r>
              <w:rPr>
                <w:rFonts w:ascii="Helvetica" w:hAnsi="Helvetica"/>
                <w:sz w:val="18"/>
                <w:shd w:fill="FFFFFF" w:val="clear"/>
              </w:rPr>
              <w:t>of this Quarterly Report on Form 10-Q.+</w:t>
            </w:r>
          </w:p>
        </w:tc>
      </w:tr>
      <w:tr>
        <w:trPr/>
        <w:tc>
          <w:tcPr>
            <w:tcW w:w="481" w:type="dxa"/>
            <w:tcBorders/>
            <w:vAlign w:val="center"/>
          </w:tcPr>
          <w:p>
            <w:pPr>
              <w:pStyle w:val="TableContents"/>
              <w:pBdr/>
              <w:bidi w:val="0"/>
              <w:spacing w:lineRule="auto" w:line="343" w:before="0" w:after="0"/>
              <w:ind w:left="0" w:right="0" w:hanging="0"/>
              <w:jc w:val="left"/>
              <w:rPr/>
            </w:pPr>
            <w:r>
              <w:rPr/>
              <w:t>​</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pPr>
            <w:r>
              <w:rPr/>
              <w:t>​</w:t>
            </w:r>
          </w:p>
        </w:tc>
      </w:tr>
      <w:tr>
        <w:trPr/>
        <w:tc>
          <w:tcPr>
            <w:tcW w:w="481" w:type="dxa"/>
            <w:tcBorders/>
            <w:vAlign w:val="center"/>
          </w:tcPr>
          <w:p>
            <w:pPr>
              <w:pStyle w:val="TableContents"/>
              <w:pBdr/>
              <w:bidi w:val="0"/>
              <w:spacing w:lineRule="auto" w:line="343" w:before="0" w:after="0"/>
              <w:ind w:left="0" w:right="0" w:hanging="0"/>
              <w:jc w:val="left"/>
              <w:rPr>
                <w:rFonts w:ascii="Helvetica" w:hAnsi="Helvetica"/>
                <w:sz w:val="18"/>
              </w:rPr>
            </w:pPr>
            <w:r>
              <w:rPr>
                <w:rFonts w:ascii="Helvetica" w:hAnsi="Helvetica"/>
                <w:sz w:val="18"/>
              </w:rPr>
              <w:t>104</w:t>
            </w:r>
          </w:p>
        </w:tc>
        <w:tc>
          <w:tcPr>
            <w:tcW w:w="109" w:type="dxa"/>
            <w:tcBorders/>
            <w:vAlign w:val="center"/>
          </w:tcPr>
          <w:p>
            <w:pPr>
              <w:pStyle w:val="TableContents"/>
              <w:bidi w:val="0"/>
              <w:spacing w:lineRule="auto" w:line="343" w:before="0" w:after="0"/>
              <w:ind w:left="0" w:right="0" w:hanging="0"/>
              <w:jc w:val="left"/>
              <w:rPr/>
            </w:pPr>
            <w:r>
              <w:rPr/>
              <w:t>​</w:t>
            </w:r>
          </w:p>
        </w:tc>
        <w:tc>
          <w:tcPr>
            <w:tcW w:w="9615" w:type="dxa"/>
            <w:tcBorders/>
            <w:vAlign w:val="center"/>
          </w:tcPr>
          <w:p>
            <w:pPr>
              <w:pStyle w:val="TableContents"/>
              <w:bidi w:val="0"/>
              <w:spacing w:lineRule="auto" w:line="343" w:before="0" w:after="0"/>
              <w:ind w:left="0" w:right="0" w:hanging="0"/>
              <w:jc w:val="left"/>
              <w:rPr>
                <w:rFonts w:ascii="Helvetica" w:hAnsi="Helvetica"/>
                <w:sz w:val="18"/>
                <w:shd w:fill="FFFFFF" w:val="clear"/>
              </w:rPr>
            </w:pPr>
            <w:r>
              <w:rPr>
                <w:rFonts w:ascii="Helvetica" w:hAnsi="Helvetica"/>
                <w:sz w:val="18"/>
                <w:shd w:fill="FFFFFF" w:val="clear"/>
              </w:rPr>
              <w:t>Inline XBRL for the cover page of this Quarterly Report on Form 10-Q, included in the Exhibit 101 Inline XBRL Document Set.+</w:t>
            </w:r>
          </w:p>
        </w:tc>
      </w:tr>
    </w:tbl>
    <w:p>
      <w:pPr>
        <w:pStyle w:val="TextBody"/>
        <w:pBdr/>
        <w:bidi w:val="0"/>
        <w:spacing w:lineRule="auto" w:line="307" w:before="0" w:after="120"/>
        <w:ind w:left="0" w:right="0" w:hanging="400"/>
        <w:jc w:val="left"/>
        <w:rPr>
          <w:rFonts w:ascii="Helvetica" w:hAnsi="Helvetica"/>
          <w:sz w:val="18"/>
        </w:rPr>
      </w:pPr>
      <w:r>
        <w:rPr>
          <w:rFonts w:ascii="Helvetica" w:hAnsi="Helvetica"/>
          <w:sz w:val="18"/>
        </w:rPr>
        <w:t>+      Included herewith.</w:t>
      </w:r>
    </w:p>
    <w:p>
      <w:pPr>
        <w:pStyle w:val="TextBody"/>
        <w:pBdr/>
        <w:bidi w:val="0"/>
        <w:spacing w:lineRule="auto" w:line="307" w:before="0" w:after="120"/>
        <w:ind w:left="0" w:right="0" w:hanging="403"/>
        <w:jc w:val="left"/>
        <w:rPr>
          <w:rFonts w:ascii="Helvetica" w:hAnsi="Helvetica"/>
          <w:sz w:val="18"/>
        </w:rPr>
      </w:pPr>
      <w:r>
        <w:rPr>
          <w:rFonts w:ascii="Helvetica" w:hAnsi="Helvetica"/>
          <w:sz w:val="18"/>
        </w:rPr>
        <w:t>* Indicates management contract for compensatory plan or arrangement.</w:t>
      </w:r>
    </w:p>
    <w:p>
      <w:pPr>
        <w:pStyle w:val="TextBody"/>
        <w:bidi w:val="0"/>
        <w:spacing w:before="0" w:after="120"/>
        <w:ind w:left="0" w:right="0" w:hanging="0"/>
        <w:jc w:val="left"/>
        <w:rPr/>
      </w:pPr>
      <w:r>
        <w:rPr/>
        <w:t>†      </w:t>
      </w:r>
      <w:r>
        <w:rPr>
          <w:rFonts w:ascii="Helvetica" w:hAnsi="Helvetica"/>
          <w:sz w:val="18"/>
        </w:rPr>
        <w:t xml:space="preserve">Pursuant to Securities and Exchange Commission Release No. 33-8238, this certification will be treated as </w:t>
      </w:r>
      <w:r>
        <w:rPr>
          <w:rFonts w:ascii="Times New Roman;Times;serif" w:hAnsi="Times New Roman;Times;serif"/>
          <w:sz w:val="18"/>
        </w:rPr>
        <w:t>“</w:t>
      </w:r>
      <w:r>
        <w:rPr>
          <w:rFonts w:ascii="Helvetica" w:hAnsi="Helvetica"/>
          <w:sz w:val="18"/>
        </w:rPr>
        <w:t>accompanying</w:t>
      </w:r>
      <w:r>
        <w:rPr>
          <w:rFonts w:ascii="Times New Roman;Times;serif" w:hAnsi="Times New Roman;Times;serif"/>
          <w:sz w:val="18"/>
        </w:rPr>
        <w:t xml:space="preserve">” </w:t>
      </w:r>
      <w:r>
        <w:rPr>
          <w:rFonts w:ascii="Helvetica" w:hAnsi="Helvetica"/>
          <w:sz w:val="18"/>
        </w:rPr>
        <w:t xml:space="preserve">this Quarterly Report on Form 10-Q and not </w:t>
      </w:r>
      <w:r>
        <w:rPr>
          <w:rFonts w:ascii="Times New Roman;Times;serif" w:hAnsi="Times New Roman;Times;serif"/>
          <w:sz w:val="18"/>
        </w:rPr>
        <w:t>“</w:t>
      </w:r>
      <w:r>
        <w:rPr>
          <w:rFonts w:ascii="Helvetica" w:hAnsi="Helvetica"/>
          <w:sz w:val="18"/>
        </w:rPr>
        <w:t>filed</w:t>
      </w:r>
      <w:r>
        <w:rPr>
          <w:rFonts w:ascii="Times New Roman;Times;serif" w:hAnsi="Times New Roman;Times;serif"/>
          <w:sz w:val="18"/>
        </w:rPr>
        <w:t xml:space="preserve">” </w:t>
      </w:r>
      <w:r>
        <w:rPr>
          <w:rFonts w:ascii="Helvetica" w:hAnsi="Helvetica"/>
          <w:sz w:val="18"/>
        </w:rPr>
        <w:t>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pStyle w:val="TextBody"/>
        <w:bidi w:val="0"/>
        <w:spacing w:before="0" w:after="53"/>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18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lineRule="auto" w:line="307" w:before="0" w:after="240"/>
        <w:ind w:left="0" w:right="0" w:hanging="0"/>
        <w:jc w:val="center"/>
        <w:rPr>
          <w:rFonts w:ascii="Helvetica" w:hAnsi="Helvetica"/>
          <w:b/>
          <w:sz w:val="18"/>
        </w:rPr>
      </w:pPr>
      <w:bookmarkStart w:id="898" w:name="SIGNATURES_26064"/>
      <w:bookmarkStart w:id="899" w:name="_67c58dfc_909e_41ad_b836_a5a86636a4c6"/>
      <w:bookmarkEnd w:id="898"/>
      <w:bookmarkEnd w:id="899"/>
      <w:r>
        <w:rPr>
          <w:rFonts w:ascii="Helvetica" w:hAnsi="Helvetica"/>
          <w:b/>
          <w:sz w:val="18"/>
        </w:rPr>
        <w:t>SIGNATURES</w:t>
      </w:r>
    </w:p>
    <w:p>
      <w:pPr>
        <w:pStyle w:val="TextBody"/>
        <w:bidi w:val="0"/>
        <w:spacing w:lineRule="auto" w:line="307" w:before="0" w:after="240"/>
        <w:ind w:left="0" w:right="0" w:firstLine="720"/>
        <w:jc w:val="left"/>
        <w:rPr>
          <w:rFonts w:ascii="Times New Roman;Times;serif" w:hAnsi="Times New Roman;Times;serif"/>
          <w:sz w:val="18"/>
        </w:rPr>
      </w:pPr>
      <w:r>
        <w:rPr>
          <w:rFonts w:ascii="Helvetica" w:hAnsi="Helvetica"/>
          <w:sz w:val="18"/>
        </w:rPr>
        <w:t>Pursuant to the requirements of the Securities Exchange Act of 1934, the Registrant has duly caused this report to be signed on its behalf by the undersigned, thereunto duly authorized, and the undersigned also has signed this report in her capacity as the Registrant</w:t>
      </w:r>
      <w:r>
        <w:rPr>
          <w:rFonts w:ascii="Times New Roman;Times;serif" w:hAnsi="Times New Roman;Times;serif"/>
          <w:sz w:val="18"/>
        </w:rPr>
        <w:t>’</w:t>
      </w:r>
      <w:r>
        <w:rPr>
          <w:rFonts w:ascii="Helvetica" w:hAnsi="Helvetica"/>
          <w:sz w:val="18"/>
        </w:rPr>
        <w:t>s Chief Financial Officer (Principal Financial Officer).</w:t>
      </w:r>
    </w:p>
    <w:p>
      <w:pPr>
        <w:pStyle w:val="TextBody"/>
        <w:bidi w:val="0"/>
        <w:spacing w:before="0" w:after="53"/>
        <w:ind w:left="0" w:right="0" w:hanging="0"/>
        <w:jc w:val="left"/>
        <w:rPr/>
      </w:pPr>
      <w:r>
        <w:rPr/>
        <w:t>​</w:t>
      </w:r>
    </w:p>
    <w:tbl>
      <w:tblPr>
        <w:tblW w:w="4908" w:type="dxa"/>
        <w:jc w:val="left"/>
        <w:tblInd w:w="0" w:type="dxa"/>
        <w:tblLayout w:type="fixed"/>
        <w:tblCellMar>
          <w:top w:w="0" w:type="dxa"/>
          <w:left w:w="0" w:type="dxa"/>
          <w:bottom w:w="0" w:type="dxa"/>
          <w:right w:w="0" w:type="dxa"/>
        </w:tblCellMar>
      </w:tblPr>
      <w:tblGrid>
        <w:gridCol w:w="2266"/>
        <w:gridCol w:w="691"/>
        <w:gridCol w:w="1951"/>
      </w:tblGrid>
      <w:tr>
        <w:trPr/>
        <w:tc>
          <w:tcPr>
            <w:tcW w:w="2266" w:type="dxa"/>
            <w:tcBorders/>
            <w:vAlign w:val="center"/>
          </w:tcPr>
          <w:p>
            <w:pPr>
              <w:pStyle w:val="TableContents"/>
              <w:bidi w:val="0"/>
              <w:spacing w:before="0" w:after="53"/>
              <w:ind w:left="0" w:right="0" w:hanging="0"/>
              <w:jc w:val="left"/>
              <w:rPr/>
            </w:pPr>
            <w:r>
              <w:rPr/>
              <w:t>​</w:t>
            </w:r>
          </w:p>
        </w:tc>
        <w:tc>
          <w:tcPr>
            <w:tcW w:w="691" w:type="dxa"/>
            <w:tcBorders/>
            <w:vAlign w:val="center"/>
          </w:tcPr>
          <w:p>
            <w:pPr>
              <w:pStyle w:val="TableContents"/>
              <w:bidi w:val="0"/>
              <w:spacing w:before="0" w:after="53"/>
              <w:ind w:left="0" w:right="0" w:hanging="0"/>
              <w:jc w:val="left"/>
              <w:rPr/>
            </w:pPr>
            <w:r>
              <w:rPr/>
              <w:t>​</w:t>
            </w:r>
          </w:p>
        </w:tc>
        <w:tc>
          <w:tcPr>
            <w:tcW w:w="1951" w:type="dxa"/>
            <w:tcBorders/>
            <w:vAlign w:val="center"/>
          </w:tcPr>
          <w:p>
            <w:pPr>
              <w:pStyle w:val="TableContents"/>
              <w:bidi w:val="0"/>
              <w:spacing w:before="0" w:after="53"/>
              <w:ind w:left="0" w:right="0" w:hanging="0"/>
              <w:jc w:val="left"/>
              <w:rPr/>
            </w:pPr>
            <w:r>
              <w:rPr/>
              <w:t>​</w:t>
            </w:r>
          </w:p>
        </w:tc>
      </w:tr>
      <w:tr>
        <w:trPr/>
        <w:tc>
          <w:tcPr>
            <w:tcW w:w="2266" w:type="dxa"/>
            <w:tcBorders/>
            <w:vAlign w:val="center"/>
          </w:tcPr>
          <w:p>
            <w:pPr>
              <w:pStyle w:val="TableContents"/>
              <w:bidi w:val="0"/>
              <w:spacing w:lineRule="auto" w:line="328" w:before="0" w:after="53"/>
              <w:ind w:left="0" w:right="0" w:hanging="0"/>
              <w:jc w:val="left"/>
              <w:rPr/>
            </w:pPr>
            <w:r>
              <w:rPr/>
              <w:t>​</w:t>
            </w:r>
          </w:p>
        </w:tc>
        <w:tc>
          <w:tcPr>
            <w:tcW w:w="2642" w:type="dxa"/>
            <w:gridSpan w:val="2"/>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CITI TRENDS, INC.</w:t>
            </w:r>
          </w:p>
        </w:tc>
      </w:tr>
      <w:tr>
        <w:trPr/>
        <w:tc>
          <w:tcPr>
            <w:tcW w:w="2266" w:type="dxa"/>
            <w:tcBorders/>
            <w:vAlign w:val="center"/>
          </w:tcPr>
          <w:p>
            <w:pPr>
              <w:pStyle w:val="TableContents"/>
              <w:bidi w:val="0"/>
              <w:spacing w:lineRule="auto" w:line="328" w:before="0" w:after="53"/>
              <w:ind w:left="0" w:right="0" w:hanging="0"/>
              <w:jc w:val="left"/>
              <w:rPr/>
            </w:pPr>
            <w:r>
              <w:rPr/>
              <w:t>​</w:t>
            </w:r>
          </w:p>
        </w:tc>
        <w:tc>
          <w:tcPr>
            <w:tcW w:w="2642" w:type="dxa"/>
            <w:gridSpan w:val="2"/>
            <w:tcBorders/>
            <w:vAlign w:val="center"/>
          </w:tcPr>
          <w:p>
            <w:pPr>
              <w:pStyle w:val="TableContents"/>
              <w:bidi w:val="0"/>
              <w:spacing w:lineRule="auto" w:line="328" w:before="0" w:after="53"/>
              <w:ind w:left="0" w:right="0" w:hanging="0"/>
              <w:jc w:val="left"/>
              <w:rPr/>
            </w:pPr>
            <w:r>
              <w:rPr/>
              <w:t>​</w:t>
            </w:r>
          </w:p>
        </w:tc>
      </w:tr>
      <w:tr>
        <w:trPr/>
        <w:tc>
          <w:tcPr>
            <w:tcW w:w="2266"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Date: September 11, 2024</w:t>
            </w:r>
          </w:p>
        </w:tc>
        <w:tc>
          <w:tcPr>
            <w:tcW w:w="2642" w:type="dxa"/>
            <w:gridSpan w:val="2"/>
            <w:tcBorders/>
            <w:vAlign w:val="center"/>
          </w:tcPr>
          <w:p>
            <w:pPr>
              <w:pStyle w:val="TableContents"/>
              <w:bidi w:val="0"/>
              <w:spacing w:lineRule="auto" w:line="328" w:before="0" w:after="53"/>
              <w:ind w:left="0" w:right="0" w:hanging="0"/>
              <w:jc w:val="left"/>
              <w:rPr/>
            </w:pPr>
            <w:r>
              <w:rPr/>
              <w:t>​</w:t>
            </w:r>
          </w:p>
        </w:tc>
      </w:tr>
      <w:tr>
        <w:trPr/>
        <w:tc>
          <w:tcPr>
            <w:tcW w:w="2266" w:type="dxa"/>
            <w:tcBorders/>
            <w:vAlign w:val="center"/>
          </w:tcPr>
          <w:p>
            <w:pPr>
              <w:pStyle w:val="TableContents"/>
              <w:bidi w:val="0"/>
              <w:spacing w:lineRule="auto" w:line="328" w:before="0" w:after="53"/>
              <w:ind w:left="0" w:right="0" w:hanging="0"/>
              <w:jc w:val="left"/>
              <w:rPr/>
            </w:pPr>
            <w:r>
              <w:rPr/>
              <w:t>​</w:t>
            </w:r>
          </w:p>
        </w:tc>
        <w:tc>
          <w:tcPr>
            <w:tcW w:w="691" w:type="dxa"/>
            <w:tcBorders/>
            <w:vAlign w:val="center"/>
          </w:tcPr>
          <w:p>
            <w:pPr>
              <w:pStyle w:val="TableContents"/>
              <w:bidi w:val="0"/>
              <w:spacing w:lineRule="auto" w:line="328" w:before="0" w:after="53"/>
              <w:ind w:left="0" w:right="0" w:hanging="0"/>
              <w:jc w:val="left"/>
              <w:rPr/>
            </w:pPr>
            <w:r>
              <w:rPr/>
              <w:t>​</w:t>
            </w:r>
          </w:p>
        </w:tc>
        <w:tc>
          <w:tcPr>
            <w:tcW w:w="1951" w:type="dxa"/>
            <w:tcBorders/>
            <w:vAlign w:val="center"/>
          </w:tcPr>
          <w:p>
            <w:pPr>
              <w:pStyle w:val="TableContents"/>
              <w:bidi w:val="0"/>
              <w:spacing w:lineRule="auto" w:line="328" w:before="0" w:after="53"/>
              <w:ind w:left="0" w:right="0" w:hanging="0"/>
              <w:jc w:val="left"/>
              <w:rPr/>
            </w:pPr>
            <w:r>
              <w:rPr/>
              <w:t>​</w:t>
            </w:r>
          </w:p>
        </w:tc>
      </w:tr>
      <w:tr>
        <w:trPr/>
        <w:tc>
          <w:tcPr>
            <w:tcW w:w="2266" w:type="dxa"/>
            <w:tcBorders/>
            <w:vAlign w:val="center"/>
          </w:tcPr>
          <w:p>
            <w:pPr>
              <w:pStyle w:val="TableContents"/>
              <w:bidi w:val="0"/>
              <w:spacing w:lineRule="auto" w:line="328" w:before="0" w:after="53"/>
              <w:ind w:left="0" w:right="0" w:hanging="0"/>
              <w:jc w:val="left"/>
              <w:rPr/>
            </w:pPr>
            <w:r>
              <w:rPr/>
              <w:t>​</w:t>
            </w:r>
          </w:p>
        </w:tc>
        <w:tc>
          <w:tcPr>
            <w:tcW w:w="69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 xml:space="preserve">By: </w:t>
            </w:r>
          </w:p>
        </w:tc>
        <w:tc>
          <w:tcPr>
            <w:tcW w:w="1951" w:type="dxa"/>
            <w:tcBorders>
              <w:bottom w:val="single" w:sz="2" w:space="0" w:color="000000"/>
            </w:tcBorders>
            <w:tcMar>
              <w:bottom w:w="28" w:type="dxa"/>
            </w:tcMar>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/s/ Heather Plutino</w:t>
            </w:r>
          </w:p>
        </w:tc>
      </w:tr>
      <w:tr>
        <w:trPr/>
        <w:tc>
          <w:tcPr>
            <w:tcW w:w="2266" w:type="dxa"/>
            <w:tcBorders/>
            <w:vAlign w:val="center"/>
          </w:tcPr>
          <w:p>
            <w:pPr>
              <w:pStyle w:val="TableContents"/>
              <w:bidi w:val="0"/>
              <w:spacing w:lineRule="auto" w:line="328" w:before="0" w:after="53"/>
              <w:ind w:left="0" w:right="0" w:hanging="0"/>
              <w:jc w:val="left"/>
              <w:rPr/>
            </w:pPr>
            <w:r>
              <w:rPr/>
              <w:t>​</w:t>
            </w:r>
          </w:p>
        </w:tc>
        <w:tc>
          <w:tcPr>
            <w:tcW w:w="69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 xml:space="preserve">Name: </w:t>
            </w:r>
          </w:p>
        </w:tc>
        <w:tc>
          <w:tcPr>
            <w:tcW w:w="195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Heather Plutino</w:t>
            </w:r>
          </w:p>
        </w:tc>
      </w:tr>
      <w:tr>
        <w:trPr/>
        <w:tc>
          <w:tcPr>
            <w:tcW w:w="2266" w:type="dxa"/>
            <w:tcBorders/>
            <w:vAlign w:val="center"/>
          </w:tcPr>
          <w:p>
            <w:pPr>
              <w:pStyle w:val="TableContents"/>
              <w:bidi w:val="0"/>
              <w:spacing w:lineRule="auto" w:line="328" w:before="0" w:after="53"/>
              <w:ind w:left="0" w:right="0" w:hanging="0"/>
              <w:jc w:val="left"/>
              <w:rPr/>
            </w:pPr>
            <w:r>
              <w:rPr/>
              <w:t>​</w:t>
            </w:r>
          </w:p>
        </w:tc>
        <w:tc>
          <w:tcPr>
            <w:tcW w:w="69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 xml:space="preserve">Title: </w:t>
            </w:r>
          </w:p>
        </w:tc>
        <w:tc>
          <w:tcPr>
            <w:tcW w:w="1951" w:type="dxa"/>
            <w:tcBorders/>
            <w:vAlign w:val="center"/>
          </w:tcPr>
          <w:p>
            <w:pPr>
              <w:pStyle w:val="TableContents"/>
              <w:bidi w:val="0"/>
              <w:spacing w:lineRule="auto" w:line="328" w:before="0" w:after="53"/>
              <w:ind w:left="0" w:right="0" w:hanging="0"/>
              <w:jc w:val="left"/>
              <w:rPr>
                <w:rFonts w:ascii="Helvetica" w:hAnsi="Helvetica"/>
                <w:sz w:val="18"/>
              </w:rPr>
            </w:pPr>
            <w:r>
              <w:rPr>
                <w:rFonts w:ascii="Helvetica" w:hAnsi="Helvetica"/>
                <w:sz w:val="18"/>
              </w:rPr>
              <w:t>Chief Financial Officer</w:t>
            </w:r>
          </w:p>
        </w:tc>
      </w:tr>
    </w:tbl>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0" w:after="53"/>
        <w:ind w:left="0" w:right="0" w:hanging="0"/>
        <w:jc w:val="left"/>
        <w:rPr/>
      </w:pPr>
      <w:r>
        <w:rPr/>
        <w:t>​</w:t>
      </w:r>
    </w:p>
    <w:p>
      <w:pPr>
        <w:pStyle w:val="TextBody"/>
        <w:bidi w:val="0"/>
        <w:spacing w:before="480" w:after="0"/>
        <w:ind w:left="0" w:right="0" w:hanging="0"/>
        <w:jc w:val="center"/>
        <w:rPr>
          <w:rFonts w:ascii="Helvetica" w:hAnsi="Helvetica"/>
          <w:sz w:val="18"/>
        </w:rPr>
      </w:pPr>
      <w:r>
        <w:rPr>
          <w:rFonts w:ascii="Helvetica" w:hAnsi="Helvetica"/>
          <w:sz w:val="18"/>
        </w:rPr>
        <w:t>19</w:t>
      </w:r>
    </w:p>
    <w:p>
      <w:pPr>
        <w:pStyle w:val="TextBody"/>
        <w:bidi w:val="0"/>
        <w:spacing w:before="0" w:after="0"/>
        <w:jc w:val="center"/>
        <w:rPr>
          <w:rFonts w:ascii="Times New Roman" w:hAnsi="Times New Roman"/>
          <w:b/>
          <w:sz w:val="20"/>
        </w:rPr>
      </w:pPr>
      <w:bookmarkStart w:id="900" w:name="ctrn-20240803xex10d3.htm"/>
      <w:bookmarkStart w:id="901" w:name="ksctrn20240803xex10d3"/>
      <w:bookmarkEnd w:id="900"/>
      <w:bookmarkEnd w:id="901"/>
      <w:r>
        <w:rPr>
          <w:rFonts w:ascii="Times New Roman" w:hAnsi="Times New Roman"/>
          <w:b/>
          <w:sz w:val="20"/>
        </w:rPr>
        <w:t>Exhibit 10.3</w:t>
      </w:r>
      <w:r>
        <w:br w:type="page"/>
      </w:r>
    </w:p>
    <w:tbl>
      <w:tblPr>
        <w:tblW w:w="12935" w:type="dxa"/>
        <w:jc w:val="center"/>
        <w:tblInd w:w="0" w:type="dxa"/>
        <w:tblLayout w:type="fixed"/>
        <w:tblCellMar>
          <w:top w:w="0" w:type="dxa"/>
          <w:left w:w="0" w:type="dxa"/>
          <w:bottom w:w="0" w:type="dxa"/>
          <w:right w:w="0" w:type="dxa"/>
        </w:tblCellMar>
      </w:tblPr>
      <w:tblGrid>
        <w:gridCol w:w="12735"/>
        <w:gridCol w:w="20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EMPLOYMENT NON-COMPETE. NON-SOLICIT AND CONFIDENTIALITY AGREEMENT This EMPLOYMENT NON-COMPETE, NON-SOLICIT AND CONFIDENTIALITY AGREEMENT ("Agreement''} is entered into between Citi Trends, Inc., including its subsidiaries, affiliates, divisions, successors, and related entities ("Company"), and Kyle Koenig ("Employee"), effective as of the date signed by Employee below. This Agreement is intended to and shall supersede and replace that certain Employment Non-Compete, Non-Solicit and Confidentiality Agreement between the Company and Employee dated as ofMarch 26, 2016 (the "Prior Confidentiality Agreement''). For and in consideration of the mutual covenants and agreements contained herein, including, but not limited to, Company agreeing to employ and/or continuing to employ Employee, and other good and valuable consideration, the receipt and sufficiency of which are hereby acknowledgeq, the parties agree: l . Employment; Scope of Services. Company shall employ and/or continue to employ Employee, and Employee shall be employed and/or continue to be employed by Company, as Vice President, Real Estate and Construction.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 2. At-Will Employment.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tenninate the employment relationship at any time, with or without notice, with or without cause. The date of Employee's cessation of employment for any reason is the "Separation Date." 3. Confidentiality. (a) Employee acknowledges and agrees that: (1) the retail sale of value-priced/off-price family apparel is an extremely competitive industry; (2) Company has an ongoing strategy for expansion of its business in the United States; (3) Company's major competitors operate throughout the United States and some internationally; and (4) because of Employee's position as Vice President, Real Estate and Construction be/she will have access to, knowledge of, and be entrusted with, highly sensitive and competitive Confidential lnfonnation and Trade Secrets (as defined in subsection (b) below) of Company, including without limitation infonnation regarding sales margins, purchasing and pricing strategies, marketing strategies, vendors and suppliers, plans for expansion and placement of stores, and also specific infonnation about Company's districts and stores, such as staffing, budgets, profits and the financial success of individual districts and stores, which Company has developed and will continue to develop and the disclosure or use of which would cause Company great and irreparable harm. </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 As used herein, "Confidential Information" means and includes any and all 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Company's competitors. "Confidential lnfonnation"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"Trade Secret"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 (c) 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Infonnation or Trade Secrets to any person or entity, other than authorized Company personnel; (2) use or reproduce Confidential lnformation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 (d) 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lnfonnation, Trade Secrets, and any property related to Company, whether in electronic or other fom1at, as well as any copies thereof, then in Employee's custody, control, or possession. Upon the Separation Date, Employee shall provide Company with a declaration certifying that all Confidential Infonnation and any other Company property have been returned to Company, that Employee has not kept any copies of such items or distributed such items to any third party, and that Employee has otherwise complied with the tenns of Section 3 of this Agreement. (e) Employee shall not be held criminally or civilly liable W1der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 2 </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 4. Covenant Not to Compete.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 Employee acknowledges and agrees that the restncttons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Infonnation and relationships and goodwill with its employees, customers, and "Merchandising Vendors.'' In light of the foregoing, Employee agrees that he/she will not, at any point during his/her employment with Company, work for or engage or participate in any business, enterprise, or endeavor that in any way competes with any aspect of Company's business or that otherwise conflicts with Company's interests. In addition, for a period of one (l) year following the Separation Date, and regardless of the reason for separation, Employee shall not, within any geographic area in which Company does business at any time during Employee's employment with Company: (a) become employed by or work for a "Competitor" (as defined below) in any position or capacity involving duties and/or responsibilities which are the same as or substantially similar to any of the duties and/or responsibilities Employee had with and/or performed for Company; or (b) perform or provide any services which are the same as or substantially similar to any of the services which Employee performed or provided for the Company, for or on behalf of any Competitor. For purposes of this Section 4, the tenn "Competitor" shall mean only the following businesses, commonly known as: Cato, TJX (including without limitation TJMAXX and Marshalls), Burlington Stores, Gabe's/Rugged Wearhouse, and Ross Stores. 5. Covenant Not to Solicit.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"Merchandise Vendors" means and 3 </w:t>
            </w:r>
          </w:p>
        </w:tc>
      </w:tr>
    </w:tbl>
    <w:tbl>
      <w:tblPr>
        <w:tblW w:w="12935" w:type="dxa"/>
        <w:jc w:val="center"/>
        <w:tblInd w:w="0" w:type="dxa"/>
        <w:tblLayout w:type="fixed"/>
        <w:tblCellMar>
          <w:top w:w="0" w:type="dxa"/>
          <w:left w:w="0" w:type="dxa"/>
          <w:bottom w:w="0" w:type="dxa"/>
          <w:right w:w="0" w:type="dxa"/>
        </w:tblCellMar>
      </w:tblPr>
      <w:tblGrid>
        <w:gridCol w:w="12735"/>
        <w:gridCol w:w="20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"material contact" means contact between Employee and an existing or prospective Merchandise Vendor: (a) with whom Employee dealt on behalf of Company within two years prior to the date of Employee's termination; (b) 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tennination; or, (d) who provides merchandise and/or inventory to Company, the provision of which results or resulted in compensation, commissions, or earnings for Employee within two years prior to the date of Employee's termination. Employee specifically acknowledges and agrees that, as Vice President, Real Estate and Construction,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 6. Covenant Not to Recruit Personnel.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 7. Severability. If any provision of this Agreement is held invalid, illegal, or othetwise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detennines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detennine that any of the covenants contained herein are overly-broad or otherwise unenforceable, the court may "blue-pencil," modify, and/or refonn any such covenant (in whole or in part) so as to cure the over-breadth or to otherwise render the covenant enforceable. 8. Survival of Covenants. All rights and covenants contained in Sections 3, 4, 5, and 6 of this Agreement, and all remedies relating thereto, shall suIVive the termination of this Agreement for any reason. 9. Binding Effect. The covenants, terms, and provisions set forth in this Agreement shall inure to the benefit of and be enforceable by Company and its successors, assigns, and 4 </w:t>
            </w:r>
          </w:p>
        </w:tc>
      </w:tr>
    </w:tbl>
    <w:tbl>
      <w:tblPr>
        <w:tblW w:w="12965" w:type="dxa"/>
        <w:jc w:val="center"/>
        <w:tblInd w:w="0" w:type="dxa"/>
        <w:tblLayout w:type="fixed"/>
        <w:tblCellMar>
          <w:top w:w="0" w:type="dxa"/>
          <w:left w:w="0" w:type="dxa"/>
          <w:bottom w:w="0" w:type="dxa"/>
          <w:right w:w="0" w:type="dxa"/>
        </w:tblCellMar>
      </w:tblPr>
      <w:tblGrid>
        <w:gridCol w:w="12735"/>
        <w:gridCol w:w="23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successors-in-interest, including, without limitation, any corporation, partncrsltip, or other entity with which Company may be merged or by which it may be acquired. Employee may not assign Employee's rights or obligations under this Agreement to any other party. 10. Governing Law. All matters affecting this Agreement, including the validity thereof, are to be subject to, and interpreted and construed in accordance with, the laws of the State of Georgia appl.icable to contracts executed in and to be performed in that State. 11. No Interference with Rights.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 12. Acknowledgment of Reasonableness/Remedies/Enforcement. (a) Employee acknowledges that: (1) Company has valid interests to protect pursuant to Sections 3, 4, 5, and 6 of this Agreement; (2) the breach of the provisions of Sections 3, 4, S, or 6 of this Agreement would result in irreparable injury and permanent damage to Company; and (3) such restrictions are reasonable and necessary to protect the interests of Company, are critical to the success of Company's business, and do not cause undue hardship on Employee. (b) Employee agrees that detennining damages in the event of a breach of Sections 3, 4, S,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 (c) In the event Employee breaches this Agreement, Employee shall be liable to Company for all costs of enforcement, including attorneys' fees and court costs, in addition to all other damages and redress available to Company in equity or in law. 13. Miscellaneous.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 tied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5 </w:t>
            </w:r>
          </w:p>
        </w:tc>
      </w:tr>
    </w:tbl>
    <w:tbl>
      <w:tblPr>
        <w:tblW w:w="12935" w:type="dxa"/>
        <w:jc w:val="center"/>
        <w:tblInd w:w="0" w:type="dxa"/>
        <w:tblLayout w:type="fixed"/>
        <w:tblCellMar>
          <w:top w:w="0" w:type="dxa"/>
          <w:left w:w="0" w:type="dxa"/>
          <w:bottom w:w="0" w:type="dxa"/>
          <w:right w:w="0" w:type="dxa"/>
        </w:tblCellMar>
      </w:tblPr>
      <w:tblGrid>
        <w:gridCol w:w="12735"/>
        <w:gridCol w:w="20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 descr=""/>
                          <pic:cNvPicPr>
                            <a:picLocks noChangeAspect="1" noChangeArrowheads="1"/>
                          </pic:cNvPicPr>
                        </pic:nvPicPr>
                        <pic:blipFill>
                          <a:blip r:embed="rId2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provision. No waiver of any breach of this Agreement shall be held to be a waiver of any other or subsequent breach. All remedies are cumulative, including the right of either party to seek equitable relief in addition to money damages. EMPLOYEE ACKNOWLEDGES AND AGREES THAT HE/SHE HAS CAREFULLY READ TlllS AGREEMENT AND KNOWS AND UNDERSTANDS ITS CONTENTS, THAT HE/SHE ENTERS INTO THIS AGREEMENT KNOWINGLY AND VOLUNTARILY, AND THAT HE/SHE INDICATES HIS/HER CONSENT BY SIGNING THIS FINAL PAGE. (SIGNATURES TO FOLLOW ON NEXT PAGE) 6 </w:t>
            </w:r>
          </w:p>
        </w:tc>
      </w:tr>
    </w:tbl>
    <w:tbl>
      <w:tblPr>
        <w:tblW w:w="12875" w:type="dxa"/>
        <w:jc w:val="center"/>
        <w:tblInd w:w="0" w:type="dxa"/>
        <w:tblLayout w:type="fixed"/>
        <w:tblCellMar>
          <w:top w:w="0" w:type="dxa"/>
          <w:left w:w="0" w:type="dxa"/>
          <w:bottom w:w="0" w:type="dxa"/>
          <w:right w:w="0" w:type="dxa"/>
        </w:tblCellMar>
      </w:tblPr>
      <w:tblGrid>
        <w:gridCol w:w="12735"/>
        <w:gridCol w:w="14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7"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 WITNESS WHEREOF, the parties hereto have executed this Agreement under seal as of the day and year set forth below. Citi Trends, Inc. Bruce By: D. Sith ~ d&lt;, D. ~ Chief Executive Officer Date: ) ./2_ t( ( I¥' 7 7(L ~ -- Empfoyec Signature Date: 3 - 2 'C I~ Employee Residence Address: 5Z ~- l1wdu A,,.,. </w:t>
            </w:r>
          </w:p>
        </w:tc>
      </w:tr>
    </w:tbl>
    <w:p>
      <w:pPr>
        <w:pStyle w:val="TextBody"/>
        <w:bidi w:val="0"/>
        <w:spacing w:before="0" w:after="0"/>
        <w:ind w:left="0" w:right="0" w:hanging="0"/>
        <w:jc w:val="center"/>
        <w:rPr>
          <w:rFonts w:ascii="Times New Roman" w:hAnsi="Times New Roman"/>
          <w:b/>
          <w:sz w:val="20"/>
        </w:rPr>
      </w:pPr>
      <w:bookmarkStart w:id="902" w:name="ctrn-20240803xex10d4.htm"/>
      <w:bookmarkStart w:id="903" w:name="ksctrn20240803xex10d4"/>
      <w:bookmarkEnd w:id="902"/>
      <w:bookmarkEnd w:id="903"/>
      <w:r>
        <w:rPr>
          <w:rFonts w:ascii="Times New Roman" w:hAnsi="Times New Roman"/>
          <w:b/>
          <w:sz w:val="20"/>
        </w:rPr>
        <w:t>Exhibit 10.4</w:t>
      </w:r>
      <w:r>
        <w:br w:type="page"/>
      </w:r>
    </w:p>
    <w:tbl>
      <w:tblPr>
        <w:tblW w:w="12905" w:type="dxa"/>
        <w:jc w:val="center"/>
        <w:tblInd w:w="0" w:type="dxa"/>
        <w:tblLayout w:type="fixed"/>
        <w:tblCellMar>
          <w:top w:w="0" w:type="dxa"/>
          <w:left w:w="0" w:type="dxa"/>
          <w:bottom w:w="0" w:type="dxa"/>
          <w:right w:w="0" w:type="dxa"/>
        </w:tblCellMar>
      </w:tblPr>
      <w:tblGrid>
        <w:gridCol w:w="12735"/>
        <w:gridCol w:w="170"/>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 descr=""/>
                          <pic:cNvPicPr>
                            <a:picLocks noChangeAspect="1" noChangeArrowheads="1"/>
                          </pic:cNvPicPr>
                        </pic:nvPicPr>
                        <pic:blipFill>
                          <a:blip r:embed="rId2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SEVERANCE AGREEMENT This SEVERANCE AGREEMENT ("Agreement") is entered into between Citi Trends, Inc., a Delaware corporation, including its subsidiaries, affiliates, divisions, successors, and related entities (the ''Company"), and Kyle Koenig, an individual (the "Executive"), effective as of the date signed by Executive below. WHEREAS, this Agreement is intended to and shall supersede and replace that certain Severance Agreement bet:\veen the Company and Employee dated as of March 26, 2016 (the "Prior Severance Agreement"). WHEREAS, the Company and the Executive are also parties to an Employment Non-Compete, Non-Solicit and Confidentiality Agreement (the "Confidentiality Agreement") and certain restricted stock award and stock option agreements ( collectively, the "Equity Agreements"), which are to remain in full force and effect; NOW, THEREFORE, in consideration of the mutual agreements set forth herein, the parties agree as follows: l . Termination Payments and Benefits. Regardless of the circumstances of the Executive's termination, Executive shall be entitled to payment when 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tenns, and to no other compensation or benefits. (a) 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six (6) months base salary at Executive's base salary rate at the time of Executive's termination or if greater, the Executive's base rate in effect on the Change of Control Date; to be paid in thirteen (13)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 (b) For a period of six (6)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( 60) day period. LEGAL02/31206884v2 </w:t>
            </w:r>
          </w:p>
        </w:tc>
      </w:tr>
    </w:tbl>
    <w:tbl>
      <w:tblPr>
        <w:tblW w:w="12890" w:type="dxa"/>
        <w:jc w:val="center"/>
        <w:tblInd w:w="0" w:type="dxa"/>
        <w:tblLayout w:type="fixed"/>
        <w:tblCellMar>
          <w:top w:w="0" w:type="dxa"/>
          <w:left w:w="0" w:type="dxa"/>
          <w:bottom w:w="0" w:type="dxa"/>
          <w:right w:w="0" w:type="dxa"/>
        </w:tblCellMar>
      </w:tblPr>
      <w:tblGrid>
        <w:gridCol w:w="12735"/>
        <w:gridCol w:w="15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 For purposes of this Agreement, "Change in Control" shall mean the occurrence of any one of the following events: (i) the acquisition by any individual, entity or group (within the meaning of Section 13(d)(3) or 14(d)(2) of the Securities Exchange Act of 1934, as amended (the "1934 Act")) (a "Person") of beneficial ownership (within the meaning of Rule 13d-3 promulgated under the 1934 Act) of 50% or more of the combined voting power of the then outstanding voting securities of the Company entitled to vote generally in the election of directors (the "Outstanding Company Voting Securities"); provided, however, that for purposes of this subsection (I),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 (ii) individuals who, as of the date of this Agreement, constitute the Board of Directors of the Company (the "Incumbent Board")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 (iii) consummation of a reorganization, merger, consolidation or share exchange or sale or other disposition of all or substantially all of the assets of the Company (a "Business Combination"),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 excluding any corporation resulting from such Business Combination or any employee benefit plan (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2 </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 descr=""/>
                          <pic:cNvPicPr>
                            <a:picLocks noChangeAspect="1" noChangeArrowheads="1"/>
                          </pic:cNvPicPr>
                        </pic:nvPicPr>
                        <pic:blipFill>
                          <a:blip r:embed="rId2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the time of the execution of the initial agreement, or of the action of the Board, providing for such Business Combination; or (iv) approval by the shareholders of the Company of a complete liquidation or dissolution of the Company. (d) The separation payments and benefits described in Sections l(a) and l(b), above, are conditioned upon Executive executing a Separation and General Release Agreement at the time of termination, which releases and waives any and all claims against the Company and its affiliated persons and companies, and is acceptable to the Company. ( e) In all other circumstances of separation, including if the Executive resigns, retires or is terminated for Cause, the Executive shall not be entitled to receive any separation payments or benefits. For purposes of this Agreement, "Cause" shall mean the Executive's: (i) commission of an act of fraud or dishonesty, the purpose or effect of which, in the CEO and/or Board's sole determination, adversely affects the Company; (ii) conviction of a felony or a crime involving embezzlement, conversion of property or moral turpitude ( whether by plea of nolo contend ere or otherwise); (iii) engaging in willful or reckless misconduct or gross negligence in connection with any property or activity of the Company, the purpose or effect of which, in the CEO and/or Board's sole determination, adversely affects the Company; (iv) 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 (v) failure or refusal to perform any material duty or responsibility under this Agreement or a detennination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 2. Notice. The Executive will send all communications to the Company in writing, to: Executive Vice President of Human Resources, Citi Trends, Inc., 104 Coleman Blvd., Savannah, Georgia 31408, Fax: (912) 443-3663. All communications from the Company to the Executive relating to this Agreement shall be sent to the Executive in writing at his office and home address as reflected in the Company's records. 3. Amendment. No provisions of this Agreement may be modified, waived, or discharged except by a written document signed by a duly authorized Company officer and the Executive. A waiver of any conditions or provisions of this Agreement in a given instance shall not be deemed a waiver of such conditions or provisions at any other time in the future. 3 </w:t>
            </w:r>
          </w:p>
        </w:tc>
      </w:tr>
    </w:tbl>
    <w:tbl>
      <w:tblPr>
        <w:tblW w:w="12920" w:type="dxa"/>
        <w:jc w:val="center"/>
        <w:tblInd w:w="0" w:type="dxa"/>
        <w:tblLayout w:type="fixed"/>
        <w:tblCellMar>
          <w:top w:w="0" w:type="dxa"/>
          <w:left w:w="0" w:type="dxa"/>
          <w:bottom w:w="0" w:type="dxa"/>
          <w:right w:w="0" w:type="dxa"/>
        </w:tblCellMar>
      </w:tblPr>
      <w:tblGrid>
        <w:gridCol w:w="12735"/>
        <w:gridCol w:w="18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 descr=""/>
                          <pic:cNvPicPr>
                            <a:picLocks noChangeAspect="1" noChangeArrowheads="1"/>
                          </pic:cNvPicPr>
                        </pic:nvPicPr>
                        <pic:blipFill>
                          <a:blip r:embed="rId30"/>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Choice of Law and Venue. The validity, interpretation, construction, and performance of this Agreement shall be governed by the laws of the State of Georgia ( excluding any that mandate the use of another jurisdiction's laws). Any action to enforce or for breach of this Agreement shall be brought exclusively in the state or federal courts of the County of Chatham, City of Savannah. 5. Successors. This Agreement shall be binding upon, and shall inure to the benefit of, the Executive and Executive's estate, but the Executive may not 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 6. Counterparts. This Agreement may be executed in one or more counterparts, each of which shall be deemed to be an original but all of which together shall constirute the same instrument. 7. Entire Agreement. This Agreement and the Confidentiality Agreement between the parties constitute the entire agreement between the parties and 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Agreeme11t shall be held to be a waiver of any other or subsequent breach. All remedies are cumulative, including the right of either party to seek equitable relief in addition to money damages. 8. Employment At-Will Relationship. Executive and the Company agree that nothing in this Agreement alters the at-will nature of Executive's employment relationship with the Company. 9. Internal Revenue Code Section 409A. Notwithstanding anything in this Agreement to the contrary, to the extent that any amount or benefit that would constitute non-exempt "deferred compensation" for purposes of Section 409A of the Internal Revenue Code ("Section 409A")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of"separation from service" in Section 409A of the Code and applicable regulations (without giving effect to any elective provisions that may be available under such definition). For purposes of Section 409A, each installment payable under Section l{a) and l(b) of this Agreement shall be deemed to be a separate payment. 4 </w:t>
            </w:r>
          </w:p>
        </w:tc>
      </w:tr>
    </w:tbl>
    <w:tbl>
      <w:tblPr>
        <w:tblW w:w="12860" w:type="dxa"/>
        <w:jc w:val="center"/>
        <w:tblInd w:w="0" w:type="dxa"/>
        <w:tblLayout w:type="fixed"/>
        <w:tblCellMar>
          <w:top w:w="0" w:type="dxa"/>
          <w:left w:w="0" w:type="dxa"/>
          <w:bottom w:w="0" w:type="dxa"/>
          <w:right w:w="0" w:type="dxa"/>
        </w:tblCellMar>
      </w:tblPr>
      <w:tblGrid>
        <w:gridCol w:w="12735"/>
        <w:gridCol w:w="125"/>
      </w:tblGrid>
      <w:tr>
        <w:trPr/>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 descr=""/>
                          <pic:cNvPicPr>
                            <a:picLocks noChangeAspect="1" noChangeArrowheads="1"/>
                          </pic:cNvPicPr>
                        </pic:nvPicPr>
                        <pic:blipFill>
                          <a:blip r:embed="rId31"/>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IN WITNESS WHEREOF, the parties hereto have set their hands as of the day and year set forth below. CITI TRENDS, INC. By Name: : Bruce • D. ~M/4 Smith 1). ~ Title: Chief Executive Officer Dated: ) \ ~ j ~ I{ XI%.- ,-- Employee Name l&lt;yfc:. l&lt;oe."'•j Dated: 3- 211- I 'i 5 </w:t>
            </w:r>
          </w:p>
        </w:tc>
      </w:tr>
    </w:tbl>
    <w:p>
      <w:pPr>
        <w:pStyle w:val="TextBody"/>
        <w:bidi w:val="0"/>
        <w:spacing w:before="0" w:after="240"/>
        <w:ind w:left="0" w:right="0" w:hanging="0"/>
        <w:jc w:val="center"/>
        <w:rPr>
          <w:rFonts w:ascii="Times New Roman;Times;serif" w:hAnsi="Times New Roman;Times;serif"/>
          <w:b/>
          <w:caps/>
          <w:sz w:val="24"/>
        </w:rPr>
      </w:pPr>
      <w:bookmarkStart w:id="904" w:name="ctrn-20240803xex10d5.htm"/>
      <w:bookmarkStart w:id="905" w:name="ksctrn20240803xex10d5"/>
      <w:bookmarkEnd w:id="904"/>
      <w:bookmarkEnd w:id="905"/>
      <w:r>
        <w:rPr>
          <w:rFonts w:ascii="Times New Roman;Times;serif" w:hAnsi="Times New Roman;Times;serif"/>
          <w:b/>
          <w:caps/>
          <w:sz w:val="24"/>
        </w:rPr>
        <w:t>EMPLOYMENT NON-COMPETE, NON-SOLICIT AND CONFIDENTIALITY AGREEMENT</w:t>
      </w:r>
      <w:r>
        <w:br w:type="page"/>
      </w:r>
    </w:p>
    <w:p>
      <w:pPr>
        <w:pStyle w:val="TextBody"/>
        <w:bidi w:val="0"/>
        <w:spacing w:before="0" w:after="240"/>
        <w:ind w:left="0" w:right="0" w:hanging="0"/>
        <w:jc w:val="both"/>
        <w:rPr>
          <w:rFonts w:ascii="Times New Roman;Times;serif" w:hAnsi="Times New Roman;Times;serif"/>
          <w:b/>
          <w:caps/>
          <w:sz w:val="32"/>
        </w:rPr>
      </w:pPr>
      <w:r>
        <w:rPr>
          <w:rFonts w:ascii="Times New Roman;Times;serif" w:hAnsi="Times New Roman;Times;serif"/>
          <w:b w:val="false"/>
          <w:caps/>
          <w:sz w:val="24"/>
        </w:rPr>
        <w:t>This Employment Non-Compete, Non-Solicit and Confidentiality Agreement</w:t>
      </w:r>
      <w:r>
        <w:rPr>
          <w:rFonts w:ascii="Times New Roman;Times;serif" w:hAnsi="Times New Roman;Times;serif"/>
          <w:b/>
          <w:caps/>
          <w:sz w:val="32"/>
        </w:rPr>
        <w:t xml:space="preserve"> </w:t>
      </w:r>
      <w:r>
        <w:rPr>
          <w:rFonts w:ascii="Times New Roman;Times;serif" w:hAnsi="Times New Roman;Times;serif"/>
          <w:b w:val="false"/>
          <w:caps/>
          <w:sz w:val="24"/>
        </w:rPr>
        <w:t>(“</w:t>
      </w:r>
      <w:r>
        <w:rPr>
          <w:rFonts w:ascii="Times New Roman;Times;serif" w:hAnsi="Times New Roman;Times;serif"/>
          <w:b w:val="false"/>
          <w:caps/>
          <w:sz w:val="24"/>
          <w:u w:val="single"/>
        </w:rPr>
        <w:t>Agreement</w:t>
      </w:r>
      <w:r>
        <w:rPr>
          <w:rFonts w:ascii="Times New Roman;Times;serif" w:hAnsi="Times New Roman;Times;serif"/>
          <w:b/>
          <w:caps/>
          <w:sz w:val="32"/>
        </w:rPr>
        <w:t>”</w:t>
      </w:r>
      <w:r>
        <w:rPr>
          <w:rFonts w:ascii="Times New Roman;Times;serif" w:hAnsi="Times New Roman;Times;serif"/>
          <w:b w:val="false"/>
          <w:caps/>
          <w:sz w:val="24"/>
        </w:rPr>
        <w:t>)</w:t>
      </w:r>
      <w:r>
        <w:rPr>
          <w:rFonts w:ascii="Times New Roman;Times;serif" w:hAnsi="Times New Roman;Times;serif"/>
          <w:b/>
          <w:caps/>
          <w:sz w:val="32"/>
        </w:rPr>
        <w:t xml:space="preserve"> </w:t>
      </w:r>
      <w:r>
        <w:rPr>
          <w:rFonts w:ascii="Times New Roman;Times;serif" w:hAnsi="Times New Roman;Times;serif"/>
          <w:b w:val="false"/>
          <w:caps/>
          <w:sz w:val="24"/>
        </w:rPr>
        <w:t>is entered into between Citi Trends, Inc., including its subsidiaries, affiliates, divisions, successors, and related entities</w:t>
      </w:r>
      <w:r>
        <w:rPr>
          <w:rFonts w:ascii="Times New Roman;Times;serif" w:hAnsi="Times New Roman;Times;serif"/>
          <w:b/>
          <w:caps/>
          <w:sz w:val="32"/>
        </w:rPr>
        <w:t xml:space="preserve"> </w:t>
      </w:r>
      <w:r>
        <w:rPr>
          <w:rFonts w:ascii="Times New Roman;Times;serif" w:hAnsi="Times New Roman;Times;serif"/>
          <w:b w:val="false"/>
          <w:caps/>
          <w:sz w:val="24"/>
        </w:rPr>
        <w:t>(“</w:t>
      </w:r>
      <w:r>
        <w:rPr>
          <w:rFonts w:ascii="Times New Roman;Times;serif" w:hAnsi="Times New Roman;Times;serif"/>
          <w:b w:val="false"/>
          <w:caps/>
          <w:sz w:val="24"/>
          <w:u w:val="single"/>
        </w:rPr>
        <w:t>Company</w:t>
      </w:r>
      <w:r>
        <w:rPr>
          <w:rFonts w:ascii="Times New Roman;Times;serif" w:hAnsi="Times New Roman;Times;serif"/>
          <w:b/>
          <w:caps/>
          <w:sz w:val="32"/>
        </w:rPr>
        <w:t>”</w:t>
      </w:r>
      <w:r>
        <w:rPr>
          <w:rFonts w:ascii="Times New Roman;Times;serif" w:hAnsi="Times New Roman;Times;serif"/>
          <w:b w:val="false"/>
          <w:caps/>
          <w:sz w:val="24"/>
        </w:rPr>
        <w:t xml:space="preserve">), and </w:t>
      </w:r>
      <w:r>
        <w:rPr>
          <w:rFonts w:ascii="Times New Roman;Times;serif" w:hAnsi="Times New Roman;Times;serif"/>
          <w:b/>
          <w:caps/>
          <w:sz w:val="24"/>
        </w:rPr>
        <w:t>Katrina George</w:t>
      </w:r>
      <w:r>
        <w:rPr>
          <w:rFonts w:ascii="Times New Roman;Times;serif" w:hAnsi="Times New Roman;Times;serif"/>
          <w:b/>
          <w:caps/>
          <w:sz w:val="32"/>
        </w:rPr>
        <w:t xml:space="preserve"> </w:t>
      </w:r>
      <w:r>
        <w:rPr>
          <w:rFonts w:ascii="Times New Roman;Times;serif" w:hAnsi="Times New Roman;Times;serif"/>
          <w:b w:val="false"/>
          <w:caps/>
          <w:sz w:val="24"/>
        </w:rPr>
        <w:t>(“</w:t>
      </w:r>
      <w:r>
        <w:rPr>
          <w:rFonts w:ascii="Times New Roman;Times;serif" w:hAnsi="Times New Roman;Times;serif"/>
          <w:b w:val="false"/>
          <w:caps/>
          <w:sz w:val="24"/>
          <w:u w:val="single"/>
        </w:rPr>
        <w:t>Employee</w:t>
      </w:r>
      <w:r>
        <w:rPr>
          <w:rFonts w:ascii="Times New Roman;Times;serif" w:hAnsi="Times New Roman;Times;serif"/>
          <w:b/>
          <w:caps/>
          <w:sz w:val="32"/>
        </w:rPr>
        <w:t>”</w:t>
      </w:r>
      <w:r>
        <w:rPr>
          <w:rFonts w:ascii="Times New Roman;Times;serif" w:hAnsi="Times New Roman;Times;serif"/>
          <w:b w:val="false"/>
          <w:caps/>
          <w:sz w:val="24"/>
        </w:rPr>
        <w:t>), effective as of the date signed by Employee below.</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Employment; Scope of Services</w:t>
      </w:r>
      <w:r>
        <w:rPr>
          <w:rFonts w:ascii="Times New Roman;Times;serif" w:hAnsi="Times New Roman;Times;serif"/>
          <w:sz w:val="24"/>
        </w:rPr>
        <w:t>.  Company shall employ and/or continue to employ Employee, and Employee shall be employed and/or continue to be employed by Company, as Vice President, Human Resources.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At-Will Employment</w:t>
      </w:r>
      <w:r>
        <w:rPr>
          <w:rFonts w:ascii="Times New Roman;Times;serif" w:hAnsi="Times New Roman;Times;serif"/>
          <w:sz w:val="24"/>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Times New Roman;Times;serif" w:hAnsi="Times New Roman;Times;serif"/>
          <w:b/>
          <w:sz w:val="24"/>
        </w:rPr>
        <w:t>Separation Date</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Confidentiality</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(a)Employee acknowledges and agrees that: (1) the retail sale of value-priced/off-price family apparel is an extremely competitive industry; (2) Company has an ongoing strategy for expansion of its business in the United States; (3) Company’s major competitors operate throughout the United States and some internationally; and (4) because of Employee’s position as Vice President, Human Resources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(b)As used herein, “</w:t>
      </w:r>
      <w:r>
        <w:rPr>
          <w:rFonts w:ascii="Times New Roman;Times;serif" w:hAnsi="Times New Roman;Times;serif"/>
          <w:b/>
          <w:sz w:val="24"/>
        </w:rPr>
        <w:t>Confidential Information</w:t>
      </w:r>
      <w:r>
        <w:rPr>
          <w:rFonts w:ascii="Times New Roman;Times;serif" w:hAnsi="Times New Roman;Times;serif"/>
          <w:sz w:val="24"/>
        </w:rPr>
        <w:t xml:space="preserve">” means and includes any and all Company data and information in any form whatsoever (tangible or intangible) which: (1) relates to the business of Company, irrespective of whether the data or information constitutes a “trade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1</w:t>
      </w:r>
      <w:r>
        <w:rPr>
          <w:rFonts w:ascii="Times New Roman;Times;serif" w:hAnsi="Times New Roman;Times;serif"/>
          <w:b w:val="false"/>
          <w:i w:val="false"/>
          <w:caps w:val="false"/>
          <w:smallCaps w:val="false"/>
          <w:sz w:val="24"/>
          <w:shd w:fill="FFFFFF" w:val="clear"/>
        </w:rPr>
        <w:t>Initials ______</w:t>
      </w:r>
      <w:r>
        <mc:AlternateContent>
          <mc:Choice Requires="wps">
            <w:drawing>
              <wp:anchor behindDoc="0" distT="0" distB="0" distL="0" distR="0" simplePos="0" locked="0" layoutInCell="1" allowOverlap="1" relativeHeight="140">
                <wp:simplePos x="0" y="0"/>
                <wp:positionH relativeFrom="page">
                  <wp:posOffset>0</wp:posOffset>
                </wp:positionH>
                <wp:positionV relativeFrom="line">
                  <wp:posOffset>635</wp:posOffset>
                </wp:positionV>
                <wp:extent cx="6480175" cy="175260"/>
                <wp:effectExtent l="0" t="0" r="0" b="0"/>
                <wp:wrapNone/>
                <wp:docPr id="13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Times New Roman;Times;serif" w:hAnsi="Times New Roman;Times;serif"/>
          <w:b/>
          <w:sz w:val="24"/>
        </w:rPr>
        <w:t>Trade Secret</w:t>
      </w:r>
      <w:r>
        <w:rPr>
          <w:rFonts w:ascii="Times New Roman;Times;serif" w:hAnsi="Times New Roman;Times;serif"/>
          <w:sz w:val="24"/>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2</w:t>
      </w:r>
      <w:r>
        <w:rPr>
          <w:rFonts w:ascii="Times New Roman;Times;serif" w:hAnsi="Times New Roman;Times;serif"/>
          <w:b w:val="false"/>
          <w:i w:val="false"/>
          <w:caps w:val="false"/>
          <w:smallCaps w:val="false"/>
          <w:sz w:val="24"/>
          <w:shd w:fill="FFFFFF" w:val="clear"/>
        </w:rPr>
        <w:t>Initials ______</w:t>
      </w:r>
      <w:r>
        <mc:AlternateContent>
          <mc:Choice Requires="wps">
            <w:drawing>
              <wp:anchor behindDoc="0" distT="0" distB="0" distL="0" distR="0" simplePos="0" locked="0" layoutInCell="1" allowOverlap="1" relativeHeight="141">
                <wp:simplePos x="0" y="0"/>
                <wp:positionH relativeFrom="page">
                  <wp:posOffset>0</wp:posOffset>
                </wp:positionH>
                <wp:positionV relativeFrom="line">
                  <wp:posOffset>635</wp:posOffset>
                </wp:positionV>
                <wp:extent cx="6480175" cy="175260"/>
                <wp:effectExtent l="0" t="0" r="0" b="0"/>
                <wp:wrapNone/>
                <wp:docPr id="13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proceeding if Employee (A) files any document containing the trade secret under seal; and (B) does not disclose the trade secret, except as permitted by court order.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Covenant Not to Compete</w:t>
      </w:r>
      <w:r>
        <w:rPr>
          <w:rFonts w:ascii="Times New Roman;Times;serif" w:hAnsi="Times New Roman;Times;serif"/>
          <w:sz w:val="24"/>
        </w:rPr>
        <w:t xml:space="preserve">.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light of the foregoing, Employee agrees that he/she will not, at any point during his/her employment with Company, work for or engage or participate in any business, enterprise, or endeavor that in any way competes with any aspect of Company’s business or that otherwise conflicts with Company’s interests.  In addition, for a period of one (1) year following the Separation Date, and regardless of the reason for separation, Employee shall not, within any geographic area in which Company does business at any time during Employee’s employment with Company: (a) become employed by or work for a “Competitor” (as defined below) in any position or capacity involving duties and/or responsibilities which are the same as or substantially similar to any of the duties and/or responsibilities Employee had with and/or performed for Company; or (b) perform or provide any services which are the same as or substantially similar to any of the services which Employee performed or provided for the Company, for or on behalf of any Competitor.  For purposes of this Section 4, the term “</w:t>
      </w:r>
      <w:r>
        <w:rPr>
          <w:rFonts w:ascii="Times New Roman;Times;serif" w:hAnsi="Times New Roman;Times;serif"/>
          <w:b/>
          <w:sz w:val="24"/>
        </w:rPr>
        <w:t>Competitor</w:t>
      </w:r>
      <w:r>
        <w:rPr>
          <w:rFonts w:ascii="Times New Roman;Times;serif" w:hAnsi="Times New Roman;Times;serif"/>
          <w:sz w:val="24"/>
        </w:rPr>
        <w:t>” shall mean only the following businesses, commonly known as: Cato, TJX (including without limitation TJMAXX and Marshalls), Burlington Stores, Gabe’s/Rugged Wearhouse, and Ross Stores.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Covenant Not to Solicit</w:t>
      </w:r>
      <w:r>
        <w:rPr>
          <w:rFonts w:ascii="Times New Roman;Times;serif" w:hAnsi="Times New Roman;Times;serif"/>
          <w:sz w:val="24"/>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Times New Roman;Times;serif" w:hAnsi="Times New Roman;Times;serif"/>
          <w:b/>
          <w:sz w:val="24"/>
        </w:rPr>
        <w:t>Merchandise Vendors</w:t>
      </w:r>
      <w:r>
        <w:rPr>
          <w:rFonts w:ascii="Times New Roman;Times;serif" w:hAnsi="Times New Roman;Times;serif"/>
          <w:sz w:val="24"/>
        </w:rPr>
        <w:t>” means and 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w:t>
      </w:r>
      <w:r>
        <w:rPr>
          <w:rFonts w:ascii="Times New Roman;Times;serif" w:hAnsi="Times New Roman;Times;serif"/>
          <w:b/>
          <w:sz w:val="24"/>
        </w:rPr>
        <w:t>material contact</w:t>
      </w:r>
      <w:r>
        <w:rPr>
          <w:rFonts w:ascii="Times New Roman;Times;serif" w:hAnsi="Times New Roman;Times;serif"/>
          <w:sz w:val="24"/>
        </w:rPr>
        <w:t xml:space="preserve">” means contact between Employee and an existing or prospective Merchandise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3</w:t>
      </w:r>
      <w:r>
        <w:rPr>
          <w:rFonts w:ascii="Times New Roman;Times;serif" w:hAnsi="Times New Roman;Times;serif"/>
          <w:b w:val="false"/>
          <w:i w:val="false"/>
          <w:caps w:val="false"/>
          <w:smallCaps w:val="false"/>
          <w:sz w:val="24"/>
          <w:shd w:fill="FFFFFF" w:val="clear"/>
        </w:rPr>
        <w:t>Initials ______</w:t>
      </w:r>
      <w:r>
        <mc:AlternateContent>
          <mc:Choice Requires="wps">
            <w:drawing>
              <wp:anchor behindDoc="0" distT="0" distB="0" distL="0" distR="0" simplePos="0" locked="0" layoutInCell="1" allowOverlap="1" relativeHeight="142">
                <wp:simplePos x="0" y="0"/>
                <wp:positionH relativeFrom="page">
                  <wp:posOffset>0</wp:posOffset>
                </wp:positionH>
                <wp:positionV relativeFrom="line">
                  <wp:posOffset>635</wp:posOffset>
                </wp:positionV>
                <wp:extent cx="6480175" cy="175260"/>
                <wp:effectExtent l="0" t="0" r="0" b="0"/>
                <wp:wrapNone/>
                <wp:docPr id="13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Vendor: (a) with whom Employee dealt on behalf of Company within two years prior to the date of Employee’s termination; (b) 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Covenant Not to Recruit Personnel</w:t>
      </w:r>
      <w:r>
        <w:rPr>
          <w:rFonts w:ascii="Times New Roman;Times;serif" w:hAnsi="Times New Roman;Times;serif"/>
          <w:sz w:val="24"/>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Severability</w:t>
      </w:r>
      <w:r>
        <w:rPr>
          <w:rFonts w:ascii="Times New Roman;Times;serif" w:hAnsi="Times New Roman;Times;serif"/>
          <w:sz w:val="24"/>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“blue-pencil,” modify, and/or reform any such covenant (in whole or in part) so as to cure the over-breadth or to otherwise render the covenant enforceable.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Survival of Covenants</w:t>
      </w:r>
      <w:r>
        <w:rPr>
          <w:rFonts w:ascii="Times New Roman;Times;serif" w:hAnsi="Times New Roman;Times;serif"/>
          <w:sz w:val="24"/>
        </w:rPr>
        <w:t>.  All rights and covenants contained in Sections 3, 4, 5, and 6 of this Agreement, and all remedies relating thereto, shall survive the termination of this Agreement for any reason.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sz w:val="24"/>
          <w:u w:val="single"/>
        </w:rPr>
        <w:t>Binding Effect</w:t>
      </w:r>
      <w:r>
        <w:rPr>
          <w:rFonts w:ascii="Times New Roman;Times;serif" w:hAnsi="Times New Roman;Times;serif"/>
          <w:sz w:val="24"/>
        </w:rPr>
        <w:t>.  The covenants, terms, and provisions set forth in this Agreement shall inure to the benefit of and be enforceable by Company and its successors, assigns, and successors-in-interest, including, without limitation, any corporation, partnership, or other entity with which Company may be merged or by which it may be acquired.  Employee may not assign Employee’s rights or obligations under this Agreement to any other party.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sz w:val="24"/>
          <w:u w:val="single"/>
        </w:rPr>
        <w:t>Governing Law</w:t>
      </w:r>
      <w:r>
        <w:rPr>
          <w:rFonts w:ascii="Times New Roman;Times;serif" w:hAnsi="Times New Roman;Times;serif"/>
          <w:sz w:val="24"/>
        </w:rPr>
        <w:t>.  All matters affecting this Agreement, including the validity thereof, are to be subject to, and interpreted and construed in accordance with, the laws of the State of Georgia applicable to contracts executed in and to be performed in that State.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No Interference with Rights</w:t>
      </w:r>
      <w:r>
        <w:rPr>
          <w:rFonts w:ascii="Times New Roman;Times;serif" w:hAnsi="Times New Roman;Times;serif"/>
          <w:sz w:val="24"/>
        </w:rPr>
        <w:t xml:space="preserve">.  Employee understands, agrees and acknowledges that nothing contained in this Agreement will prevent Employee from filing a charge or complaint with, reporting possible violations of any law or regulation, making disclosures to, and/or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4</w:t>
      </w:r>
      <w:r>
        <w:rPr>
          <w:rFonts w:ascii="Times New Roman;Times;serif" w:hAnsi="Times New Roman;Times;serif"/>
          <w:b w:val="false"/>
          <w:i w:val="false"/>
          <w:caps w:val="false"/>
          <w:smallCaps w:val="false"/>
          <w:sz w:val="24"/>
          <w:shd w:fill="FFFFFF" w:val="clear"/>
        </w:rPr>
        <w:t>Initials ______</w:t>
      </w:r>
      <w:r>
        <mc:AlternateContent>
          <mc:Choice Requires="wps">
            <w:drawing>
              <wp:anchor behindDoc="0" distT="0" distB="0" distL="0" distR="0" simplePos="0" locked="0" layoutInCell="1" allowOverlap="1" relativeHeight="143">
                <wp:simplePos x="0" y="0"/>
                <wp:positionH relativeFrom="page">
                  <wp:posOffset>0</wp:posOffset>
                </wp:positionH>
                <wp:positionV relativeFrom="line">
                  <wp:posOffset>635</wp:posOffset>
                </wp:positionV>
                <wp:extent cx="6480175" cy="175260"/>
                <wp:effectExtent l="0" t="0" r="0" b="0"/>
                <wp:wrapNone/>
                <wp:docPr id="14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participating in any investigation or proceeding conducted by, the National Labor Relations Board, Equal Employment Opportunity Commission, the Securities and Exchange Commission, and/or any governmental authority charged with the enforcement of any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Acknowledgment of Reasonableness/Remedies/Enforcement</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(c)In the event Employee breaches this Agreement, Employee shall be liable to Company for all costs of enforcement, including attorneys’ fees and court costs, in addition to all other damages and redress available to Company in equity or in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Miscellaneous</w:t>
      </w:r>
      <w:r>
        <w:rPr>
          <w:rFonts w:ascii="Times New Roman;Times;serif" w:hAnsi="Times New Roman;Times;serif"/>
          <w:sz w:val="24"/>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  </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both"/>
        <w:rPr>
          <w:rFonts w:ascii="Times New Roman;Times;serif" w:hAnsi="Times New Roman;Times;serif"/>
          <w:b/>
          <w:sz w:val="24"/>
        </w:rPr>
      </w:pPr>
      <w:bookmarkStart w:id="906" w:name="OLE_LINK1"/>
      <w:bookmarkStart w:id="907" w:name="OLE_LINK2"/>
      <w:bookmarkEnd w:id="906"/>
      <w:bookmarkEnd w:id="907"/>
      <w:r>
        <w:rPr>
          <w:rFonts w:ascii="Times New Roman;Times;serif" w:hAnsi="Times New Roman;Times;serif"/>
          <w:b/>
          <w:sz w:val="24"/>
        </w:rPr>
        <w:t>EMPLOYEE ACKNOWLEDGES AND AGREES THAT HE/SHE HAS CAREFULLY READ THIS AGREEMENT AND KNOWS AND UNDERSTANDS ITS CONTENTS, THAT HE/SHE ENTERS INTO THIS AGREEMENT KNOWINGLY AND VOLUNTARILY, AND THAT HE/SHE INDICATES HIS/HER CONSENT BY SIGNING THIS FINAL PAGE.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5</w:t>
      </w:r>
      <w:r>
        <w:rPr>
          <w:rFonts w:ascii="Times New Roman;Times;serif" w:hAnsi="Times New Roman;Times;serif"/>
          <w:b w:val="false"/>
          <w:i w:val="false"/>
          <w:caps w:val="false"/>
          <w:smallCaps w:val="false"/>
          <w:sz w:val="24"/>
          <w:shd w:fill="FFFFFF" w:val="clear"/>
        </w:rPr>
        <w:t>Initials ______</w:t>
      </w:r>
      <w:r>
        <mc:AlternateContent>
          <mc:Choice Requires="wps">
            <w:drawing>
              <wp:anchor behindDoc="0" distT="0" distB="0" distL="0" distR="0" simplePos="0" locked="0" layoutInCell="1" allowOverlap="1" relativeHeight="144">
                <wp:simplePos x="0" y="0"/>
                <wp:positionH relativeFrom="page">
                  <wp:posOffset>0</wp:posOffset>
                </wp:positionH>
                <wp:positionV relativeFrom="line">
                  <wp:posOffset>635</wp:posOffset>
                </wp:positionV>
                <wp:extent cx="6480175" cy="175260"/>
                <wp:effectExtent l="0" t="0" r="0" b="0"/>
                <wp:wrapNone/>
                <wp:docPr id="14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the parties hereto have executed this Agreement under seal as of the day and year set forth below.</w:t>
      </w:r>
    </w:p>
    <w:p>
      <w:pPr>
        <w:pStyle w:val="TextBody"/>
        <w:bidi w:val="0"/>
        <w:spacing w:before="0" w:after="0"/>
        <w:ind w:left="0" w:right="0" w:hanging="0"/>
        <w:jc w:val="left"/>
        <w:rPr/>
      </w:pPr>
      <w:r>
        <w:rPr/>
        <w:t>​</w:t>
      </w:r>
    </w:p>
    <w:tbl>
      <w:tblPr>
        <w:tblW w:w="7982" w:type="dxa"/>
        <w:jc w:val="left"/>
        <w:tblInd w:w="0" w:type="dxa"/>
        <w:tblLayout w:type="fixed"/>
        <w:tblCellMar>
          <w:top w:w="0" w:type="dxa"/>
          <w:left w:w="0" w:type="dxa"/>
          <w:bottom w:w="0" w:type="dxa"/>
          <w:right w:w="0" w:type="dxa"/>
        </w:tblCellMar>
      </w:tblPr>
      <w:tblGrid>
        <w:gridCol w:w="3271"/>
        <w:gridCol w:w="4711"/>
      </w:tblGrid>
      <w:tr>
        <w:trPr/>
        <w:tc>
          <w:tcPr>
            <w:tcW w:w="327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471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Citi Trends, Inc.</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 xml:space="preserve">/s/ Kenneth Seipel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Kenneth Seipel</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 (Interim)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 xml:space="preserve">September 6, 2024 </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 xml:space="preserve">/s/ Katrina George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Katrina George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(Employee Signature)</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 xml:space="preserve">September 6, 2024 </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Employee Residence Address:</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______________________________________</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______________________________________</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______________________________________</w:t>
            </w:r>
          </w:p>
        </w:tc>
      </w:tr>
    </w:tbl>
    <w:p>
      <w:pPr>
        <w:pStyle w:val="TextBody"/>
        <w:bidi w:val="0"/>
        <w:spacing w:before="0" w:after="0"/>
        <w:ind w:left="0" w:right="0" w:hanging="0"/>
        <w:jc w:val="left"/>
        <w:rPr/>
      </w:pPr>
      <w:r>
        <w:rPr/>
        <w:t>​</w:t>
      </w:r>
    </w:p>
    <w:p>
      <w:pPr>
        <w:pStyle w:val="TextBody"/>
        <w:bidi w:val="0"/>
        <w:spacing w:before="0" w:after="0"/>
        <w:ind w:left="4320" w:right="0" w:hanging="0"/>
        <w:jc w:val="both"/>
        <w:rPr/>
      </w:pPr>
      <w:r>
        <w:rPr/>
        <w:t>​</w:t>
      </w:r>
    </w:p>
    <w:p>
      <w:pPr>
        <w:pStyle w:val="TextBody"/>
        <w:bidi w:val="0"/>
        <w:spacing w:before="0" w:after="0"/>
        <w:ind w:left="4320" w:right="0" w:hanging="0"/>
        <w:jc w:val="both"/>
        <w:rPr/>
      </w:pPr>
      <w:r>
        <w:rPr/>
        <w:t>​</w:t>
      </w:r>
    </w:p>
    <w:p>
      <w:pPr>
        <w:pStyle w:val="TextBody"/>
        <w:bidi w:val="0"/>
        <w:spacing w:before="0" w:after="0"/>
        <w:ind w:left="0" w:right="0" w:hanging="0"/>
        <w:jc w:val="both"/>
        <w:rPr/>
      </w:pPr>
      <w:r>
        <w:rPr/>
        <w:t>​</w:t>
      </w:r>
    </w:p>
    <w:p>
      <w:pPr>
        <w:pStyle w:val="TextBody"/>
        <w:bidi w:val="0"/>
        <w:spacing w:lineRule="atLeast" w:line="200" w:before="0" w:after="0"/>
        <w:ind w:left="0" w:right="0" w:hanging="0"/>
        <w:jc w:val="left"/>
        <w:rPr/>
      </w:pPr>
      <w:r>
        <w:rPr/>
        <w:t>​</w:t>
      </w:r>
    </w:p>
    <w:p>
      <w:pPr>
        <w:pStyle w:val="TextBody"/>
        <w:bidi w:val="0"/>
        <w:jc w:val="left"/>
        <w:rPr/>
      </w:pPr>
      <w:r>
        <w:rPr/>
        <w:drawing>
          <wp:inline distT="0" distB="0" distL="0" distR="0">
            <wp:extent cx="1628775" cy="838200"/>
            <wp:effectExtent l="0" t="0" r="0" b="0"/>
            <wp:docPr id="1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 descr=""/>
                    <pic:cNvPicPr>
                      <a:picLocks noChangeAspect="1" noChangeArrowheads="1"/>
                    </pic:cNvPicPr>
                  </pic:nvPicPr>
                  <pic:blipFill>
                    <a:blip r:embed="rId32"/>
                    <a:stretch>
                      <a:fillRect/>
                    </a:stretch>
                  </pic:blipFill>
                  <pic:spPr bwMode="auto">
                    <a:xfrm>
                      <a:off x="0" y="0"/>
                      <a:ext cx="1628775" cy="83820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t>6</w:t>
      </w:r>
      <w:r>
        <w:rPr>
          <w:rFonts w:ascii="Times New Roman;Times;serif" w:hAnsi="Times New Roman;Times;serif"/>
          <w:b w:val="false"/>
          <w:i w:val="false"/>
          <w:caps w:val="false"/>
          <w:smallCaps w:val="false"/>
          <w:sz w:val="24"/>
          <w:shd w:fill="FFFFFF" w:val="clear"/>
        </w:rPr>
        <w:t>Initials ______</w:t>
      </w:r>
      <w:r>
        <mc:AlternateContent>
          <mc:Choice Requires="wps">
            <w:drawing>
              <wp:anchor behindDoc="0" distT="0" distB="0" distL="0" distR="0" simplePos="0" locked="0" layoutInCell="1" allowOverlap="1" relativeHeight="145">
                <wp:simplePos x="0" y="0"/>
                <wp:positionH relativeFrom="page">
                  <wp:posOffset>0</wp:posOffset>
                </wp:positionH>
                <wp:positionV relativeFrom="line">
                  <wp:posOffset>635</wp:posOffset>
                </wp:positionV>
                <wp:extent cx="6480175" cy="175260"/>
                <wp:effectExtent l="0" t="0" r="0" b="0"/>
                <wp:wrapNone/>
                <wp:docPr id="14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bookmarkStart w:id="908" w:name="ctrn-20240803xex10d6.htm"/>
      <w:bookmarkStart w:id="909" w:name="ksctrn20240803xex10d6"/>
      <w:bookmarkEnd w:id="908"/>
      <w:bookmarkEnd w:id="909"/>
      <w:r>
        <w:rPr>
          <w:rFonts w:ascii="Times New Roman;Times;serif" w:hAnsi="Times New Roman;Times;serif"/>
          <w:b/>
          <w:sz w:val="24"/>
        </w:rPr>
        <w:t>SEVERANCE AGREEMENT</w:t>
      </w:r>
      <w:r>
        <w:br w:type="page"/>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SEVERANCE AGREEMENT (“</w:t>
      </w:r>
      <w:r>
        <w:rPr>
          <w:rFonts w:ascii="Times New Roman;Times;serif" w:hAnsi="Times New Roman;Times;serif"/>
          <w:sz w:val="24"/>
          <w:u w:val="single"/>
        </w:rPr>
        <w:t>Agreement</w:t>
      </w:r>
      <w:r>
        <w:rPr>
          <w:rFonts w:ascii="Times New Roman;Times;serif" w:hAnsi="Times New Roman;Times;serif"/>
          <w:sz w:val="24"/>
        </w:rPr>
        <w:t>”) is entered into between Citi Trends, Inc., a Delaware corporation, including its subsidiaries, affiliates, divisions, successors, and related entities (the “</w:t>
      </w:r>
      <w:r>
        <w:rPr>
          <w:rFonts w:ascii="Times New Roman;Times;serif" w:hAnsi="Times New Roman;Times;serif"/>
          <w:sz w:val="24"/>
          <w:u w:val="single"/>
        </w:rPr>
        <w:t>Company</w:t>
      </w:r>
      <w:r>
        <w:rPr>
          <w:rFonts w:ascii="Times New Roman;Times;serif" w:hAnsi="Times New Roman;Times;serif"/>
          <w:sz w:val="24"/>
        </w:rPr>
        <w:t xml:space="preserve">”), and </w:t>
      </w:r>
      <w:r>
        <w:rPr>
          <w:rFonts w:ascii="Times New Roman;Times;serif" w:hAnsi="Times New Roman;Times;serif"/>
          <w:b/>
          <w:sz w:val="24"/>
        </w:rPr>
        <w:t>Katrina George</w:t>
      </w:r>
      <w:r>
        <w:rPr>
          <w:rFonts w:ascii="Times New Roman;Times;serif" w:hAnsi="Times New Roman;Times;serif"/>
          <w:sz w:val="24"/>
        </w:rPr>
        <w:t>, an individual (the “</w:t>
      </w:r>
      <w:r>
        <w:rPr>
          <w:rFonts w:ascii="Times New Roman;Times;serif" w:hAnsi="Times New Roman;Times;serif"/>
          <w:sz w:val="24"/>
          <w:u w:val="single"/>
        </w:rPr>
        <w:t>Executive</w:t>
      </w:r>
      <w:r>
        <w:rPr>
          <w:rFonts w:ascii="Times New Roman;Times;serif" w:hAnsi="Times New Roman;Times;serif"/>
          <w:sz w:val="24"/>
        </w:rPr>
        <w:t>”), effective as of the date signed by Executive below.</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Company and the Executive are also parties to an Employment Non-Compete, Non-Solicit and Confidentiality Agreement (the “</w:t>
      </w:r>
      <w:r>
        <w:rPr>
          <w:rFonts w:ascii="Times New Roman;Times;serif" w:hAnsi="Times New Roman;Times;serif"/>
          <w:sz w:val="24"/>
          <w:u w:val="single"/>
        </w:rPr>
        <w:t>Confidentiality Agreement</w:t>
      </w:r>
      <w:r>
        <w:rPr>
          <w:rFonts w:ascii="Times New Roman;Times;serif" w:hAnsi="Times New Roman;Times;serif"/>
          <w:sz w:val="24"/>
        </w:rPr>
        <w:t>”) and certain restricted stock award and stock option agreements (collectively, the “</w:t>
      </w:r>
      <w:r>
        <w:rPr>
          <w:rFonts w:ascii="Times New Roman;Times;serif" w:hAnsi="Times New Roman;Times;serif"/>
          <w:sz w:val="24"/>
          <w:u w:val="single"/>
        </w:rPr>
        <w:t>Equity Agreements</w:t>
      </w:r>
      <w:r>
        <w:rPr>
          <w:rFonts w:ascii="Times New Roman;Times;serif" w:hAnsi="Times New Roman;Times;serif"/>
          <w:sz w:val="24"/>
        </w:rPr>
        <w:t>”), which are to remain in full force and effect;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agreements set forth herein, the parties agree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b/>
          <w:sz w:val="24"/>
        </w:rPr>
        <w:t>Termination Payments and Benefits.</w:t>
      </w:r>
      <w:r>
        <w:rPr>
          <w:rFonts w:ascii="Times New Roman;Times;serif" w:hAnsi="Times New Roman;Times;serif"/>
          <w:sz w:val="24"/>
        </w:rPr>
        <w:t xml:space="preserve">  Regardless of the circumstances of the Executive’s termination, Executive shall be entitled to payment when 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six (6) months base salary at Executive’s base salary rate at the time of Executive’s termination or if greater, the Executive’s base rate in effect on the Change of Control Date; to be paid in thirteen (13) regular bi-weekly pay periods beginning on the first pay period occurring after the thirtieth (30</w:t>
      </w:r>
      <w:r>
        <w:rPr>
          <w:rFonts w:ascii="Times New Roman;Times;serif" w:hAnsi="Times New Roman;Times;serif"/>
          <w:sz w:val="18"/>
        </w:rPr>
        <w:t>th</w:t>
      </w:r>
      <w:r>
        <w:rPr>
          <w:rFonts w:ascii="Times New Roman;Times;serif" w:hAnsi="Times New Roman;Times;serif"/>
          <w:sz w:val="24"/>
        </w:rPr>
        <w:t>) day following the Executive’s termination, provided the Executive executes and does not subsequently revoke the Separation and General Release Agreement referenced below within such sixty (60) day period.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(b)For a period of six (6)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thirty (30) day period.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(c)For purposes of this Agreement, “</w:t>
      </w:r>
      <w:r>
        <w:rPr>
          <w:rFonts w:ascii="Times New Roman;Times;serif" w:hAnsi="Times New Roman;Times;serif"/>
          <w:sz w:val="24"/>
          <w:u w:val="single"/>
        </w:rPr>
        <w:t>Change in Control</w:t>
      </w:r>
      <w:r>
        <w:rPr>
          <w:rFonts w:ascii="Times New Roman;Times;serif" w:hAnsi="Times New Roman;Times;serif"/>
          <w:sz w:val="24"/>
        </w:rPr>
        <w:t>” shall mean the occurrence of any one of the following events:</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LEGAL02/31206884v2 Initials _______</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(i)the acquisition by any individual, entity or group (within the meaning of Section 13(d)(3) or 14(d)(2) of the Securities Exchange Act of 1934, as amended (the “</w:t>
      </w:r>
      <w:r>
        <w:rPr>
          <w:rFonts w:ascii="Times New Roman;Times;serif" w:hAnsi="Times New Roman;Times;serif"/>
          <w:sz w:val="24"/>
          <w:u w:val="single"/>
        </w:rPr>
        <w:t>1934 Act</w:t>
      </w:r>
      <w:r>
        <w:rPr>
          <w:rFonts w:ascii="Times New Roman;Times;serif" w:hAnsi="Times New Roman;Times;serif"/>
          <w:sz w:val="24"/>
        </w:rPr>
        <w:t>”)) (a “</w:t>
      </w:r>
      <w:r>
        <w:rPr>
          <w:rFonts w:ascii="Times New Roman;Times;serif" w:hAnsi="Times New Roman;Times;serif"/>
          <w:sz w:val="24"/>
          <w:u w:val="single"/>
        </w:rPr>
        <w:t>Person</w:t>
      </w:r>
      <w:r>
        <w:rPr>
          <w:rFonts w:ascii="Times New Roman;Times;serif" w:hAnsi="Times New Roman;Times;serif"/>
          <w:sz w:val="24"/>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Times New Roman;Times;serif" w:hAnsi="Times New Roman;Times;serif"/>
          <w:sz w:val="24"/>
          <w:u w:val="single"/>
        </w:rPr>
        <w:t>Outstanding Company Voting Securities</w:t>
      </w:r>
      <w:r>
        <w:rPr>
          <w:rFonts w:ascii="Times New Roman;Times;serif" w:hAnsi="Times New Roman;Times;serif"/>
          <w:sz w:val="24"/>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(ii)individuals who, as of the date of this Agreement, constitute the Board of Directors of the Company (the “</w:t>
      </w:r>
      <w:r>
        <w:rPr>
          <w:rFonts w:ascii="Times New Roman;Times;serif" w:hAnsi="Times New Roman;Times;serif"/>
          <w:sz w:val="24"/>
          <w:u w:val="single"/>
        </w:rPr>
        <w:t>Incumbent Board</w:t>
      </w:r>
      <w:r>
        <w:rPr>
          <w:rFonts w:ascii="Times New Roman;Times;serif" w:hAnsi="Times New Roman;Times;serif"/>
          <w:sz w:val="24"/>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(iii)consummation of a reorganization, merger, consolidation or share exchange or sale or other disposition of all or substantially all of the assets of the Company (a “</w:t>
      </w:r>
      <w:r>
        <w:rPr>
          <w:rFonts w:ascii="Times New Roman;Times;serif" w:hAnsi="Times New Roman;Times;serif"/>
          <w:sz w:val="24"/>
          <w:u w:val="single"/>
        </w:rPr>
        <w:t>Business Combination</w:t>
      </w:r>
      <w:r>
        <w:rPr>
          <w:rFonts w:ascii="Times New Roman;Times;serif" w:hAnsi="Times New Roman;Times;serif"/>
          <w:sz w:val="24"/>
        </w:rPr>
        <w:t xml:space="preserve">”),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(iv)approval by the shareholders of the Company of a complete liquidation or dissolution of the Company.</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2Initials _______</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(d)The separation payments and benefits described in Sections 1(a) and 1(b), above, are conditioned upon Executive executing a Separation and General Release Agreement at the time of termination, which releases and waives any and all claims against the Company and its affiliated persons and companies, and is acceptable to the Company.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(e)In all other circumstances of separation, including if the Executive resigns, retires or is terminated for Cause, the Executive shall not be entitled to receive any separation payments or benefits.  For purposes of this Agreement, “</w:t>
      </w:r>
      <w:r>
        <w:rPr>
          <w:rFonts w:ascii="Times New Roman;Times;serif" w:hAnsi="Times New Roman;Times;serif"/>
          <w:sz w:val="24"/>
          <w:u w:val="single"/>
        </w:rPr>
        <w:t>Cause</w:t>
      </w:r>
      <w:r>
        <w:rPr>
          <w:rFonts w:ascii="Times New Roman;Times;serif" w:hAnsi="Times New Roman;Times;serif"/>
          <w:sz w:val="24"/>
        </w:rPr>
        <w:t>” shall mean the Executive’s: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(i)commission of an act of fraud or dishonesty, the purpose or effect of which, in the CEO and/or Board’s sole determination, adversely affects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(ii)conviction of a felony or a crime involving embezzlement, conversion of property or moral turpitude (whether by plea of nolo contendere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(iii)engaging in willful or reckless misconduct or gross negligence in connection with any property or activity of the Company, the purpose or effect of which, in the CEO and/or Board’s sole determination, adversely affects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(iv)material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(v)failure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b/>
          <w:sz w:val="24"/>
        </w:rPr>
        <w:t>Notice.</w:t>
      </w:r>
      <w:r>
        <w:rPr>
          <w:rFonts w:ascii="Times New Roman;Times;serif" w:hAnsi="Times New Roman;Times;serif"/>
          <w:sz w:val="24"/>
        </w:rPr>
        <w:t xml:space="preserve">  The Executive will send all communications to the Company in writing, to: Executive Vice President of Human Resources, Citi Trends, Inc., 104 Coleman Blvd., Savannah, Georgia 31408, Fax: (912) 443-3663.  All communications from the Company to the Executive relating to this Agreement shall be sent to the Executive in writing at his office and home address as reflected in the Company’s records.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b/>
          <w:sz w:val="24"/>
        </w:rPr>
        <w:t>Amendment.</w:t>
      </w:r>
      <w:r>
        <w:rPr>
          <w:rFonts w:ascii="Times New Roman;Times;serif" w:hAnsi="Times New Roman;Times;serif"/>
          <w:sz w:val="24"/>
        </w:rPr>
        <w:t xml:space="preserve">  No provisions of this Agreement may be modified, waived, or discharged except by a written document signed by a duly authorized Company officer and the Executive.  A waiver of any conditions or provisions of this Agreement in a given instance shall not be deemed a waiver of such conditions or provisions at any other time in the future.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b/>
          <w:sz w:val="24"/>
        </w:rPr>
        <w:t>Choice of Law and Venue.</w:t>
      </w:r>
      <w:r>
        <w:rPr>
          <w:rFonts w:ascii="Times New Roman;Times;serif" w:hAnsi="Times New Roman;Times;serif"/>
          <w:sz w:val="24"/>
        </w:rPr>
        <w:t xml:space="preserve">  The validity, interpretation, construction, and performance of this Agreement shall be governed by the laws of the State of Georgia (excluding any that mandate the use of another jurisdiction’s laws).  Any action to enforce or for breach of this Agreement shall be brought exclusively in the state or federal courts of the County of Chatham, City of Savannah.</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3Initials _______</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b/>
          <w:sz w:val="24"/>
        </w:rPr>
        <w:t>Successors</w:t>
      </w:r>
      <w:r>
        <w:rPr>
          <w:rFonts w:ascii="Times New Roman;Times;serif" w:hAnsi="Times New Roman;Times;serif"/>
          <w:b/>
          <w:caps/>
          <w:sz w:val="24"/>
        </w:rPr>
        <w:t>.</w:t>
      </w:r>
      <w:r>
        <w:rPr>
          <w:rFonts w:ascii="Times New Roman;Times;serif" w:hAnsi="Times New Roman;Times;serif"/>
          <w:sz w:val="24"/>
        </w:rPr>
        <w:t xml:space="preserve">  This Agreement shall be binding upon, and shall inure to the benefit of, the Executive and Executive’s estate, but the Executive may not 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b/>
          <w:sz w:val="24"/>
        </w:rPr>
        <w:t>Counterparts.</w:t>
      </w:r>
      <w:r>
        <w:rPr>
          <w:rFonts w:ascii="Times New Roman;Times;serif" w:hAnsi="Times New Roman;Times;serif"/>
          <w:sz w:val="24"/>
        </w:rPr>
        <w:t xml:space="preserve">  This Agreement may be executed in one or more counterparts, each of which shall be deemed to be an original but all of which together shall constitute the same instrument.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b/>
          <w:sz w:val="24"/>
        </w:rPr>
        <w:t>Entire Agreement.</w:t>
      </w:r>
      <w:r>
        <w:rPr>
          <w:rFonts w:ascii="Times New Roman;Times;serif" w:hAnsi="Times New Roman;Times;serif"/>
          <w:sz w:val="24"/>
        </w:rPr>
        <w:t xml:space="preserve">  This Agreement and the Confidentiality Agreement between the parties constitute the entire agreement between the parties and 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b/>
          <w:sz w:val="24"/>
        </w:rPr>
        <w:t>Employment At-Will Relationship.  </w:t>
      </w:r>
      <w:r>
        <w:rPr>
          <w:rFonts w:ascii="Times New Roman;Times;serif" w:hAnsi="Times New Roman;Times;serif"/>
          <w:sz w:val="24"/>
        </w:rPr>
        <w:t>Executive and the Company agree that nothing in this Agreement alters the at-will nature of Executive’s employment relationship with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b/>
          <w:sz w:val="24"/>
        </w:rPr>
        <w:t>Internal Revenue Code Section 409A.</w:t>
      </w:r>
      <w:r>
        <w:rPr>
          <w:rFonts w:ascii="Times New Roman;Times;serif" w:hAnsi="Times New Roman;Times;serif"/>
          <w:sz w:val="24"/>
        </w:rPr>
        <w:t xml:space="preserve"> Notwithstanding anything in this Agreement to the contrary, to the extent that any amount or benefit that would constitute non-exempt “deferred compensation” for purposes of Section 409A of the Internal Revenue Code (“</w:t>
      </w:r>
      <w:r>
        <w:rPr>
          <w:rFonts w:ascii="Times New Roman;Times;serif" w:hAnsi="Times New Roman;Times;serif"/>
          <w:sz w:val="24"/>
          <w:u w:val="single"/>
        </w:rPr>
        <w:t>Section 409A</w:t>
      </w:r>
      <w:r>
        <w:rPr>
          <w:rFonts w:ascii="Times New Roman;Times;serif" w:hAnsi="Times New Roman;Times;serif"/>
          <w:sz w:val="24"/>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4Initials _______</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parties hereto have set their hands as of the day and year set forth below.</w:t>
      </w:r>
    </w:p>
    <w:p>
      <w:pPr>
        <w:pStyle w:val="TextBody"/>
        <w:bidi w:val="0"/>
        <w:spacing w:before="0" w:after="240"/>
        <w:ind w:left="0" w:right="0" w:firstLine="720"/>
        <w:jc w:val="both"/>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tbl>
      <w:tblPr>
        <w:tblW w:w="5837" w:type="dxa"/>
        <w:jc w:val="left"/>
        <w:tblInd w:w="0" w:type="dxa"/>
        <w:tblLayout w:type="fixed"/>
        <w:tblCellMar>
          <w:top w:w="0" w:type="dxa"/>
          <w:left w:w="0" w:type="dxa"/>
          <w:bottom w:w="0" w:type="dxa"/>
          <w:right w:w="0" w:type="dxa"/>
        </w:tblCellMar>
      </w:tblPr>
      <w:tblGrid>
        <w:gridCol w:w="3271"/>
        <w:gridCol w:w="2566"/>
      </w:tblGrid>
      <w:tr>
        <w:trPr/>
        <w:tc>
          <w:tcPr>
            <w:tcW w:w="327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56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Citi Trends, Inc.</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By: </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 xml:space="preserve">/s/Kenneth Seipel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Kenneth Seipel</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 (Interim)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 xml:space="preserve">September 6, 2024 </w:t>
            </w:r>
          </w:p>
        </w:tc>
        <w:tc>
          <w:tcPr>
            <w:tcW w:w="256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 xml:space="preserve">/s/ Katrina George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Katrina George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(Employee Signature)</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 xml:space="preserve">September 6, 2024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jc w:val="left"/>
        <w:rPr/>
      </w:pPr>
      <w:r>
        <w:rPr/>
        <w:drawing>
          <wp:inline distT="0" distB="0" distL="0" distR="0">
            <wp:extent cx="1381125" cy="609600"/>
            <wp:effectExtent l="0" t="0" r="0" b="0"/>
            <wp:docPr id="1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 descr=""/>
                    <pic:cNvPicPr>
                      <a:picLocks noChangeAspect="1" noChangeArrowheads="1"/>
                    </pic:cNvPicPr>
                  </pic:nvPicPr>
                  <pic:blipFill>
                    <a:blip r:embed="rId33"/>
                    <a:stretch>
                      <a:fillRect/>
                    </a:stretch>
                  </pic:blipFill>
                  <pic:spPr bwMode="auto">
                    <a:xfrm>
                      <a:off x="0" y="0"/>
                      <a:ext cx="1381125" cy="609600"/>
                    </a:xfrm>
                    <a:prstGeom prst="rect">
                      <a:avLst/>
                    </a:prstGeom>
                  </pic:spPr>
                </pic:pic>
              </a:graphicData>
            </a:graphic>
          </wp:inline>
        </w:drawing>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5Initials _______</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 w:hAnsi="Helvetica"/>
          <w:b/>
          <w:sz w:val="18"/>
        </w:rPr>
      </w:pPr>
      <w:bookmarkStart w:id="910" w:name="ctrn-20240803xex31d1.htm"/>
      <w:bookmarkStart w:id="911" w:name="ksctrn20240803xex31d1"/>
      <w:bookmarkEnd w:id="910"/>
      <w:bookmarkEnd w:id="911"/>
      <w:r>
        <w:rPr>
          <w:rFonts w:ascii="Helvetica" w:hAnsi="Helvetica"/>
          <w:b/>
          <w:sz w:val="18"/>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Helvetica" w:hAnsi="Helvetica"/>
          <w:b/>
          <w:sz w:val="18"/>
        </w:rPr>
      </w:pPr>
      <w:r>
        <w:rPr>
          <w:rFonts w:ascii="Helvetica" w:hAnsi="Helvetica"/>
          <w:b/>
          <w:sz w:val="18"/>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Helvetica" w:hAnsi="Helvetica"/>
          <w:sz w:val="18"/>
        </w:rPr>
      </w:pPr>
      <w:r>
        <w:rPr>
          <w:rFonts w:ascii="Helvetica" w:hAnsi="Helvetica"/>
          <w:sz w:val="18"/>
        </w:rPr>
        <w:t>I, Kenneth D. Seipel, certify that:</w:t>
      </w:r>
    </w:p>
    <w:p>
      <w:pPr>
        <w:pStyle w:val="TextBody"/>
        <w:bidi w:val="0"/>
        <w:spacing w:lineRule="auto" w:line="285" w:before="0" w:after="0"/>
        <w:ind w:left="0" w:right="0" w:hanging="0"/>
        <w:jc w:val="left"/>
        <w:rPr/>
      </w:pPr>
      <w:r>
        <w:rPr/>
        <w:t>​</w:t>
      </w:r>
    </w:p>
    <w:tbl>
      <w:tblPr>
        <w:tblW w:w="8890" w:type="dxa"/>
        <w:jc w:val="left"/>
        <w:tblInd w:w="0" w:type="dxa"/>
        <w:tblLayout w:type="fixed"/>
        <w:tblCellMar>
          <w:top w:w="0" w:type="dxa"/>
          <w:left w:w="0" w:type="dxa"/>
          <w:bottom w:w="0" w:type="dxa"/>
          <w:right w:w="0" w:type="dxa"/>
        </w:tblCellMar>
      </w:tblPr>
      <w:tblGrid>
        <w:gridCol w:w="170"/>
        <w:gridCol w:w="8720"/>
      </w:tblGrid>
      <w:tr>
        <w:trPr/>
        <w:tc>
          <w:tcPr>
            <w:tcW w:w="17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1.</w:t>
            </w:r>
          </w:p>
        </w:tc>
        <w:tc>
          <w:tcPr>
            <w:tcW w:w="872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I have reviewed this Quarterly Report on Form 10-Q for the period ended August 3, 2024 of Citi Trends,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2.</w:t>
            </w:r>
          </w:p>
        </w:tc>
        <w:tc>
          <w:tcPr>
            <w:tcW w:w="10063"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3.</w:t>
            </w:r>
          </w:p>
        </w:tc>
        <w:tc>
          <w:tcPr>
            <w:tcW w:w="1006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The registrant</w:t>
            </w:r>
            <w:r>
              <w:rPr>
                <w:rFonts w:ascii="Times New Roman;Times;serif" w:hAnsi="Times New Roman;Times;serif"/>
                <w:sz w:val="20"/>
              </w:rPr>
              <w:t>’</w:t>
            </w:r>
            <w:r>
              <w:rPr>
                <w:rFonts w:ascii="Helvetica" w:hAnsi="Helvetica"/>
                <w:sz w:val="18"/>
              </w:rPr>
              <w: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evaluated the effectiveness of the registrant</w:t>
            </w:r>
            <w:r>
              <w:rPr>
                <w:rFonts w:ascii="Times New Roman;Times;serif" w:hAnsi="Times New Roman;Times;serif"/>
                <w:sz w:val="20"/>
              </w:rPr>
              <w:t>’</w:t>
            </w:r>
            <w:r>
              <w:rPr>
                <w:rFonts w:ascii="Helvetica" w:hAnsi="Helvetica"/>
                <w:sz w:val="18"/>
              </w:rPr>
              <w: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disclosed in this report any change in the registrant</w:t>
            </w:r>
            <w:r>
              <w:rPr>
                <w:rFonts w:ascii="Times New Roman;Times;serif" w:hAnsi="Times New Roman;Times;serif"/>
                <w:sz w:val="20"/>
              </w:rPr>
              <w:t>’</w:t>
            </w:r>
            <w:r>
              <w:rPr>
                <w:rFonts w:ascii="Helvetica" w:hAnsi="Helvetica"/>
                <w:sz w:val="18"/>
              </w:rPr>
              <w:t>s internal control over financial reporting that occurred during the registrant</w:t>
            </w:r>
            <w:r>
              <w:rPr>
                <w:rFonts w:ascii="Times New Roman;Times;serif" w:hAnsi="Times New Roman;Times;serif"/>
                <w:sz w:val="20"/>
              </w:rPr>
              <w:t>’</w:t>
            </w:r>
            <w:r>
              <w:rPr>
                <w:rFonts w:ascii="Helvetica" w:hAnsi="Helvetica"/>
                <w:sz w:val="18"/>
              </w:rPr>
              <w:t>s most recent fiscal quarter (the registrant</w:t>
            </w:r>
            <w:r>
              <w:rPr>
                <w:rFonts w:ascii="Times New Roman;Times;serif" w:hAnsi="Times New Roman;Times;serif"/>
                <w:sz w:val="20"/>
              </w:rPr>
              <w:t>’</w:t>
            </w:r>
            <w:r>
              <w:rPr>
                <w:rFonts w:ascii="Helvetica" w:hAnsi="Helvetica"/>
                <w:sz w:val="18"/>
              </w:rPr>
              <w:t>s fourth fiscal quarter in the case of an annual report) that has materially affected, or is reasonably likely to materially affect, the registrant</w:t>
            </w:r>
            <w:r>
              <w:rPr>
                <w:rFonts w:ascii="Times New Roman;Times;serif" w:hAnsi="Times New Roman;Times;serif"/>
                <w:sz w:val="20"/>
              </w:rPr>
              <w:t>’</w:t>
            </w:r>
            <w:r>
              <w:rPr>
                <w:rFonts w:ascii="Helvetica" w:hAnsi="Helvetica"/>
                <w:sz w:val="18"/>
              </w:rPr>
              <w: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The registrant</w:t>
            </w:r>
            <w:r>
              <w:rPr>
                <w:rFonts w:ascii="Times New Roman;Times;serif" w:hAnsi="Times New Roman;Times;serif"/>
                <w:sz w:val="20"/>
              </w:rPr>
              <w:t>’</w:t>
            </w:r>
            <w:r>
              <w:rPr>
                <w:rFonts w:ascii="Helvetica" w:hAnsi="Helvetica"/>
                <w:sz w:val="18"/>
              </w:rPr>
              <w:t>s other certifying officer and I have disclosed, based on our most recent evaluation of internal control over financial reporting, to the registrant</w:t>
            </w:r>
            <w:r>
              <w:rPr>
                <w:rFonts w:ascii="Times New Roman;Times;serif" w:hAnsi="Times New Roman;Times;serif"/>
                <w:sz w:val="20"/>
              </w:rPr>
              <w:t>’</w:t>
            </w:r>
            <w:r>
              <w:rPr>
                <w:rFonts w:ascii="Helvetica" w:hAnsi="Helvetica"/>
                <w:sz w:val="18"/>
              </w:rPr>
              <w:t>s auditors and the audit committee of the registrant</w:t>
            </w:r>
            <w:r>
              <w:rPr>
                <w:rFonts w:ascii="Times New Roman;Times;serif" w:hAnsi="Times New Roman;Times;serif"/>
                <w:sz w:val="20"/>
              </w:rPr>
              <w:t>’</w:t>
            </w:r>
            <w:r>
              <w:rPr>
                <w:rFonts w:ascii="Helvetica" w:hAnsi="Helvetica"/>
                <w:sz w:val="18"/>
              </w:rPr>
              <w: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w:t>
            </w:r>
          </w:p>
        </w:tc>
        <w:tc>
          <w:tcPr>
            <w:tcW w:w="10030"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all significant deficiencies and material weaknesses in the design or operation of internal control over financial reporting which are reasonably likely to adversely affect the registrant</w:t>
            </w:r>
            <w:r>
              <w:rPr>
                <w:rFonts w:ascii="Times New Roman;Times;serif" w:hAnsi="Times New Roman;Times;serif"/>
                <w:sz w:val="20"/>
              </w:rPr>
              <w:t>’</w:t>
            </w:r>
            <w:r>
              <w:rPr>
                <w:rFonts w:ascii="Helvetica" w:hAnsi="Helvetica"/>
                <w:sz w:val="18"/>
              </w:rPr>
              <w: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any fraud, whether or not material, that involves management or other employees who have a significant role in the registrant</w:t>
            </w:r>
            <w:r>
              <w:rPr>
                <w:rFonts w:ascii="Times New Roman;Times;serif" w:hAnsi="Times New Roman;Times;serif"/>
                <w:sz w:val="20"/>
              </w:rPr>
              <w:t>’</w:t>
            </w:r>
            <w:r>
              <w:rPr>
                <w:rFonts w:ascii="Helvetica" w:hAnsi="Helvetica"/>
                <w:sz w:val="18"/>
              </w:rPr>
              <w: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Date: September 11, 2024</w:t>
      </w:r>
    </w:p>
    <w:p>
      <w:pPr>
        <w:pStyle w:val="TextBody"/>
        <w:bidi w:val="0"/>
        <w:spacing w:lineRule="auto" w:line="285" w:before="0" w:after="0"/>
        <w:ind w:left="0" w:right="0" w:hanging="0"/>
        <w:jc w:val="left"/>
        <w:rPr/>
      </w:pPr>
      <w:r>
        <w:rPr/>
        <w:t>​</w:t>
      </w:r>
    </w:p>
    <w:tbl>
      <w:tblPr>
        <w:tblW w:w="2611" w:type="dxa"/>
        <w:jc w:val="left"/>
        <w:tblInd w:w="0" w:type="dxa"/>
        <w:tblLayout w:type="fixed"/>
        <w:tblCellMar>
          <w:top w:w="0" w:type="dxa"/>
          <w:left w:w="0" w:type="dxa"/>
          <w:bottom w:w="0" w:type="dxa"/>
          <w:right w:w="0" w:type="dxa"/>
        </w:tblCellMar>
      </w:tblPr>
      <w:tblGrid>
        <w:gridCol w:w="2611"/>
      </w:tblGrid>
      <w:tr>
        <w:trPr/>
        <w:tc>
          <w:tcPr>
            <w:tcW w:w="2611" w:type="dxa"/>
            <w:tcBorders/>
            <w:vAlign w:val="center"/>
          </w:tcPr>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tc>
      </w:tr>
      <w:tr>
        <w:trPr/>
        <w:tc>
          <w:tcPr>
            <w:tcW w:w="261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/s/ Kenneth D. Seipel</w:t>
            </w:r>
          </w:p>
        </w:tc>
      </w:tr>
      <w:tr>
        <w:trPr/>
        <w:tc>
          <w:tcPr>
            <w:tcW w:w="261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Kenneth D. Seipel</w:t>
            </w:r>
          </w:p>
        </w:tc>
      </w:tr>
      <w:tr>
        <w:trPr/>
        <w:tc>
          <w:tcPr>
            <w:tcW w:w="261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Interim Chief Executive Officer</w:t>
            </w:r>
          </w:p>
        </w:tc>
      </w:tr>
      <w:tr>
        <w:trPr/>
        <w:tc>
          <w:tcPr>
            <w:tcW w:w="2611" w:type="dxa"/>
            <w:tcBorders/>
            <w:vAlign w:val="center"/>
          </w:tcPr>
          <w:p>
            <w:pPr>
              <w:pStyle w:val="TableContents"/>
              <w:bidi w:val="0"/>
              <w:spacing w:before="0" w:after="283"/>
              <w:ind w:left="0" w:right="0" w:hanging="0"/>
              <w:jc w:val="left"/>
              <w:rPr>
                <w:sz w:val="4"/>
                <w:szCs w:val="4"/>
              </w:rPr>
            </w:pPr>
            <w:r>
              <w:rPr>
                <w:sz w:val="4"/>
                <w:szCs w:val="4"/>
              </w:rPr>
            </w:r>
          </w:p>
        </w:tc>
      </w:tr>
      <w:tr>
        <w:trPr/>
        <w:tc>
          <w:tcPr>
            <w:tcW w:w="261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 w:hAnsi="Helvetica"/>
          <w:b/>
          <w:sz w:val="18"/>
        </w:rPr>
      </w:pPr>
      <w:bookmarkStart w:id="912" w:name="ctrn-20240803xex31d2.htm"/>
      <w:bookmarkStart w:id="913" w:name="ksctrn20240803xex31d2"/>
      <w:bookmarkEnd w:id="912"/>
      <w:bookmarkEnd w:id="913"/>
      <w:r>
        <w:rPr>
          <w:rFonts w:ascii="Helvetica" w:hAnsi="Helvetica"/>
          <w:b/>
          <w:sz w:val="18"/>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Helvetica" w:hAnsi="Helvetica"/>
          <w:b/>
          <w:sz w:val="18"/>
        </w:rPr>
      </w:pPr>
      <w:r>
        <w:rPr>
          <w:rFonts w:ascii="Helvetica" w:hAnsi="Helvetica"/>
          <w:b/>
          <w:sz w:val="18"/>
        </w:rPr>
        <w:t>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490"/>
        <w:jc w:val="left"/>
        <w:rPr>
          <w:rFonts w:ascii="Helvetica" w:hAnsi="Helvetica"/>
          <w:sz w:val="18"/>
        </w:rPr>
      </w:pPr>
      <w:r>
        <w:rPr>
          <w:rFonts w:ascii="Helvetica" w:hAnsi="Helvetica"/>
          <w:sz w:val="18"/>
        </w:rPr>
        <w:t>I, Heather Plutino, certify that:</w:t>
      </w:r>
    </w:p>
    <w:p>
      <w:pPr>
        <w:pStyle w:val="TextBody"/>
        <w:bidi w:val="0"/>
        <w:spacing w:lineRule="auto" w:line="285" w:before="0" w:after="0"/>
        <w:ind w:left="0" w:right="0" w:hanging="0"/>
        <w:jc w:val="left"/>
        <w:rPr/>
      </w:pPr>
      <w:r>
        <w:rPr/>
        <w:t>​</w:t>
      </w:r>
    </w:p>
    <w:tbl>
      <w:tblPr>
        <w:tblW w:w="8890" w:type="dxa"/>
        <w:jc w:val="left"/>
        <w:tblInd w:w="0" w:type="dxa"/>
        <w:tblLayout w:type="fixed"/>
        <w:tblCellMar>
          <w:top w:w="0" w:type="dxa"/>
          <w:left w:w="0" w:type="dxa"/>
          <w:bottom w:w="0" w:type="dxa"/>
          <w:right w:w="0" w:type="dxa"/>
        </w:tblCellMar>
      </w:tblPr>
      <w:tblGrid>
        <w:gridCol w:w="170"/>
        <w:gridCol w:w="8720"/>
      </w:tblGrid>
      <w:tr>
        <w:trPr/>
        <w:tc>
          <w:tcPr>
            <w:tcW w:w="17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1.</w:t>
            </w:r>
          </w:p>
        </w:tc>
        <w:tc>
          <w:tcPr>
            <w:tcW w:w="8720"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I have reviewed this Quarterly Report on Form 10-Q for the period ended August 3, 2024 of Citi Trends,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2.</w:t>
            </w:r>
          </w:p>
        </w:tc>
        <w:tc>
          <w:tcPr>
            <w:tcW w:w="10063"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3.</w:t>
            </w:r>
          </w:p>
        </w:tc>
        <w:tc>
          <w:tcPr>
            <w:tcW w:w="1006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4.</w:t>
            </w:r>
          </w:p>
        </w:tc>
        <w:tc>
          <w:tcPr>
            <w:tcW w:w="10064"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The registrant</w:t>
            </w:r>
            <w:r>
              <w:rPr>
                <w:rFonts w:ascii="Times New Roman;Times;serif" w:hAnsi="Times New Roman;Times;serif"/>
                <w:sz w:val="20"/>
              </w:rPr>
              <w:t>’</w:t>
            </w:r>
            <w:r>
              <w:rPr>
                <w:rFonts w:ascii="Helvetica" w:hAnsi="Helvetica"/>
                <w:sz w:val="18"/>
              </w:rPr>
              <w: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w:t>
            </w:r>
          </w:p>
        </w:tc>
        <w:tc>
          <w:tcPr>
            <w:tcW w:w="1003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evaluated the effectiveness of the registrant</w:t>
            </w:r>
            <w:r>
              <w:rPr>
                <w:rFonts w:ascii="Times New Roman;Times;serif" w:hAnsi="Times New Roman;Times;serif"/>
                <w:sz w:val="20"/>
              </w:rPr>
              <w:t>’</w:t>
            </w:r>
            <w:r>
              <w:rPr>
                <w:rFonts w:ascii="Helvetica" w:hAnsi="Helvetica"/>
                <w:sz w:val="18"/>
              </w:rPr>
              <w: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disclosed in this report any change in the registrant</w:t>
            </w:r>
            <w:r>
              <w:rPr>
                <w:rFonts w:ascii="Times New Roman;Times;serif" w:hAnsi="Times New Roman;Times;serif"/>
                <w:sz w:val="20"/>
              </w:rPr>
              <w:t>’</w:t>
            </w:r>
            <w:r>
              <w:rPr>
                <w:rFonts w:ascii="Helvetica" w:hAnsi="Helvetica"/>
                <w:sz w:val="18"/>
              </w:rPr>
              <w:t>s internal control over financial reporting that occurred during the registrant</w:t>
            </w:r>
            <w:r>
              <w:rPr>
                <w:rFonts w:ascii="Times New Roman;Times;serif" w:hAnsi="Times New Roman;Times;serif"/>
                <w:sz w:val="20"/>
              </w:rPr>
              <w:t>’</w:t>
            </w:r>
            <w:r>
              <w:rPr>
                <w:rFonts w:ascii="Helvetica" w:hAnsi="Helvetica"/>
                <w:sz w:val="18"/>
              </w:rPr>
              <w:t>s most recent fiscal quarter (the registrant</w:t>
            </w:r>
            <w:r>
              <w:rPr>
                <w:rFonts w:ascii="Times New Roman;Times;serif" w:hAnsi="Times New Roman;Times;serif"/>
                <w:sz w:val="20"/>
              </w:rPr>
              <w:t>’</w:t>
            </w:r>
            <w:r>
              <w:rPr>
                <w:rFonts w:ascii="Helvetica" w:hAnsi="Helvetica"/>
                <w:sz w:val="18"/>
              </w:rPr>
              <w:t>s fourth fiscal quarter in the case of an annual report) that has materially affected, or is reasonably likely to materially affect, the registrant</w:t>
            </w:r>
            <w:r>
              <w:rPr>
                <w:rFonts w:ascii="Times New Roman;Times;serif" w:hAnsi="Times New Roman;Times;serif"/>
                <w:sz w:val="20"/>
              </w:rPr>
              <w:t>’</w:t>
            </w:r>
            <w:r>
              <w:rPr>
                <w:rFonts w:ascii="Helvetica" w:hAnsi="Helvetica"/>
                <w:sz w:val="18"/>
              </w:rPr>
              <w: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The registrant</w:t>
            </w:r>
            <w:r>
              <w:rPr>
                <w:rFonts w:ascii="Times New Roman;Times;serif" w:hAnsi="Times New Roman;Times;serif"/>
                <w:sz w:val="20"/>
              </w:rPr>
              <w:t>’</w:t>
            </w:r>
            <w:r>
              <w:rPr>
                <w:rFonts w:ascii="Helvetica" w:hAnsi="Helvetica"/>
                <w:sz w:val="18"/>
              </w:rPr>
              <w:t>s other certifying officer and I have disclosed, based on our most recent evaluation of internal control over financial reporting, to the registrant</w:t>
            </w:r>
            <w:r>
              <w:rPr>
                <w:rFonts w:ascii="Times New Roman;Times;serif" w:hAnsi="Times New Roman;Times;serif"/>
                <w:sz w:val="20"/>
              </w:rPr>
              <w:t>’</w:t>
            </w:r>
            <w:r>
              <w:rPr>
                <w:rFonts w:ascii="Helvetica" w:hAnsi="Helvetica"/>
                <w:sz w:val="18"/>
              </w:rPr>
              <w:t>s auditors and the audit committee of the registrant</w:t>
            </w:r>
            <w:r>
              <w:rPr>
                <w:rFonts w:ascii="Times New Roman;Times;serif" w:hAnsi="Times New Roman;Times;serif"/>
                <w:sz w:val="20"/>
              </w:rPr>
              <w:t>’</w:t>
            </w:r>
            <w:r>
              <w:rPr>
                <w:rFonts w:ascii="Helvetica" w:hAnsi="Helvetica"/>
                <w:sz w:val="18"/>
              </w:rPr>
              <w: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a)</w:t>
            </w:r>
          </w:p>
        </w:tc>
        <w:tc>
          <w:tcPr>
            <w:tcW w:w="10030"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all significant deficiencies and material weaknesses in the design or operation of internal control over financial reporting which are reasonably likely to adversely affect the registrant</w:t>
            </w:r>
            <w:r>
              <w:rPr>
                <w:rFonts w:ascii="Times New Roman;Times;serif" w:hAnsi="Times New Roman;Times;serif"/>
                <w:sz w:val="20"/>
              </w:rPr>
              <w:t>’</w:t>
            </w:r>
            <w:r>
              <w:rPr>
                <w:rFonts w:ascii="Helvetica" w:hAnsi="Helvetica"/>
                <w:sz w:val="18"/>
              </w:rPr>
              <w: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Helvetica" w:hAnsi="Helvetica"/>
                <w:sz w:val="18"/>
              </w:rPr>
            </w:pPr>
            <w:r>
              <w:rPr>
                <w:rFonts w:ascii="Helvetica" w:hAnsi="Helvetica"/>
                <w:sz w:val="18"/>
              </w:rPr>
              <w:t>b)</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Helvetica" w:hAnsi="Helvetica"/>
                <w:sz w:val="18"/>
              </w:rPr>
              <w:t>any fraud, whether or not material, that involves management or other employees who have a significant role in the registrant</w:t>
            </w:r>
            <w:r>
              <w:rPr>
                <w:rFonts w:ascii="Times New Roman;Times;serif" w:hAnsi="Times New Roman;Times;serif"/>
                <w:sz w:val="20"/>
              </w:rPr>
              <w:t>’</w:t>
            </w:r>
            <w:r>
              <w:rPr>
                <w:rFonts w:ascii="Helvetica" w:hAnsi="Helvetica"/>
                <w:sz w:val="18"/>
              </w:rPr>
              <w:t>s internal control over financial reporting.</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Date: September 11, 2024</w:t>
      </w:r>
    </w:p>
    <w:p>
      <w:pPr>
        <w:pStyle w:val="TextBody"/>
        <w:bidi w:val="0"/>
        <w:spacing w:lineRule="auto" w:line="285" w:before="0" w:after="0"/>
        <w:ind w:left="0" w:right="0" w:hanging="0"/>
        <w:jc w:val="left"/>
        <w:rPr/>
      </w:pPr>
      <w:r>
        <w:rPr/>
        <w:t>​</w:t>
      </w:r>
    </w:p>
    <w:tbl>
      <w:tblPr>
        <w:tblW w:w="2371" w:type="dxa"/>
        <w:jc w:val="left"/>
        <w:tblInd w:w="0" w:type="dxa"/>
        <w:tblLayout w:type="fixed"/>
        <w:tblCellMar>
          <w:top w:w="0" w:type="dxa"/>
          <w:left w:w="0" w:type="dxa"/>
          <w:bottom w:w="0" w:type="dxa"/>
          <w:right w:w="0" w:type="dxa"/>
        </w:tblCellMar>
      </w:tblPr>
      <w:tblGrid>
        <w:gridCol w:w="2371"/>
      </w:tblGrid>
      <w:tr>
        <w:trPr/>
        <w:tc>
          <w:tcPr>
            <w:tcW w:w="2371" w:type="dxa"/>
            <w:tcBorders/>
            <w:vAlign w:val="center"/>
          </w:tcPr>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p>
            <w:pPr>
              <w:pStyle w:val="TableContents"/>
              <w:bidi w:val="0"/>
              <w:spacing w:lineRule="auto" w:line="285" w:before="0" w:after="0"/>
              <w:ind w:left="0" w:right="0" w:hanging="0"/>
              <w:jc w:val="left"/>
              <w:rPr>
                <w:color w:val="231F20"/>
              </w:rPr>
            </w:pPr>
            <w:r>
              <w:rPr>
                <w:color w:val="231F20"/>
              </w:rPr>
              <w:t>​</w:t>
            </w:r>
          </w:p>
        </w:tc>
      </w:tr>
      <w:tr>
        <w:trPr/>
        <w:tc>
          <w:tcPr>
            <w:tcW w:w="2371"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Helvetica" w:hAnsi="Helvetica"/>
                <w:color w:val="231F20"/>
                <w:sz w:val="18"/>
              </w:rPr>
              <w:t xml:space="preserve">/s/ </w:t>
            </w:r>
            <w:r>
              <w:rPr>
                <w:rFonts w:ascii="Helvetica" w:hAnsi="Helvetica"/>
                <w:sz w:val="18"/>
              </w:rPr>
              <w:t>Heather Plutino</w:t>
            </w:r>
          </w:p>
        </w:tc>
      </w:tr>
      <w:tr>
        <w:trPr/>
        <w:tc>
          <w:tcPr>
            <w:tcW w:w="2371" w:type="dxa"/>
            <w:tcBorders/>
            <w:vAlign w:val="center"/>
          </w:tcPr>
          <w:p>
            <w:pPr>
              <w:pStyle w:val="TableContents"/>
              <w:bidi w:val="0"/>
              <w:spacing w:lineRule="auto" w:line="304" w:before="0" w:after="0"/>
              <w:ind w:left="0" w:right="0" w:hanging="0"/>
              <w:jc w:val="left"/>
              <w:rPr>
                <w:rFonts w:ascii="Helvetica" w:hAnsi="Helvetica"/>
                <w:sz w:val="18"/>
              </w:rPr>
            </w:pPr>
            <w:r>
              <w:rPr>
                <w:rFonts w:ascii="Helvetica" w:hAnsi="Helvetica"/>
                <w:sz w:val="18"/>
              </w:rPr>
              <w:t>Heather Plutino</w:t>
            </w:r>
          </w:p>
        </w:tc>
      </w:tr>
      <w:tr>
        <w:trPr/>
        <w:tc>
          <w:tcPr>
            <w:tcW w:w="237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Chief Financial Officer</w:t>
            </w:r>
          </w:p>
        </w:tc>
      </w:tr>
      <w:tr>
        <w:trPr/>
        <w:tc>
          <w:tcPr>
            <w:tcW w:w="2371"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Helvetica" w:hAnsi="Helvetica"/>
          <w:b/>
          <w:sz w:val="18"/>
        </w:rPr>
      </w:pPr>
      <w:bookmarkStart w:id="914" w:name="ctrn-20240803xex32d1.htm"/>
      <w:bookmarkStart w:id="915" w:name="ksctrn20240803xex32d1"/>
      <w:bookmarkEnd w:id="914"/>
      <w:bookmarkEnd w:id="915"/>
      <w:r>
        <w:rPr>
          <w:rFonts w:ascii="Helvetica" w:hAnsi="Helvetica"/>
          <w:b/>
          <w:sz w:val="18"/>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Certifications pursuant to Section 906 of the Sarbanes-Oxley Act of 2002 (18 U.S.C. § 1350, as adopted).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 xml:space="preserve">I, Kenneth D. Seipel, Chief Executive Officer of Citi Trends, Inc.,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I, Heather Plutino, Chief Financial officer of Citi Trends, Inc.,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1. We have reviewed this quarterly report on Form 10-Q of Citi Trends, Inc. for the period ended August 3, 2024;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2. Based on our knowledge, this quarterly report fully complies with the requirements of Section 13(a) or Section 15(d) of the Securities Exchange Act of 1934, as amended;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3. 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pStyle w:val="TextBody"/>
        <w:bidi w:val="0"/>
        <w:spacing w:lineRule="auto" w:line="285" w:before="0" w:after="0"/>
        <w:ind w:left="0" w:right="0" w:hanging="0"/>
        <w:jc w:val="left"/>
        <w:rPr/>
      </w:pPr>
      <w:r>
        <w:rPr/>
        <w:t>​</w:t>
      </w:r>
    </w:p>
    <w:tbl>
      <w:tblPr>
        <w:tblW w:w="4862" w:type="dxa"/>
        <w:jc w:val="left"/>
        <w:tblInd w:w="0" w:type="dxa"/>
        <w:tblLayout w:type="fixed"/>
        <w:tblCellMar>
          <w:top w:w="0" w:type="dxa"/>
          <w:left w:w="0" w:type="dxa"/>
          <w:bottom w:w="0" w:type="dxa"/>
          <w:right w:w="0" w:type="dxa"/>
        </w:tblCellMar>
      </w:tblPr>
      <w:tblGrid>
        <w:gridCol w:w="2266"/>
        <w:gridCol w:w="2596"/>
      </w:tblGrid>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Date: September 11, 2024</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Helvetica" w:hAnsi="Helvetica"/>
                <w:color w:val="231F20"/>
                <w:sz w:val="18"/>
              </w:rPr>
              <w:t xml:space="preserve">/s/ </w:t>
            </w:r>
            <w:r>
              <w:rPr>
                <w:rFonts w:ascii="Helvetica" w:hAnsi="Helvetica"/>
                <w:sz w:val="18"/>
              </w:rPr>
              <w:t>Kenneth D. Seipel</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304" w:before="0" w:after="0"/>
              <w:ind w:left="0" w:right="0" w:hanging="0"/>
              <w:jc w:val="left"/>
              <w:rPr>
                <w:rFonts w:ascii="Helvetica" w:hAnsi="Helvetica"/>
                <w:sz w:val="18"/>
              </w:rPr>
            </w:pPr>
            <w:r>
              <w:rPr>
                <w:rFonts w:ascii="Helvetica" w:hAnsi="Helvetica"/>
                <w:sz w:val="18"/>
              </w:rPr>
              <w:t>Kenneth D. Seipel</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Interim Chief Executive Officer</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(Principal Executive Officer)</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Date: September 11, 2024</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285" w:before="0" w:after="0"/>
              <w:ind w:left="0" w:right="0" w:hanging="0"/>
              <w:jc w:val="left"/>
              <w:rPr>
                <w:color w:val="231F20"/>
              </w:rPr>
            </w:pPr>
            <w:r>
              <w:rPr>
                <w:color w:val="231F20"/>
              </w:rPr>
              <w:t>​</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18"/>
              </w:rPr>
            </w:pPr>
            <w:r>
              <w:rPr>
                <w:rFonts w:ascii="Helvetica" w:hAnsi="Helvetica"/>
                <w:color w:val="231F20"/>
                <w:sz w:val="18"/>
              </w:rPr>
              <w:t xml:space="preserve">/s/ </w:t>
            </w:r>
            <w:r>
              <w:rPr>
                <w:rFonts w:ascii="Helvetica" w:hAnsi="Helvetica"/>
                <w:sz w:val="18"/>
              </w:rPr>
              <w:t>Heather Plutino</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304" w:before="0" w:after="0"/>
              <w:ind w:left="0" w:right="0" w:hanging="0"/>
              <w:jc w:val="left"/>
              <w:rPr>
                <w:rFonts w:ascii="Helvetica" w:hAnsi="Helvetica"/>
                <w:sz w:val="18"/>
              </w:rPr>
            </w:pPr>
            <w:r>
              <w:rPr>
                <w:rFonts w:ascii="Helvetica" w:hAnsi="Helvetica"/>
                <w:sz w:val="18"/>
              </w:rPr>
              <w:t>Heather Plutino</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Chief Financial Officer</w:t>
            </w:r>
          </w:p>
        </w:tc>
      </w:tr>
      <w:tr>
        <w:trPr/>
        <w:tc>
          <w:tcPr>
            <w:tcW w:w="2266" w:type="dxa"/>
            <w:tcBorders/>
            <w:vAlign w:val="center"/>
          </w:tcPr>
          <w:p>
            <w:pPr>
              <w:pStyle w:val="TableContents"/>
              <w:bidi w:val="0"/>
              <w:spacing w:lineRule="auto" w:line="285" w:before="0" w:after="0"/>
              <w:ind w:left="0" w:right="0" w:hanging="0"/>
              <w:jc w:val="left"/>
              <w:rPr>
                <w:color w:val="231F20"/>
              </w:rPr>
            </w:pPr>
            <w:r>
              <w:rPr>
                <w:color w:val="231F20"/>
              </w:rPr>
              <w:t>​</w:t>
            </w:r>
          </w:p>
        </w:tc>
        <w:tc>
          <w:tcPr>
            <w:tcW w:w="2596" w:type="dxa"/>
            <w:tcBorders/>
            <w:vAlign w:val="center"/>
          </w:tcPr>
          <w:p>
            <w:pPr>
              <w:pStyle w:val="TableContents"/>
              <w:bidi w:val="0"/>
              <w:spacing w:lineRule="auto" w:line="304" w:before="0" w:after="0"/>
              <w:ind w:left="0" w:right="0" w:hanging="0"/>
              <w:jc w:val="left"/>
              <w:rPr>
                <w:rFonts w:ascii="Helvetica" w:hAnsi="Helvetica"/>
                <w:color w:val="231F20"/>
                <w:sz w:val="18"/>
              </w:rPr>
            </w:pPr>
            <w:r>
              <w:rPr>
                <w:rFonts w:ascii="Helvetica" w:hAnsi="Helvetica"/>
                <w:color w:val="231F20"/>
                <w:sz w:val="18"/>
              </w:rPr>
              <w:t>(Principal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 w:hAnsi="Helvetica"/>
          <w:sz w:val="18"/>
        </w:rPr>
      </w:pPr>
      <w:r>
        <w:rPr>
          <w:rFonts w:ascii="Helvetica" w:hAnsi="Helvetica"/>
          <w:sz w:val="18"/>
        </w:rPr>
        <w:t>A signed original of this written statement required by Section 906 has been provided to Citi Trends, Inc. and will be retained by Citi Trends,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Helvetica">
    <w:altName w:val="Arial"/>
    <w:charset w:val="01"/>
    <w:family w:val="auto"/>
    <w:pitch w:val="default"/>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18484/000110465918038871/a18-15022_1ex3d1.htm" TargetMode="External"/><Relationship Id="rId3" Type="http://schemas.openxmlformats.org/officeDocument/2006/relationships/hyperlink" Target="http://www.sec.gov/Archives/edgar/data/1318484/000110465918038871/a18-15022_1ex3d1.htm" TargetMode="External"/><Relationship Id="rId4" Type="http://schemas.openxmlformats.org/officeDocument/2006/relationships/hyperlink" Target="http://www.sec.gov/Archives/edgar/data/1318484/000110465918038871/a18-15022_1ex3d1.htm" TargetMode="External"/><Relationship Id="rId5" Type="http://schemas.openxmlformats.org/officeDocument/2006/relationships/hyperlink" Target="https://www.sec.gov/Archives/edgar/data/1318484/000110465922113020/tm2229093d1_ex3-1.htm" TargetMode="External"/><Relationship Id="rId6" Type="http://schemas.openxmlformats.org/officeDocument/2006/relationships/hyperlink" Target="https://www.sec.gov/Archives/edgar/data/1318484/000110465922113020/tm2229093d1_ex3-1.htm" TargetMode="External"/><Relationship Id="rId7" Type="http://schemas.openxmlformats.org/officeDocument/2006/relationships/hyperlink" Target="https://www.sec.gov/Archives/edgar/data/1318484/000110465922113020/tm2229093d1_ex3-1.htm" TargetMode="External"/><Relationship Id="rId8" Type="http://schemas.openxmlformats.org/officeDocument/2006/relationships/hyperlink" Target="https://www.sec.gov/Archives/edgar/data/1318484/000110465922113020/tm2229093d1_ex3-2.htm" TargetMode="External"/><Relationship Id="rId9" Type="http://schemas.openxmlformats.org/officeDocument/2006/relationships/hyperlink" Target="https://www.sec.gov/Archives/edgar/data/1318484/000110465922113020/tm2229093d1_ex3-2.htm" TargetMode="External"/><Relationship Id="rId10" Type="http://schemas.openxmlformats.org/officeDocument/2006/relationships/hyperlink" Target="https://www.sec.gov/Archives/edgar/data/1318484/000110465922113020/tm2229093d1_ex3-2.htm" TargetMode="External"/><Relationship Id="rId11" Type="http://schemas.openxmlformats.org/officeDocument/2006/relationships/hyperlink" Target="https://www.sec.gov/ix?doc=/Archives/edgar/data/0001318484/000110465924057737/tm2413614d1_8k.htm" TargetMode="External"/><Relationship Id="rId12" Type="http://schemas.openxmlformats.org/officeDocument/2006/relationships/hyperlink" Target="https://www.sec.gov/ix?doc=/Archives/edgar/data/0001318484/000110465924057737/tm2413614d1_8k.htm" TargetMode="External"/><Relationship Id="rId13" Type="http://schemas.openxmlformats.org/officeDocument/2006/relationships/hyperlink" Target="https://www.sec.gov/ix?doc=/Archives/edgar/data/0001318484/000110465924057737/tm2413614d1_8k.htm" TargetMode="External"/><Relationship Id="rId14" Type="http://schemas.openxmlformats.org/officeDocument/2006/relationships/hyperlink" Target="https://www.sec.gov/Archives/edgar/data/1318484/000110465924057737/tm2413614d1_ex4-3.htm" TargetMode="External"/><Relationship Id="rId15" Type="http://schemas.openxmlformats.org/officeDocument/2006/relationships/hyperlink" Target="https://www.sec.gov/Archives/edgar/data/1318484/000110465924057737/tm2413614d1_ex4-3.htm" TargetMode="External"/><Relationship Id="rId16" Type="http://schemas.openxmlformats.org/officeDocument/2006/relationships/hyperlink" Target="https://www.sec.gov/Archives/edgar/data/1318484/000110465924057737/tm2413614d1_ex4-3.htm" TargetMode="External"/><Relationship Id="rId17" Type="http://schemas.openxmlformats.org/officeDocument/2006/relationships/hyperlink" Target="https://www.sec.gov/Archives/edgar/data/1318484/000110465924066928/tm2415984d1_ex10-1.htm" TargetMode="External"/><Relationship Id="rId18" Type="http://schemas.openxmlformats.org/officeDocument/2006/relationships/hyperlink" Target="https://www.sec.gov/Archives/edgar/data/1318484/000110465924066928/tm2415984d1_ex10-1.htm" TargetMode="External"/><Relationship Id="rId19" Type="http://schemas.openxmlformats.org/officeDocument/2006/relationships/hyperlink" Target="https://www.sec.gov/Archives/edgar/data/1318484/000110465924066928/tm2415984d1_ex10-1.htm" TargetMode="External"/><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5.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0.jpeg"/><Relationship Id="rId30" Type="http://schemas.openxmlformats.org/officeDocument/2006/relationships/image" Target="media/image11.jpeg"/><Relationship Id="rId31" Type="http://schemas.openxmlformats.org/officeDocument/2006/relationships/image" Target="media/image12.jpeg"/><Relationship Id="rId32" Type="http://schemas.openxmlformats.org/officeDocument/2006/relationships/image" Target="media/image13.jpeg"/><Relationship Id="rId33" Type="http://schemas.openxmlformats.org/officeDocument/2006/relationships/image" Target="media/image14.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19786</Words>
  <Characters>109063</Characters>
  <CharactersWithSpaces>129614</CharactersWithSpaces>
  <Paragraphs>3014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