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600"/>
        <w:ind w:left="0" w:right="0" w:hanging="0"/>
        <w:jc w:val="left"/>
        <w:rPr/>
      </w:pPr>
      <w:hyperlink w:anchor="TOC">
        <w:bookmarkStart w:id="0" w:name="ctrn-20260801x10q.htm"/>
        <w:bookmarkStart w:id="1" w:name="ksctrn20260801x10q"/>
        <w:bookmarkEnd w:id="0"/>
        <w:bookmarkEnd w:id="1"/>
        <w:r>
          <w:rPr>
            <w:rStyle w:val="InternetLink"/>
            <w:rFonts w:ascii="Arial;Helvetica;sans-serif" w:hAnsi="Arial;Helvetica;sans-serif"/>
            <w:b w:val="false"/>
            <w:i w:val="false"/>
            <w:caps w:val="false"/>
            <w:smallCaps w:val="false"/>
            <w:sz w:val="20"/>
          </w:rPr>
          <w:t>Table of Contents</w:t>
        </w:r>
      </w:hyperlink>
    </w:p>
    <w:p>
      <w:pPr>
        <w:pStyle w:val="TextBody"/>
        <w:pBdr>
          <w:top w:val="single" w:sz="8" w:space="1" w:color="000000"/>
        </w:pBdr>
        <w:bidi w:val="0"/>
        <w:spacing w:lineRule="atLeast" w:line="142" w:before="0" w:after="0"/>
        <w:ind w:left="0" w:right="0" w:hanging="0"/>
        <w:jc w:val="center"/>
        <w:rPr>
          <w:bdr w:val="single" w:sz="24" w:space="1" w:color="000000"/>
        </w:rPr>
      </w:pPr>
      <w:bookmarkStart w:id="2" w:name="_1f96ec50_0945_462b_84bd_68432b819910"/>
      <w:bookmarkEnd w:id="2"/>
      <w:r>
        <w:rPr>
          <w:bdr w:val="single" w:sz="24" w:space="1" w:color="000000"/>
        </w:rPr>
        <w:t>​</w:t>
      </w:r>
    </w:p>
    <w:p>
      <w:pPr>
        <w:pStyle w:val="TextBody"/>
        <w:bidi w:val="0"/>
        <w:spacing w:before="0" w:after="0"/>
        <w:ind w:left="0" w:right="0" w:hanging="0"/>
        <w:jc w:val="center"/>
        <w:rPr>
          <w:rFonts w:ascii="Helvetica" w:hAnsi="Helvetica"/>
          <w:b/>
          <w:sz w:val="18"/>
        </w:rPr>
      </w:pPr>
      <w:r>
        <w:rPr>
          <w:rFonts w:ascii="Helvetica" w:hAnsi="Helvetica"/>
          <w:b/>
          <w:sz w:val="18"/>
        </w:rPr>
        <w:t>UNITED STATES</w:t>
      </w:r>
    </w:p>
    <w:p>
      <w:pPr>
        <w:pStyle w:val="TextBody"/>
        <w:bidi w:val="0"/>
        <w:spacing w:before="0" w:after="0"/>
        <w:ind w:left="0" w:right="0" w:hanging="0"/>
        <w:jc w:val="center"/>
        <w:rPr>
          <w:rFonts w:ascii="Helvetica" w:hAnsi="Helvetica"/>
          <w:b/>
          <w:sz w:val="18"/>
        </w:rPr>
      </w:pPr>
      <w:r>
        <w:rPr>
          <w:rFonts w:ascii="Helvetica" w:hAnsi="Helvetica"/>
          <w:b/>
          <w:sz w:val="18"/>
        </w:rPr>
        <w:t>SECURITIES AND EXCHANGE COMMISSION</w:t>
      </w:r>
    </w:p>
    <w:p>
      <w:pPr>
        <w:pStyle w:val="TextBody"/>
        <w:bidi w:val="0"/>
        <w:spacing w:before="0" w:after="0"/>
        <w:ind w:left="0" w:right="0" w:hanging="0"/>
        <w:jc w:val="center"/>
        <w:rPr>
          <w:rFonts w:ascii="Helvetica" w:hAnsi="Helvetica"/>
          <w:b/>
          <w:sz w:val="18"/>
        </w:rPr>
      </w:pPr>
      <w:r>
        <w:rPr>
          <w:rFonts w:ascii="Helvetica" w:hAnsi="Helvetica"/>
          <w:b/>
          <w:sz w:val="18"/>
        </w:rPr>
        <w:t>Washington, D.C. 20549</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Helvetica" w:hAnsi="Helvetica"/>
          <w:b/>
          <w:sz w:val="18"/>
        </w:rPr>
      </w:pPr>
      <w:r>
        <w:rPr>
          <w:rFonts w:ascii="Helvetica" w:hAnsi="Helvetica"/>
          <w:b/>
          <w:sz w:val="18"/>
        </w:rPr>
        <w:t>Form 10-Q</w:t>
      </w:r>
    </w:p>
    <w:p>
      <w:pPr>
        <w:pStyle w:val="TextBody"/>
        <w:bidi w:val="0"/>
        <w:spacing w:before="0" w:after="0"/>
        <w:ind w:left="0" w:right="0" w:hanging="0"/>
        <w:jc w:val="left"/>
        <w:rPr>
          <w:rFonts w:ascii="Helvetica" w:hAnsi="Helvetica"/>
          <w:b/>
          <w:sz w:val="18"/>
        </w:rPr>
      </w:pPr>
      <w:r>
        <w:rPr>
          <w:rFonts w:ascii="Helvetica" w:hAnsi="Helvetica"/>
          <w:b/>
          <w:sz w:val="18"/>
        </w:rPr>
        <w:t>(Mark One)</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3" w:name="Tc_PrCoTfPLS0OYd4OiGeTftw_2_1"/>
      <w:bookmarkStart w:id="4" w:name="_fabaf1e0_5e26_402c_9faf_7fe08f0c8f53"/>
      <w:bookmarkStart w:id="5" w:name="Tc_PrCoTfPLS0OYd4OiGeTftw_2_1"/>
      <w:bookmarkStart w:id="6" w:name="_fabaf1e0_5e26_402c_9faf_7fe08f0c8f53"/>
      <w:bookmarkEnd w:id="5"/>
      <w:bookmarkEnd w:id="6"/>
    </w:p>
    <w:tbl>
      <w:tblPr>
        <w:tblW w:w="9707" w:type="dxa"/>
        <w:jc w:val="left"/>
        <w:tblInd w:w="0" w:type="dxa"/>
        <w:tblLayout w:type="fixed"/>
        <w:tblCellMar>
          <w:top w:w="0" w:type="dxa"/>
          <w:left w:w="0" w:type="dxa"/>
          <w:bottom w:w="0" w:type="dxa"/>
          <w:right w:w="0" w:type="dxa"/>
        </w:tblCellMar>
      </w:tblPr>
      <w:tblGrid>
        <w:gridCol w:w="331"/>
        <w:gridCol w:w="9376"/>
      </w:tblGrid>
      <w:tr>
        <w:trPr/>
        <w:tc>
          <w:tcPr>
            <w:tcW w:w="331" w:type="dxa"/>
            <w:tcBorders/>
            <w:vAlign w:val="center"/>
          </w:tcPr>
          <w:p>
            <w:pPr>
              <w:pStyle w:val="TableContents"/>
              <w:bidi w:val="0"/>
              <w:spacing w:before="0" w:after="0"/>
              <w:ind w:left="0" w:right="0" w:hanging="0"/>
              <w:jc w:val="left"/>
              <w:rPr/>
            </w:pPr>
            <w:r>
              <w:rPr/>
              <w:t>​</w:t>
            </w:r>
          </w:p>
        </w:tc>
        <w:tc>
          <w:tcPr>
            <w:tcW w:w="9376" w:type="dxa"/>
            <w:tcBorders/>
            <w:vAlign w:val="center"/>
          </w:tcPr>
          <w:p>
            <w:pPr>
              <w:pStyle w:val="TableContents"/>
              <w:bidi w:val="0"/>
              <w:spacing w:before="0" w:after="0"/>
              <w:ind w:left="0" w:right="0" w:hanging="0"/>
              <w:jc w:val="left"/>
              <w:rPr/>
            </w:pPr>
            <w:r>
              <w:rPr/>
              <w:t>​</w:t>
            </w:r>
          </w:p>
        </w:tc>
      </w:tr>
      <w:tr>
        <w:trPr/>
        <w:tc>
          <w:tcPr>
            <w:tcW w:w="331" w:type="dxa"/>
            <w:tcBorders/>
            <w:vAlign w:val="center"/>
          </w:tcPr>
          <w:p>
            <w:pPr>
              <w:pStyle w:val="TableContents"/>
              <w:bidi w:val="0"/>
              <w:spacing w:before="0" w:after="0"/>
              <w:ind w:left="0" w:right="0" w:hanging="0"/>
              <w:jc w:val="left"/>
              <w:rPr/>
            </w:pPr>
            <w:r>
              <w:rPr/>
              <w:t>​</w:t>
            </w:r>
          </w:p>
        </w:tc>
        <w:tc>
          <w:tcPr>
            <w:tcW w:w="9376" w:type="dxa"/>
            <w:tcBorders/>
            <w:vAlign w:val="center"/>
          </w:tcPr>
          <w:p>
            <w:pPr>
              <w:pStyle w:val="TableContents"/>
              <w:bidi w:val="0"/>
              <w:spacing w:before="0" w:after="0"/>
              <w:ind w:left="0" w:right="0" w:hanging="0"/>
              <w:jc w:val="left"/>
              <w:rPr/>
            </w:pPr>
            <w:r>
              <w:rPr/>
              <w:t>​</w:t>
            </w:r>
          </w:p>
        </w:tc>
      </w:tr>
      <w:tr>
        <w:trPr/>
        <w:tc>
          <w:tcPr>
            <w:tcW w:w="331" w:type="dxa"/>
            <w:tcBorders/>
            <w:vAlign w:val="center"/>
          </w:tcPr>
          <w:p>
            <w:pPr>
              <w:pStyle w:val="TableContents"/>
              <w:bidi w:val="0"/>
              <w:spacing w:before="0" w:after="0"/>
              <w:ind w:left="0" w:right="0" w:hanging="0"/>
              <w:jc w:val="center"/>
              <w:rPr/>
            </w:pPr>
            <w:r>
              <w:rPr/>
              <w:t>☒</w:t>
            </w:r>
          </w:p>
        </w:tc>
        <w:tc>
          <w:tcPr>
            <w:tcW w:w="9376" w:type="dxa"/>
            <w:tcBorders/>
            <w:vAlign w:val="center"/>
          </w:tcPr>
          <w:p>
            <w:pPr>
              <w:pStyle w:val="TableContents"/>
              <w:bidi w:val="0"/>
              <w:spacing w:before="0" w:after="0"/>
              <w:ind w:left="0" w:right="0" w:hanging="0"/>
              <w:jc w:val="left"/>
              <w:rPr>
                <w:rFonts w:ascii="Helvetica" w:hAnsi="Helvetica"/>
                <w:b/>
                <w:sz w:val="18"/>
              </w:rPr>
            </w:pPr>
            <w:r>
              <w:rPr>
                <w:rFonts w:ascii="Helvetica" w:hAnsi="Helvetica"/>
                <w:b/>
                <w:sz w:val="18"/>
              </w:rPr>
              <w:t>QUARTERLY REPORT PURSUANT TO SECTION 13 OR 15(d) OF THE SECURITIES EXCHANGE ACT OF 1934</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Helvetica" w:hAnsi="Helvetica"/>
          <w:b/>
          <w:sz w:val="18"/>
        </w:rPr>
      </w:pPr>
      <w:r>
        <w:rPr>
          <w:rFonts w:ascii="Helvetica" w:hAnsi="Helvetica"/>
          <w:b/>
          <w:sz w:val="18"/>
        </w:rPr>
        <w:t>For the quarterly period ended August 1, 2026</w:t>
      </w:r>
    </w:p>
    <w:p>
      <w:pPr>
        <w:pStyle w:val="TextBody"/>
        <w:bidi w:val="0"/>
        <w:spacing w:before="0" w:after="0"/>
        <w:ind w:left="0" w:right="0" w:hanging="0"/>
        <w:jc w:val="left"/>
        <w:rPr/>
      </w:pPr>
      <w:r>
        <w:rPr/>
        <w:t>​</w:t>
      </w:r>
    </w:p>
    <w:p>
      <w:pPr>
        <w:pStyle w:val="TextBody"/>
        <w:bidi w:val="0"/>
        <w:spacing w:before="0" w:after="0"/>
        <w:ind w:left="0" w:right="0" w:hanging="0"/>
        <w:jc w:val="center"/>
        <w:rPr>
          <w:rFonts w:ascii="Helvetica" w:hAnsi="Helvetica"/>
          <w:b/>
          <w:sz w:val="18"/>
        </w:rPr>
      </w:pPr>
      <w:r>
        <w:rPr>
          <w:rFonts w:ascii="Helvetica" w:hAnsi="Helvetica"/>
          <w:b/>
          <w:sz w:val="18"/>
        </w:rPr>
        <w:t>OR</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7" w:name="Tc_JDX2LETXKEOjUEnQHGZ0yQ_2_1"/>
      <w:bookmarkStart w:id="8" w:name="_9a8a90e3_8276_4786_8a88_4e892c696804"/>
      <w:bookmarkStart w:id="9" w:name="Tc_JDX2LETXKEOjUEnQHGZ0yQ_2_1"/>
      <w:bookmarkStart w:id="10" w:name="_9a8a90e3_8276_4786_8a88_4e892c696804"/>
      <w:bookmarkEnd w:id="9"/>
      <w:bookmarkEnd w:id="10"/>
    </w:p>
    <w:tbl>
      <w:tblPr>
        <w:tblW w:w="9677" w:type="dxa"/>
        <w:jc w:val="left"/>
        <w:tblInd w:w="0" w:type="dxa"/>
        <w:tblLayout w:type="fixed"/>
        <w:tblCellMar>
          <w:top w:w="0" w:type="dxa"/>
          <w:left w:w="0" w:type="dxa"/>
          <w:bottom w:w="0" w:type="dxa"/>
          <w:right w:w="0" w:type="dxa"/>
        </w:tblCellMar>
      </w:tblPr>
      <w:tblGrid>
        <w:gridCol w:w="331"/>
        <w:gridCol w:w="9346"/>
      </w:tblGrid>
      <w:tr>
        <w:trPr/>
        <w:tc>
          <w:tcPr>
            <w:tcW w:w="331" w:type="dxa"/>
            <w:tcBorders/>
            <w:vAlign w:val="center"/>
          </w:tcPr>
          <w:p>
            <w:pPr>
              <w:pStyle w:val="TableContents"/>
              <w:bidi w:val="0"/>
              <w:spacing w:before="0" w:after="0"/>
              <w:ind w:left="0" w:right="0" w:hanging="0"/>
              <w:jc w:val="left"/>
              <w:rPr/>
            </w:pPr>
            <w:r>
              <w:rPr/>
              <w:t>​</w:t>
            </w:r>
          </w:p>
        </w:tc>
        <w:tc>
          <w:tcPr>
            <w:tcW w:w="9346" w:type="dxa"/>
            <w:tcBorders/>
            <w:vAlign w:val="center"/>
          </w:tcPr>
          <w:p>
            <w:pPr>
              <w:pStyle w:val="TableContents"/>
              <w:bidi w:val="0"/>
              <w:spacing w:before="0" w:after="0"/>
              <w:ind w:left="0" w:right="0" w:hanging="0"/>
              <w:jc w:val="left"/>
              <w:rPr/>
            </w:pPr>
            <w:r>
              <w:rPr/>
              <w:t>​</w:t>
            </w:r>
          </w:p>
        </w:tc>
      </w:tr>
      <w:tr>
        <w:trPr/>
        <w:tc>
          <w:tcPr>
            <w:tcW w:w="331" w:type="dxa"/>
            <w:tcBorders/>
            <w:vAlign w:val="center"/>
          </w:tcPr>
          <w:p>
            <w:pPr>
              <w:pStyle w:val="TableContents"/>
              <w:bidi w:val="0"/>
              <w:spacing w:before="0" w:after="0"/>
              <w:ind w:left="0" w:right="0" w:hanging="0"/>
              <w:jc w:val="left"/>
              <w:rPr/>
            </w:pPr>
            <w:r>
              <w:rPr/>
              <w:t>​</w:t>
            </w:r>
          </w:p>
        </w:tc>
        <w:tc>
          <w:tcPr>
            <w:tcW w:w="9346" w:type="dxa"/>
            <w:tcBorders/>
            <w:vAlign w:val="center"/>
          </w:tcPr>
          <w:p>
            <w:pPr>
              <w:pStyle w:val="TableContents"/>
              <w:bidi w:val="0"/>
              <w:spacing w:before="0" w:after="0"/>
              <w:ind w:left="0" w:right="0" w:hanging="0"/>
              <w:jc w:val="left"/>
              <w:rPr/>
            </w:pPr>
            <w:r>
              <w:rPr/>
              <w:t>​</w:t>
            </w:r>
          </w:p>
        </w:tc>
      </w:tr>
      <w:tr>
        <w:trPr/>
        <w:tc>
          <w:tcPr>
            <w:tcW w:w="331" w:type="dxa"/>
            <w:tcBorders/>
            <w:vAlign w:val="center"/>
          </w:tcPr>
          <w:p>
            <w:pPr>
              <w:pStyle w:val="TableContents"/>
              <w:bidi w:val="0"/>
              <w:spacing w:before="0" w:after="0"/>
              <w:ind w:left="0" w:right="0" w:hanging="0"/>
              <w:jc w:val="center"/>
              <w:rPr/>
            </w:pPr>
            <w:r>
              <w:rPr/>
              <w:t>☐</w:t>
            </w:r>
          </w:p>
        </w:tc>
        <w:tc>
          <w:tcPr>
            <w:tcW w:w="9346" w:type="dxa"/>
            <w:tcBorders/>
            <w:vAlign w:val="center"/>
          </w:tcPr>
          <w:p>
            <w:pPr>
              <w:pStyle w:val="TableContents"/>
              <w:bidi w:val="0"/>
              <w:spacing w:before="0" w:after="0"/>
              <w:ind w:left="0" w:right="0" w:hanging="0"/>
              <w:jc w:val="left"/>
              <w:rPr>
                <w:rFonts w:ascii="Helvetica" w:hAnsi="Helvetica"/>
                <w:b/>
                <w:sz w:val="18"/>
              </w:rPr>
            </w:pPr>
            <w:r>
              <w:rPr>
                <w:rFonts w:ascii="Helvetica" w:hAnsi="Helvetica"/>
                <w:b/>
                <w:sz w:val="18"/>
              </w:rPr>
              <w:t>TRANSITION REPORT PURSUANT TO SECTION 13 OR 15(d) OF THE SECURITIES EXCHANGE ACT OF 1934</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Helvetica" w:hAnsi="Helvetica"/>
          <w:b/>
          <w:sz w:val="18"/>
        </w:rPr>
      </w:pPr>
      <w:r>
        <w:rPr>
          <w:rFonts w:ascii="Helvetica" w:hAnsi="Helvetica"/>
          <w:b/>
          <w:sz w:val="18"/>
        </w:rPr>
        <w:t>Commission File Number 000-41886</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Helvetica" w:hAnsi="Helvetica"/>
          <w:b/>
          <w:sz w:val="18"/>
        </w:rPr>
      </w:pPr>
      <w:r>
        <w:rPr>
          <w:rFonts w:ascii="Helvetica" w:hAnsi="Helvetica"/>
          <w:b/>
          <w:sz w:val="18"/>
        </w:rPr>
        <w:t>CITI TRENDS, INC.</w:t>
      </w:r>
    </w:p>
    <w:p>
      <w:pPr>
        <w:pStyle w:val="TextBody"/>
        <w:bidi w:val="0"/>
        <w:spacing w:before="0" w:after="0"/>
        <w:ind w:left="0" w:right="0" w:hanging="0"/>
        <w:jc w:val="center"/>
        <w:rPr>
          <w:rFonts w:ascii="Helvetica" w:hAnsi="Helvetica"/>
          <w:sz w:val="18"/>
        </w:rPr>
      </w:pPr>
      <w:r>
        <w:rPr>
          <w:rFonts w:ascii="Helvetica" w:hAnsi="Helvetica"/>
          <w:sz w:val="18"/>
        </w:rPr>
        <w:t>(Exact name of registrant as specified in its charter)</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11" w:name="Tc_zCHb-FW0N0eBKG0mVhYmkQ_8_2"/>
      <w:bookmarkStart w:id="12" w:name="Tc_iGvtzOXrJEerpDLH3sEORQ_8_0"/>
      <w:bookmarkStart w:id="13" w:name="Tc_shK-kYkts0-Ek9QmP92Vdg_7_0"/>
      <w:bookmarkStart w:id="14" w:name="Tc_w_qAdeBMLkuWa9b1eudvng_4_2"/>
      <w:bookmarkStart w:id="15" w:name="Tc_PVD8EFqPkUio43FkpxLXsQ_4_0"/>
      <w:bookmarkStart w:id="16" w:name="Tc_qn-kSBISWkeNkdHwraDOZw_3_2"/>
      <w:bookmarkStart w:id="17" w:name="Tc_ot04rZakgE6rIqr1LaaB9Q_3_0"/>
      <w:bookmarkStart w:id="18" w:name="_d745f2b6_174a_46c8_960c_f5f10a1fb466"/>
      <w:bookmarkStart w:id="19" w:name="Tc_zCHb-FW0N0eBKG0mVhYmkQ_8_2"/>
      <w:bookmarkStart w:id="20" w:name="Tc_iGvtzOXrJEerpDLH3sEORQ_8_0"/>
      <w:bookmarkStart w:id="21" w:name="Tc_shK-kYkts0-Ek9QmP92Vdg_7_0"/>
      <w:bookmarkStart w:id="22" w:name="Tc_w_qAdeBMLkuWa9b1eudvng_4_2"/>
      <w:bookmarkStart w:id="23" w:name="Tc_PVD8EFqPkUio43FkpxLXsQ_4_0"/>
      <w:bookmarkStart w:id="24" w:name="Tc_qn-kSBISWkeNkdHwraDOZw_3_2"/>
      <w:bookmarkStart w:id="25" w:name="Tc_ot04rZakgE6rIqr1LaaB9Q_3_0"/>
      <w:bookmarkStart w:id="26" w:name="_d745f2b6_174a_46c8_960c_f5f10a1fb466"/>
      <w:bookmarkEnd w:id="19"/>
      <w:bookmarkEnd w:id="20"/>
      <w:bookmarkEnd w:id="21"/>
      <w:bookmarkEnd w:id="22"/>
      <w:bookmarkEnd w:id="23"/>
      <w:bookmarkEnd w:id="24"/>
      <w:bookmarkEnd w:id="25"/>
      <w:bookmarkEnd w:id="26"/>
    </w:p>
    <w:tbl>
      <w:tblPr>
        <w:tblW w:w="5496" w:type="dxa"/>
        <w:jc w:val="left"/>
        <w:tblInd w:w="0" w:type="dxa"/>
        <w:tblLayout w:type="fixed"/>
        <w:tblCellMar>
          <w:top w:w="0" w:type="dxa"/>
          <w:left w:w="0" w:type="dxa"/>
          <w:bottom w:w="0" w:type="dxa"/>
          <w:right w:w="0" w:type="dxa"/>
        </w:tblCellMar>
      </w:tblPr>
      <w:tblGrid>
        <w:gridCol w:w="3811"/>
        <w:gridCol w:w="109"/>
        <w:gridCol w:w="1576"/>
      </w:tblGrid>
      <w:tr>
        <w:trPr/>
        <w:tc>
          <w:tcPr>
            <w:tcW w:w="381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9215" cy="175260"/>
                      <wp:effectExtent l="0" t="0" r="0" b="0"/>
                      <wp:wrapNone/>
                      <wp:docPr id="1" name="Frame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76" w:type="dxa"/>
            <w:tcBorders/>
            <w:vAlign w:val="center"/>
          </w:tcPr>
          <w:p>
            <w:pPr>
              <w:pStyle w:val="TableContents"/>
              <w:bidi w:val="0"/>
              <w:spacing w:before="0" w:after="0"/>
              <w:ind w:left="0" w:right="0" w:hanging="0"/>
              <w:jc w:val="left"/>
              <w:rPr/>
            </w:pPr>
            <w:r>
              <w:rPr/>
              <w:t>​</w:t>
            </w:r>
          </w:p>
        </w:tc>
      </w:tr>
      <w:tr>
        <w:trPr/>
        <w:tc>
          <w:tcPr>
            <w:tcW w:w="381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576" w:type="dxa"/>
            <w:tcBorders/>
            <w:vAlign w:val="center"/>
          </w:tcPr>
          <w:p>
            <w:pPr>
              <w:pStyle w:val="TableContents"/>
              <w:bidi w:val="0"/>
              <w:spacing w:before="0" w:after="0"/>
              <w:ind w:left="0" w:right="0" w:hanging="0"/>
              <w:jc w:val="left"/>
              <w:rPr/>
            </w:pPr>
            <w:r>
              <w:rPr/>
              <w:t>​</w:t>
            </w:r>
          </w:p>
        </w:tc>
      </w:tr>
      <w:tr>
        <w:trPr/>
        <w:tc>
          <w:tcPr>
            <w:tcW w:w="3811" w:type="dxa"/>
            <w:tcBorders/>
            <w:vAlign w:val="center"/>
          </w:tcPr>
          <w:p>
            <w:pPr>
              <w:pStyle w:val="TableContents"/>
              <w:bidi w:val="0"/>
              <w:spacing w:before="0" w:after="0"/>
              <w:ind w:left="0" w:right="0" w:hanging="0"/>
              <w:jc w:val="center"/>
              <w:rPr>
                <w:rFonts w:ascii="Helvetica" w:hAnsi="Helvetica"/>
                <w:b/>
                <w:sz w:val="18"/>
              </w:rPr>
            </w:pPr>
            <w:r>
              <w:rPr>
                <w:rFonts w:ascii="Helvetica" w:hAnsi="Helvetica"/>
                <w:b/>
                <w:sz w:val="18"/>
              </w:rPr>
              <w:t>Delaware</w:t>
            </w:r>
          </w:p>
        </w:tc>
        <w:tc>
          <w:tcPr>
            <w:tcW w:w="109" w:type="dxa"/>
            <w:tcBorders/>
            <w:vAlign w:val="center"/>
          </w:tcPr>
          <w:p>
            <w:pPr>
              <w:pStyle w:val="TableContents"/>
              <w:bidi w:val="0"/>
              <w:spacing w:before="0" w:after="0"/>
              <w:ind w:left="0" w:right="0" w:hanging="0"/>
              <w:jc w:val="left"/>
              <w:rPr/>
            </w:pPr>
            <w:r>
              <w:rPr/>
              <w:t>​</w:t>
            </w:r>
          </w:p>
        </w:tc>
        <w:tc>
          <w:tcPr>
            <w:tcW w:w="1576" w:type="dxa"/>
            <w:tcBorders/>
            <w:vAlign w:val="center"/>
          </w:tcPr>
          <w:p>
            <w:pPr>
              <w:pStyle w:val="TableContents"/>
              <w:bidi w:val="0"/>
              <w:spacing w:before="0" w:after="0"/>
              <w:ind w:left="0" w:right="0" w:hanging="0"/>
              <w:jc w:val="center"/>
              <w:rPr>
                <w:rFonts w:ascii="Helvetica" w:hAnsi="Helvetica"/>
                <w:b/>
                <w:sz w:val="18"/>
              </w:rPr>
            </w:pPr>
            <w:r>
              <w:rPr>
                <w:rFonts w:ascii="Helvetica" w:hAnsi="Helvetica"/>
                <w:b/>
                <w:sz w:val="18"/>
              </w:rPr>
              <w:t>52-2150697</w:t>
            </w:r>
          </w:p>
        </w:tc>
      </w:tr>
      <w:tr>
        <w:trPr/>
        <w:tc>
          <w:tcPr>
            <w:tcW w:w="3811" w:type="dxa"/>
            <w:tcBorders/>
            <w:vAlign w:val="center"/>
          </w:tcPr>
          <w:p>
            <w:pPr>
              <w:pStyle w:val="TableContents"/>
              <w:bidi w:val="0"/>
              <w:spacing w:before="0" w:after="0"/>
              <w:ind w:left="0" w:right="0" w:hanging="0"/>
              <w:jc w:val="center"/>
              <w:rPr>
                <w:rFonts w:ascii="Helvetica" w:hAnsi="Helvetica"/>
                <w:sz w:val="18"/>
              </w:rPr>
            </w:pPr>
            <w:r>
              <w:rPr>
                <w:rFonts w:ascii="Helvetica" w:hAnsi="Helvetica"/>
                <w:sz w:val="18"/>
              </w:rPr>
              <w:t>(State or other jurisdiction of</w:t>
            </w:r>
          </w:p>
        </w:tc>
        <w:tc>
          <w:tcPr>
            <w:tcW w:w="109" w:type="dxa"/>
            <w:tcBorders/>
            <w:vAlign w:val="center"/>
          </w:tcPr>
          <w:p>
            <w:pPr>
              <w:pStyle w:val="TableContents"/>
              <w:bidi w:val="0"/>
              <w:spacing w:before="0" w:after="0"/>
              <w:ind w:left="0" w:right="0" w:hanging="0"/>
              <w:jc w:val="left"/>
              <w:rPr/>
            </w:pPr>
            <w:r>
              <w:rPr/>
              <w:t>​</w:t>
            </w:r>
          </w:p>
        </w:tc>
        <w:tc>
          <w:tcPr>
            <w:tcW w:w="1576" w:type="dxa"/>
            <w:tcBorders/>
            <w:vAlign w:val="center"/>
          </w:tcPr>
          <w:p>
            <w:pPr>
              <w:pStyle w:val="TableContents"/>
              <w:bidi w:val="0"/>
              <w:spacing w:before="0" w:after="0"/>
              <w:ind w:left="0" w:right="0" w:hanging="0"/>
              <w:jc w:val="center"/>
              <w:rPr>
                <w:rFonts w:ascii="Helvetica" w:hAnsi="Helvetica"/>
                <w:sz w:val="18"/>
              </w:rPr>
            </w:pPr>
            <w:r>
              <w:rPr>
                <w:rFonts w:ascii="Helvetica" w:hAnsi="Helvetica"/>
                <w:sz w:val="18"/>
              </w:rPr>
              <w:t>(I.R.S. Employer</w:t>
            </w:r>
          </w:p>
        </w:tc>
      </w:tr>
      <w:tr>
        <w:trPr/>
        <w:tc>
          <w:tcPr>
            <w:tcW w:w="3811" w:type="dxa"/>
            <w:tcBorders/>
            <w:vAlign w:val="center"/>
          </w:tcPr>
          <w:p>
            <w:pPr>
              <w:pStyle w:val="TableContents"/>
              <w:bidi w:val="0"/>
              <w:spacing w:before="0" w:after="0"/>
              <w:ind w:left="0" w:right="0" w:hanging="0"/>
              <w:jc w:val="center"/>
              <w:rPr>
                <w:rFonts w:ascii="Helvetica" w:hAnsi="Helvetica"/>
                <w:sz w:val="18"/>
              </w:rPr>
            </w:pPr>
            <w:r>
              <w:rPr>
                <w:rFonts w:ascii="Helvetica" w:hAnsi="Helvetica"/>
                <w:sz w:val="18"/>
              </w:rPr>
              <w:t>incorporation or organization)</w:t>
            </w:r>
          </w:p>
        </w:tc>
        <w:tc>
          <w:tcPr>
            <w:tcW w:w="109" w:type="dxa"/>
            <w:tcBorders/>
            <w:vAlign w:val="center"/>
          </w:tcPr>
          <w:p>
            <w:pPr>
              <w:pStyle w:val="TableContents"/>
              <w:bidi w:val="0"/>
              <w:spacing w:before="0" w:after="0"/>
              <w:ind w:left="0" w:right="0" w:hanging="0"/>
              <w:jc w:val="left"/>
              <w:rPr/>
            </w:pPr>
            <w:r>
              <w:rPr/>
              <w:t>​</w:t>
            </w:r>
          </w:p>
        </w:tc>
        <w:tc>
          <w:tcPr>
            <w:tcW w:w="1576" w:type="dxa"/>
            <w:tcBorders/>
            <w:vAlign w:val="center"/>
          </w:tcPr>
          <w:p>
            <w:pPr>
              <w:pStyle w:val="TableContents"/>
              <w:bidi w:val="0"/>
              <w:spacing w:before="0" w:after="0"/>
              <w:ind w:left="0" w:right="0" w:hanging="0"/>
              <w:jc w:val="center"/>
              <w:rPr>
                <w:rFonts w:ascii="Helvetica" w:hAnsi="Helvetica"/>
                <w:sz w:val="18"/>
              </w:rPr>
            </w:pPr>
            <w:r>
              <w:rPr>
                <w:rFonts w:ascii="Helvetica" w:hAnsi="Helvetica"/>
                <w:sz w:val="18"/>
              </w:rPr>
              <w:t>Identification No.)</w:t>
            </w:r>
          </w:p>
        </w:tc>
      </w:tr>
      <w:tr>
        <w:trPr/>
        <w:tc>
          <w:tcPr>
            <w:tcW w:w="381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576" w:type="dxa"/>
            <w:tcBorders/>
            <w:vAlign w:val="center"/>
          </w:tcPr>
          <w:p>
            <w:pPr>
              <w:pStyle w:val="TableContents"/>
              <w:bidi w:val="0"/>
              <w:spacing w:before="0" w:after="0"/>
              <w:ind w:left="0" w:right="0" w:hanging="0"/>
              <w:jc w:val="left"/>
              <w:rPr/>
            </w:pPr>
            <w:r>
              <w:rPr/>
              <w:t>​</w:t>
            </w:r>
          </w:p>
        </w:tc>
      </w:tr>
      <w:tr>
        <w:trPr/>
        <w:tc>
          <w:tcPr>
            <w:tcW w:w="3811" w:type="dxa"/>
            <w:tcBorders/>
            <w:vAlign w:val="center"/>
          </w:tcPr>
          <w:p>
            <w:pPr>
              <w:pStyle w:val="TableContents"/>
              <w:bidi w:val="0"/>
              <w:spacing w:before="0" w:after="0"/>
              <w:ind w:left="0" w:right="0" w:hanging="0"/>
              <w:jc w:val="center"/>
              <w:rPr>
                <w:rFonts w:ascii="Helvetica" w:hAnsi="Helvetica"/>
                <w:b/>
                <w:sz w:val="18"/>
              </w:rPr>
            </w:pPr>
            <w:r>
              <w:rPr>
                <w:rFonts w:ascii="Helvetica" w:hAnsi="Helvetica"/>
                <w:b/>
                <w:sz w:val="18"/>
              </w:rPr>
              <w:t>17 Park of Commerce Boulevard, Suite 200</w:t>
            </w:r>
          </w:p>
        </w:tc>
        <w:tc>
          <w:tcPr>
            <w:tcW w:w="109" w:type="dxa"/>
            <w:tcBorders/>
            <w:vAlign w:val="center"/>
          </w:tcPr>
          <w:p>
            <w:pPr>
              <w:pStyle w:val="TableContents"/>
              <w:bidi w:val="0"/>
              <w:spacing w:before="0" w:after="0"/>
              <w:ind w:left="0" w:right="0" w:hanging="0"/>
              <w:jc w:val="left"/>
              <w:rPr/>
            </w:pPr>
            <w:r>
              <w:rPr/>
              <w:t>​</w:t>
            </w:r>
          </w:p>
        </w:tc>
        <w:tc>
          <w:tcPr>
            <w:tcW w:w="1576" w:type="dxa"/>
            <w:tcBorders/>
            <w:vAlign w:val="center"/>
          </w:tcPr>
          <w:p>
            <w:pPr>
              <w:pStyle w:val="TableContents"/>
              <w:bidi w:val="0"/>
              <w:spacing w:before="0" w:after="0"/>
              <w:ind w:left="0" w:right="0" w:hanging="0"/>
              <w:jc w:val="center"/>
              <w:rPr/>
            </w:pPr>
            <w:r>
              <w:rPr/>
              <w:t>​</w:t>
            </w:r>
          </w:p>
        </w:tc>
      </w:tr>
      <w:tr>
        <w:trPr/>
        <w:tc>
          <w:tcPr>
            <w:tcW w:w="3811" w:type="dxa"/>
            <w:tcBorders/>
            <w:vAlign w:val="center"/>
          </w:tcPr>
          <w:p>
            <w:pPr>
              <w:pStyle w:val="TableContents"/>
              <w:bidi w:val="0"/>
              <w:spacing w:before="0" w:after="0"/>
              <w:ind w:left="0" w:right="0" w:hanging="0"/>
              <w:jc w:val="center"/>
              <w:rPr>
                <w:rFonts w:ascii="Helvetica" w:hAnsi="Helvetica"/>
                <w:b/>
                <w:sz w:val="18"/>
              </w:rPr>
            </w:pPr>
            <w:r>
              <w:rPr>
                <w:rFonts w:ascii="Helvetica" w:hAnsi="Helvetica"/>
                <w:b/>
                <w:sz w:val="18"/>
              </w:rPr>
              <w:t>Savannah, Georgia</w:t>
            </w:r>
          </w:p>
        </w:tc>
        <w:tc>
          <w:tcPr>
            <w:tcW w:w="109" w:type="dxa"/>
            <w:tcBorders/>
            <w:vAlign w:val="center"/>
          </w:tcPr>
          <w:p>
            <w:pPr>
              <w:pStyle w:val="TableContents"/>
              <w:bidi w:val="0"/>
              <w:spacing w:before="0" w:after="0"/>
              <w:ind w:left="0" w:right="0" w:hanging="0"/>
              <w:jc w:val="left"/>
              <w:rPr/>
            </w:pPr>
            <w:r>
              <w:rPr/>
              <w:t>​</w:t>
            </w:r>
          </w:p>
        </w:tc>
        <w:tc>
          <w:tcPr>
            <w:tcW w:w="1576" w:type="dxa"/>
            <w:tcBorders/>
            <w:vAlign w:val="center"/>
          </w:tcPr>
          <w:p>
            <w:pPr>
              <w:pStyle w:val="TableContents"/>
              <w:bidi w:val="0"/>
              <w:spacing w:before="0" w:after="0"/>
              <w:ind w:left="0" w:right="0" w:hanging="0"/>
              <w:jc w:val="center"/>
              <w:rPr>
                <w:rFonts w:ascii="Helvetica" w:hAnsi="Helvetica"/>
                <w:b/>
                <w:sz w:val="18"/>
              </w:rPr>
            </w:pPr>
            <w:r>
              <w:rPr>
                <w:rFonts w:ascii="Helvetica" w:hAnsi="Helvetica"/>
                <w:b/>
                <w:sz w:val="18"/>
              </w:rPr>
              <w:t>31405</w:t>
            </w:r>
          </w:p>
        </w:tc>
      </w:tr>
      <w:tr>
        <w:trPr/>
        <w:tc>
          <w:tcPr>
            <w:tcW w:w="3811" w:type="dxa"/>
            <w:tcBorders/>
            <w:vAlign w:val="center"/>
          </w:tcPr>
          <w:p>
            <w:pPr>
              <w:pStyle w:val="TableContents"/>
              <w:bidi w:val="0"/>
              <w:spacing w:before="0" w:after="0"/>
              <w:ind w:left="0" w:right="0" w:hanging="0"/>
              <w:jc w:val="center"/>
              <w:rPr>
                <w:rFonts w:ascii="Helvetica" w:hAnsi="Helvetica"/>
                <w:sz w:val="18"/>
              </w:rPr>
            </w:pPr>
            <w:r>
              <w:rPr>
                <w:rFonts w:ascii="Helvetica" w:hAnsi="Helvetica"/>
                <w:sz w:val="18"/>
              </w:rPr>
              <w:t>(Address of principal executive offices)</w:t>
            </w:r>
          </w:p>
        </w:tc>
        <w:tc>
          <w:tcPr>
            <w:tcW w:w="109" w:type="dxa"/>
            <w:tcBorders/>
            <w:vAlign w:val="center"/>
          </w:tcPr>
          <w:p>
            <w:pPr>
              <w:pStyle w:val="TableContents"/>
              <w:bidi w:val="0"/>
              <w:spacing w:before="0" w:after="0"/>
              <w:ind w:left="0" w:right="0" w:hanging="0"/>
              <w:jc w:val="left"/>
              <w:rPr/>
            </w:pPr>
            <w:r>
              <w:rPr/>
              <w:t>​</w:t>
            </w:r>
          </w:p>
        </w:tc>
        <w:tc>
          <w:tcPr>
            <w:tcW w:w="1576" w:type="dxa"/>
            <w:tcBorders/>
            <w:vAlign w:val="center"/>
          </w:tcPr>
          <w:p>
            <w:pPr>
              <w:pStyle w:val="TableContents"/>
              <w:bidi w:val="0"/>
              <w:spacing w:before="0" w:after="0"/>
              <w:ind w:left="0" w:right="0" w:hanging="0"/>
              <w:jc w:val="center"/>
              <w:rPr>
                <w:rFonts w:ascii="Helvetica" w:hAnsi="Helvetica"/>
                <w:sz w:val="18"/>
              </w:rPr>
            </w:pPr>
            <w:r>
              <w:rPr>
                <w:rFonts w:ascii="Helvetica" w:hAnsi="Helvetica"/>
                <w:sz w:val="18"/>
              </w:rPr>
              <w:t>(Zip Code)</w:t>
            </w:r>
          </w:p>
        </w:tc>
      </w:tr>
    </w:tbl>
    <w:p>
      <w:pPr>
        <w:pStyle w:val="TextBody"/>
        <w:bidi w:val="0"/>
        <w:spacing w:before="0" w:after="0"/>
        <w:ind w:left="0" w:right="0" w:hanging="0"/>
        <w:jc w:val="left"/>
        <w:rPr/>
      </w:pPr>
      <w:r>
        <w:rPr/>
        <w:t>​</w:t>
      </w:r>
    </w:p>
    <w:p>
      <w:pPr>
        <w:pStyle w:val="TextBody"/>
        <w:bidi w:val="0"/>
        <w:spacing w:lineRule="auto" w:line="307" w:before="0" w:after="0"/>
        <w:ind w:left="0" w:right="0" w:hanging="0"/>
        <w:jc w:val="center"/>
        <w:rPr>
          <w:rFonts w:ascii="Times New Roman;Times;serif" w:hAnsi="Times New Roman;Times;serif"/>
          <w:sz w:val="20"/>
        </w:rPr>
      </w:pPr>
      <w:r>
        <w:rPr>
          <w:rFonts w:ascii="Helvetica" w:hAnsi="Helvetica"/>
          <w:sz w:val="18"/>
        </w:rPr>
        <w:t>Registrant’s telephone number, including area code (</w:t>
      </w:r>
      <w:r>
        <w:rPr>
          <w:rFonts w:ascii="Helvetica" w:hAnsi="Helvetica"/>
          <w:b/>
          <w:sz w:val="18"/>
        </w:rPr>
        <w:t>912) 236-1561</w:t>
      </w:r>
    </w:p>
    <w:p>
      <w:pPr>
        <w:pStyle w:val="TextBody"/>
        <w:bidi w:val="0"/>
        <w:spacing w:lineRule="auto" w:line="307" w:before="0" w:after="0"/>
        <w:ind w:left="0" w:right="0" w:hanging="0"/>
        <w:jc w:val="center"/>
        <w:rPr/>
      </w:pPr>
      <w:r>
        <w:rPr/>
        <w:t>​</w:t>
      </w:r>
    </w:p>
    <w:p>
      <w:pPr>
        <w:pStyle w:val="TextBody"/>
        <w:bidi w:val="0"/>
        <w:spacing w:lineRule="auto" w:line="307" w:before="0" w:after="0"/>
        <w:ind w:left="0" w:right="0" w:hanging="0"/>
        <w:jc w:val="center"/>
        <w:rPr/>
      </w:pPr>
      <w:r>
        <w:rPr/>
        <w:t>​</w:t>
      </w:r>
    </w:p>
    <w:p>
      <w:pPr>
        <w:pStyle w:val="TextBody"/>
        <w:bidi w:val="0"/>
        <w:spacing w:lineRule="auto" w:line="307" w:before="0" w:after="0"/>
        <w:ind w:left="0" w:right="0" w:hanging="0"/>
        <w:jc w:val="left"/>
        <w:rPr>
          <w:rFonts w:ascii="Helvetica" w:hAnsi="Helvetica"/>
          <w:sz w:val="18"/>
        </w:rPr>
      </w:pPr>
      <w:r>
        <w:rPr>
          <w:rFonts w:ascii="Helvetica" w:hAnsi="Helvetica"/>
          <w:sz w:val="18"/>
        </w:rPr>
        <w:t>Securities registered pursuant to Section 12(b) of the Act:</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27" w:name="Tc_gilLsrMyaUWDp3FtTTSBYA_1_4"/>
      <w:bookmarkStart w:id="28" w:name="Tc_765VItmp8EadL4Mytvvt1g_1_2"/>
      <w:bookmarkStart w:id="29" w:name="Tc_bYe0XQ60DEa7xJTHuJju-Q_1_0"/>
      <w:bookmarkStart w:id="30" w:name="_c6671bc3_8d02_4afe_8ef5_4f6889c20db9"/>
      <w:bookmarkStart w:id="31" w:name="Tc_gilLsrMyaUWDp3FtTTSBYA_1_4"/>
      <w:bookmarkStart w:id="32" w:name="Tc_765VItmp8EadL4Mytvvt1g_1_2"/>
      <w:bookmarkStart w:id="33" w:name="Tc_bYe0XQ60DEa7xJTHuJju-Q_1_0"/>
      <w:bookmarkStart w:id="34" w:name="_c6671bc3_8d02_4afe_8ef5_4f6889c20db9"/>
      <w:bookmarkEnd w:id="31"/>
      <w:bookmarkEnd w:id="32"/>
      <w:bookmarkEnd w:id="33"/>
      <w:bookmarkEnd w:id="34"/>
    </w:p>
    <w:tbl>
      <w:tblPr>
        <w:tblW w:w="8321" w:type="dxa"/>
        <w:jc w:val="left"/>
        <w:tblInd w:w="0" w:type="dxa"/>
        <w:tblLayout w:type="fixed"/>
        <w:tblCellMar>
          <w:top w:w="0" w:type="dxa"/>
          <w:left w:w="0" w:type="dxa"/>
          <w:bottom w:w="28" w:type="dxa"/>
          <w:right w:w="0" w:type="dxa"/>
        </w:tblCellMar>
      </w:tblPr>
      <w:tblGrid>
        <w:gridCol w:w="2731"/>
        <w:gridCol w:w="109"/>
        <w:gridCol w:w="1426"/>
        <w:gridCol w:w="109"/>
        <w:gridCol w:w="3946"/>
      </w:tblGrid>
      <w:tr>
        <w:trPr/>
        <w:tc>
          <w:tcPr>
            <w:tcW w:w="2731" w:type="dxa"/>
            <w:tcBorders>
              <w:bottom w:val="single" w:sz="2" w:space="0" w:color="000000"/>
            </w:tcBorders>
            <w:vAlign w:val="center"/>
          </w:tcPr>
          <w:p>
            <w:pPr>
              <w:pStyle w:val="TableContents"/>
              <w:bidi w:val="0"/>
              <w:spacing w:before="0" w:after="0"/>
              <w:ind w:left="0" w:right="0" w:hanging="0"/>
              <w:jc w:val="left"/>
              <w:rPr/>
            </w:pPr>
            <w:r>
              <w:rPr/>
              <w:t>​</w:t>
            </w:r>
          </w:p>
        </w:tc>
        <w:tc>
          <w:tcPr>
            <w:tcW w:w="109" w:type="dxa"/>
            <w:tcBorders>
              <w:bottom w:val="single" w:sz="2" w:space="0" w:color="000000"/>
            </w:tcBorders>
            <w:vAlign w:val="center"/>
          </w:tcPr>
          <w:p>
            <w:pPr>
              <w:pStyle w:val="TableContents"/>
              <w:bidi w:val="0"/>
              <w:spacing w:before="0" w:after="0"/>
              <w:ind w:left="0" w:right="0" w:hanging="0"/>
              <w:jc w:val="left"/>
              <w:rPr/>
            </w:pPr>
            <w:r>
              <w:rPr/>
              <w:t>​</w:t>
            </w:r>
          </w:p>
        </w:tc>
        <w:tc>
          <w:tcPr>
            <w:tcW w:w="1426" w:type="dxa"/>
            <w:tcBorders>
              <w:bottom w:val="single" w:sz="2" w:space="0" w:color="000000"/>
            </w:tcBorders>
            <w:vAlign w:val="center"/>
          </w:tcPr>
          <w:p>
            <w:pPr>
              <w:pStyle w:val="TableContents"/>
              <w:bidi w:val="0"/>
              <w:spacing w:before="0" w:after="0"/>
              <w:ind w:left="0" w:right="0" w:hanging="0"/>
              <w:jc w:val="left"/>
              <w:rPr/>
            </w:pPr>
            <w:r>
              <w:rPr/>
              <w:t>​</w:t>
            </w:r>
          </w:p>
        </w:tc>
        <w:tc>
          <w:tcPr>
            <w:tcW w:w="109" w:type="dxa"/>
            <w:tcBorders>
              <w:bottom w:val="single" w:sz="2" w:space="0" w:color="000000"/>
            </w:tcBorders>
            <w:vAlign w:val="center"/>
          </w:tcPr>
          <w:p>
            <w:pPr>
              <w:pStyle w:val="TableContents"/>
              <w:bidi w:val="0"/>
              <w:spacing w:before="0" w:after="0"/>
              <w:ind w:left="0" w:right="0" w:hanging="0"/>
              <w:jc w:val="left"/>
              <w:rPr/>
            </w:pPr>
            <w:r>
              <w:rPr/>
              <w:t>​</w:t>
            </w:r>
          </w:p>
        </w:tc>
        <w:tc>
          <w:tcPr>
            <w:tcW w:w="3946" w:type="dxa"/>
            <w:tcBorders>
              <w:bottom w:val="single" w:sz="2" w:space="0" w:color="000000"/>
            </w:tcBorders>
            <w:vAlign w:val="center"/>
          </w:tcPr>
          <w:p>
            <w:pPr>
              <w:pStyle w:val="TableContents"/>
              <w:bidi w:val="0"/>
              <w:spacing w:before="0" w:after="0"/>
              <w:ind w:left="0" w:right="0" w:hanging="0"/>
              <w:jc w:val="left"/>
              <w:rPr/>
            </w:pPr>
            <w:r>
              <w:rPr/>
              <w:t>​</w:t>
            </w:r>
          </w:p>
        </w:tc>
      </w:tr>
      <w:tr>
        <w:trPr/>
        <w:tc>
          <w:tcPr>
            <w:tcW w:w="2731" w:type="dxa"/>
            <w:tcBorders>
              <w:top w:val="single" w:sz="2" w:space="0" w:color="000000"/>
              <w:left w:val="single" w:sz="2" w:space="0" w:color="000000"/>
              <w:bottom w:val="single" w:sz="2" w:space="0" w:color="000000"/>
            </w:tcBorders>
            <w:tcMar>
              <w:top w:w="28" w:type="dxa"/>
              <w:left w:w="103" w:type="dxa"/>
            </w:tcMar>
            <w:vAlign w:val="center"/>
          </w:tcPr>
          <w:p>
            <w:pPr>
              <w:pStyle w:val="TableContents"/>
              <w:bidi w:val="0"/>
              <w:spacing w:before="0" w:after="0"/>
              <w:ind w:left="0" w:right="0" w:hanging="0"/>
              <w:jc w:val="center"/>
              <w:rPr>
                <w:rFonts w:ascii="Helvetica" w:hAnsi="Helvetica"/>
                <w:b/>
                <w:sz w:val="18"/>
              </w:rPr>
            </w:pPr>
            <w:r>
              <w:rPr>
                <w:rFonts w:ascii="Helvetica" w:hAnsi="Helvetica"/>
                <w:b/>
                <w:sz w:val="18"/>
              </w:rPr>
              <w:t>Title of each class</w:t>
            </w:r>
          </w:p>
        </w:tc>
        <w:tc>
          <w:tcPr>
            <w:tcW w:w="109" w:type="dxa"/>
            <w:tcBorders>
              <w:top w:val="single" w:sz="2" w:space="0" w:color="000000"/>
            </w:tcBorders>
            <w:tcMar>
              <w:top w:w="28" w:type="dxa"/>
              <w:bottom w:w="0" w:type="dxa"/>
            </w:tcMar>
            <w:vAlign w:val="center"/>
          </w:tcPr>
          <w:p>
            <w:pPr>
              <w:pStyle w:val="TableContents"/>
              <w:bidi w:val="0"/>
              <w:spacing w:before="0" w:after="0"/>
              <w:ind w:left="0" w:right="0" w:hanging="0"/>
              <w:jc w:val="center"/>
              <w:rPr/>
            </w:pPr>
            <w:r>
              <w:rPr/>
              <w:t>​</w:t>
            </w:r>
          </w:p>
        </w:tc>
        <w:tc>
          <w:tcPr>
            <w:tcW w:w="1426" w:type="dxa"/>
            <w:tcBorders>
              <w:top w:val="single" w:sz="2" w:space="0" w:color="000000"/>
              <w:bottom w:val="single" w:sz="2" w:space="0" w:color="000000"/>
            </w:tcBorders>
            <w:tcMar>
              <w:top w:w="28" w:type="dxa"/>
            </w:tcMar>
            <w:vAlign w:val="center"/>
          </w:tcPr>
          <w:p>
            <w:pPr>
              <w:pStyle w:val="TableContents"/>
              <w:bidi w:val="0"/>
              <w:spacing w:before="0" w:after="0"/>
              <w:ind w:left="0" w:right="0" w:hanging="0"/>
              <w:jc w:val="center"/>
              <w:rPr>
                <w:rFonts w:ascii="Helvetica" w:hAnsi="Helvetica"/>
                <w:b/>
                <w:sz w:val="18"/>
              </w:rPr>
            </w:pPr>
            <w:r>
              <w:rPr>
                <w:rFonts w:ascii="Helvetica" w:hAnsi="Helvetica"/>
                <w:b/>
                <w:sz w:val="18"/>
              </w:rPr>
              <w:t>Trading symbol</w:t>
            </w:r>
          </w:p>
        </w:tc>
        <w:tc>
          <w:tcPr>
            <w:tcW w:w="109" w:type="dxa"/>
            <w:tcBorders>
              <w:top w:val="single" w:sz="2" w:space="0" w:color="000000"/>
            </w:tcBorders>
            <w:tcMar>
              <w:top w:w="28" w:type="dxa"/>
              <w:bottom w:w="0" w:type="dxa"/>
            </w:tcMar>
            <w:vAlign w:val="center"/>
          </w:tcPr>
          <w:p>
            <w:pPr>
              <w:pStyle w:val="TableContents"/>
              <w:bidi w:val="0"/>
              <w:spacing w:before="0" w:after="0"/>
              <w:ind w:left="0" w:right="0" w:hanging="0"/>
              <w:jc w:val="left"/>
              <w:rPr/>
            </w:pPr>
            <w:r>
              <w:rPr/>
              <w:t>​</w:t>
            </w:r>
          </w:p>
        </w:tc>
        <w:tc>
          <w:tcPr>
            <w:tcW w:w="3946" w:type="dxa"/>
            <w:tcBorders>
              <w:top w:val="single" w:sz="2" w:space="0" w:color="000000"/>
              <w:bottom w:val="single" w:sz="2" w:space="0" w:color="000000"/>
              <w:right w:val="single" w:sz="2" w:space="0" w:color="000000"/>
            </w:tcBorders>
            <w:tcMar>
              <w:top w:w="28" w:type="dxa"/>
              <w:right w:w="103" w:type="dxa"/>
            </w:tcMar>
            <w:vAlign w:val="center"/>
          </w:tcPr>
          <w:p>
            <w:pPr>
              <w:pStyle w:val="TableContents"/>
              <w:bidi w:val="0"/>
              <w:spacing w:before="0" w:after="0"/>
              <w:ind w:left="0" w:right="0" w:hanging="0"/>
              <w:jc w:val="center"/>
              <w:rPr>
                <w:rFonts w:ascii="Helvetica" w:hAnsi="Helvetica"/>
                <w:b/>
                <w:sz w:val="18"/>
              </w:rPr>
            </w:pPr>
            <w:r>
              <w:rPr>
                <w:rFonts w:ascii="Helvetica" w:hAnsi="Helvetica"/>
                <w:b/>
                <w:sz w:val="18"/>
              </w:rPr>
              <w:t>Name of each exchange on which registered</w:t>
            </w:r>
          </w:p>
        </w:tc>
      </w:tr>
      <w:tr>
        <w:trPr/>
        <w:tc>
          <w:tcPr>
            <w:tcW w:w="2731" w:type="dxa"/>
            <w:tcBorders>
              <w:top w:val="single" w:sz="2" w:space="0" w:color="000000"/>
              <w:left w:val="single" w:sz="2" w:space="0" w:color="000000"/>
              <w:bottom w:val="single" w:sz="2" w:space="0" w:color="000000"/>
            </w:tcBorders>
            <w:tcMar>
              <w:top w:w="28" w:type="dxa"/>
              <w:left w:w="103" w:type="dxa"/>
            </w:tcMar>
            <w:vAlign w:val="center"/>
          </w:tcPr>
          <w:p>
            <w:pPr>
              <w:pStyle w:val="TableContents"/>
              <w:bidi w:val="0"/>
              <w:spacing w:before="0" w:after="0"/>
              <w:ind w:left="0" w:right="0" w:hanging="0"/>
              <w:jc w:val="center"/>
              <w:rPr>
                <w:rFonts w:ascii="Helvetica" w:hAnsi="Helvetica"/>
                <w:sz w:val="18"/>
              </w:rPr>
            </w:pPr>
            <w:r>
              <w:rPr>
                <w:rFonts w:ascii="Helvetica" w:hAnsi="Helvetica"/>
                <w:sz w:val="18"/>
              </w:rPr>
              <w:t>Common Stock, $0.01 par value</w:t>
            </w:r>
          </w:p>
        </w:tc>
        <w:tc>
          <w:tcPr>
            <w:tcW w:w="109" w:type="dxa"/>
            <w:tcBorders>
              <w:bottom w:val="single" w:sz="2" w:space="0" w:color="000000"/>
            </w:tcBorders>
            <w:vAlign w:val="center"/>
          </w:tcPr>
          <w:p>
            <w:pPr>
              <w:pStyle w:val="TableContents"/>
              <w:bidi w:val="0"/>
              <w:spacing w:before="0" w:after="0"/>
              <w:ind w:left="0" w:right="0" w:hanging="0"/>
              <w:jc w:val="center"/>
              <w:rPr/>
            </w:pPr>
            <w:r>
              <w:rPr/>
              <w:t>​</w:t>
            </w:r>
          </w:p>
        </w:tc>
        <w:tc>
          <w:tcPr>
            <w:tcW w:w="1426" w:type="dxa"/>
            <w:tcBorders>
              <w:top w:val="single" w:sz="2" w:space="0" w:color="000000"/>
              <w:bottom w:val="single" w:sz="2" w:space="0" w:color="000000"/>
            </w:tcBorders>
            <w:tcMar>
              <w:top w:w="28" w:type="dxa"/>
            </w:tcMar>
            <w:vAlign w:val="center"/>
          </w:tcPr>
          <w:p>
            <w:pPr>
              <w:pStyle w:val="TableContents"/>
              <w:bidi w:val="0"/>
              <w:spacing w:before="0" w:after="0"/>
              <w:ind w:left="0" w:right="0" w:hanging="0"/>
              <w:jc w:val="center"/>
              <w:rPr>
                <w:rFonts w:ascii="Helvetica" w:hAnsi="Helvetica"/>
                <w:sz w:val="18"/>
              </w:rPr>
            </w:pPr>
            <w:r>
              <w:rPr>
                <w:rFonts w:ascii="Helvetica" w:hAnsi="Helvetica"/>
                <w:sz w:val="18"/>
              </w:rPr>
              <w:t>CTRN</w:t>
            </w:r>
          </w:p>
        </w:tc>
        <w:tc>
          <w:tcPr>
            <w:tcW w:w="109" w:type="dxa"/>
            <w:tcBorders>
              <w:bottom w:val="single" w:sz="2" w:space="0" w:color="000000"/>
            </w:tcBorders>
            <w:vAlign w:val="center"/>
          </w:tcPr>
          <w:p>
            <w:pPr>
              <w:pStyle w:val="TableContents"/>
              <w:bidi w:val="0"/>
              <w:spacing w:before="0" w:after="0"/>
              <w:ind w:left="0" w:right="0" w:hanging="0"/>
              <w:jc w:val="center"/>
              <w:rPr/>
            </w:pPr>
            <w:r>
              <w:rPr/>
              <w:t>​</w:t>
            </w:r>
          </w:p>
        </w:tc>
        <w:tc>
          <w:tcPr>
            <w:tcW w:w="3946" w:type="dxa"/>
            <w:tcBorders>
              <w:top w:val="single" w:sz="2" w:space="0" w:color="000000"/>
              <w:bottom w:val="single" w:sz="2" w:space="0" w:color="000000"/>
              <w:right w:val="single" w:sz="2" w:space="0" w:color="000000"/>
            </w:tcBorders>
            <w:tcMar>
              <w:top w:w="28" w:type="dxa"/>
              <w:right w:w="103" w:type="dxa"/>
            </w:tcMar>
            <w:vAlign w:val="center"/>
          </w:tcPr>
          <w:p>
            <w:pPr>
              <w:pStyle w:val="TableContents"/>
              <w:bidi w:val="0"/>
              <w:spacing w:before="0" w:after="0"/>
              <w:ind w:left="0" w:right="0" w:hanging="0"/>
              <w:jc w:val="center"/>
              <w:rPr>
                <w:rFonts w:ascii="Helvetica" w:hAnsi="Helvetica"/>
                <w:sz w:val="18"/>
              </w:rPr>
            </w:pPr>
            <w:r>
              <w:rPr>
                <w:rFonts w:ascii="Helvetica" w:hAnsi="Helvetica"/>
                <w:sz w:val="18"/>
              </w:rPr>
              <w:t>NASDAQ Stock Market</w:t>
            </w:r>
          </w:p>
        </w:tc>
      </w:tr>
    </w:tbl>
    <w:p>
      <w:pPr>
        <w:pStyle w:val="TextBody"/>
        <w:bidi w:val="0"/>
        <w:spacing w:before="0" w:after="0"/>
        <w:ind w:left="0" w:right="0" w:hanging="0"/>
        <w:jc w:val="center"/>
        <w:rPr/>
      </w:pPr>
      <w:r>
        <w:rPr/>
        <w:t>​</w:t>
      </w:r>
    </w:p>
    <w:p>
      <w:pPr>
        <w:pStyle w:val="TextBody"/>
        <w:bidi w:val="0"/>
        <w:spacing w:lineRule="auto" w:line="307" w:before="0" w:after="0"/>
        <w:ind w:left="1" w:right="0" w:hanging="0"/>
        <w:jc w:val="left"/>
        <w:rPr>
          <w:rFonts w:ascii="Times New Roman;Times;serif" w:hAnsi="Times New Roman;Times;serif"/>
          <w:sz w:val="20"/>
        </w:rPr>
      </w:pPr>
      <w:r>
        <w:rPr>
          <w:rFonts w:ascii="Helvetica" w:hAnsi="Helvetica"/>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Times;serif" w:hAnsi="Times New Roman;Times;serif"/>
          <w:sz w:val="20"/>
        </w:rPr>
        <w:t xml:space="preserve">  ☒ </w:t>
      </w:r>
      <w:r>
        <w:rPr>
          <w:rFonts w:ascii="Helvetica" w:hAnsi="Helvetica"/>
          <w:sz w:val="18"/>
        </w:rPr>
        <w:t xml:space="preserve">No </w:t>
      </w:r>
      <w:r>
        <w:rPr>
          <w:rFonts w:ascii="Times New Roman;Times;serif" w:hAnsi="Times New Roman;Times;serif"/>
          <w:sz w:val="20"/>
        </w:rPr>
        <w:t>☐</w:t>
      </w:r>
    </w:p>
    <w:p>
      <w:pPr>
        <w:pStyle w:val="TextBody"/>
        <w:bidi w:val="0"/>
        <w:spacing w:lineRule="auto" w:line="307" w:before="0" w:after="0"/>
        <w:ind w:left="1" w:right="0" w:hanging="0"/>
        <w:jc w:val="left"/>
        <w:rPr/>
      </w:pPr>
      <w:r>
        <w:rPr/>
        <w:t>​</w:t>
      </w:r>
    </w:p>
    <w:p>
      <w:pPr>
        <w:pStyle w:val="TextBody"/>
        <w:bidi w:val="0"/>
        <w:spacing w:lineRule="auto" w:line="307" w:before="0" w:after="0"/>
        <w:ind w:left="0" w:right="0" w:hanging="0"/>
        <w:jc w:val="left"/>
        <w:rPr>
          <w:rFonts w:ascii="Times New Roman;Times;serif" w:hAnsi="Times New Roman;Times;serif"/>
          <w:sz w:val="20"/>
        </w:rPr>
      </w:pPr>
      <w:r>
        <w:rPr>
          <w:rFonts w:ascii="Helvetica" w:hAnsi="Helvetica"/>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Times;serif" w:hAnsi="Times New Roman;Times;serif"/>
          <w:sz w:val="20"/>
        </w:rPr>
        <w:t xml:space="preserve"> ☒ </w:t>
      </w:r>
      <w:r>
        <w:rPr>
          <w:rFonts w:ascii="Helvetica" w:hAnsi="Helvetica"/>
          <w:sz w:val="18"/>
        </w:rPr>
        <w:t xml:space="preserve">No </w:t>
      </w:r>
      <w:r>
        <w:rPr>
          <w:rFonts w:ascii="Times New Roman;Times;serif" w:hAnsi="Times New Roman;Times;serif"/>
          <w:sz w:val="20"/>
        </w:rPr>
        <w:t>☐</w:t>
      </w:r>
    </w:p>
    <w:p>
      <w:pPr>
        <w:pStyle w:val="TextBody"/>
        <w:bidi w:val="0"/>
        <w:spacing w:lineRule="auto" w:line="307" w:before="0" w:after="0"/>
        <w:ind w:left="0" w:right="0" w:hanging="0"/>
        <w:jc w:val="left"/>
        <w:rPr/>
      </w:pPr>
      <w:r>
        <w:rPr/>
        <w:t>​</w:t>
      </w:r>
    </w:p>
    <w:p>
      <w:pPr>
        <w:pStyle w:val="TextBody"/>
        <w:bidi w:val="0"/>
        <w:spacing w:lineRule="auto" w:line="307" w:before="0" w:after="0"/>
        <w:ind w:left="0" w:right="0" w:hanging="0"/>
        <w:jc w:val="left"/>
        <w:rPr>
          <w:rFonts w:ascii="Helvetica" w:hAnsi="Helvetica"/>
          <w:sz w:val="18"/>
        </w:rPr>
      </w:pPr>
      <w:r>
        <w:rPr>
          <w:rFonts w:ascii="Helvetica" w:hAnsi="Helvetica"/>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6542" w:type="dxa"/>
        <w:jc w:val="left"/>
        <w:tblInd w:w="0" w:type="dxa"/>
        <w:tblLayout w:type="fixed"/>
        <w:tblCellMar>
          <w:top w:w="0" w:type="dxa"/>
          <w:left w:w="0" w:type="dxa"/>
          <w:bottom w:w="0" w:type="dxa"/>
          <w:right w:w="0" w:type="dxa"/>
        </w:tblCellMar>
      </w:tblPr>
      <w:tblGrid>
        <w:gridCol w:w="3901"/>
        <w:gridCol w:w="2641"/>
      </w:tblGrid>
      <w:tr>
        <w:trPr/>
        <w:tc>
          <w:tcPr>
            <w:tcW w:w="3901" w:type="dxa"/>
            <w:tcBorders/>
            <w:vAlign w:val="center"/>
          </w:tcPr>
          <w:p>
            <w:pPr>
              <w:pStyle w:val="TableContents"/>
              <w:bidi w:val="0"/>
              <w:spacing w:before="0" w:after="0"/>
              <w:ind w:left="0" w:right="0" w:hanging="0"/>
              <w:jc w:val="left"/>
              <w:rPr/>
            </w:pPr>
            <w:r>
              <w:rPr/>
              <w:t>​</w:t>
            </w:r>
          </w:p>
        </w:tc>
        <w:tc>
          <w:tcPr>
            <w:tcW w:w="2641" w:type="dxa"/>
            <w:tcBorders/>
            <w:vAlign w:val="center"/>
          </w:tcPr>
          <w:p>
            <w:pPr>
              <w:pStyle w:val="TableContents"/>
              <w:bidi w:val="0"/>
              <w:spacing w:before="0" w:after="0"/>
              <w:ind w:left="0" w:right="0" w:hanging="0"/>
              <w:jc w:val="left"/>
              <w:rPr/>
            </w:pPr>
            <w:r>
              <w:rPr/>
              <w:t>​</w:t>
            </w:r>
          </w:p>
        </w:tc>
      </w:tr>
      <w:tr>
        <w:trPr/>
        <w:tc>
          <w:tcPr>
            <w:tcW w:w="39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Helvetica" w:hAnsi="Helvetica"/>
                <w:sz w:val="18"/>
              </w:rPr>
              <w:t xml:space="preserve">Large Accelerated Filer </w:t>
            </w:r>
            <w:r>
              <w:rPr>
                <w:rFonts w:ascii="Times New Roman;Times;serif" w:hAnsi="Times New Roman;Times;serif"/>
                <w:sz w:val="20"/>
              </w:rPr>
              <w:t xml:space="preserve">☐ </w:t>
            </w:r>
            <w:r>
              <w:rPr>
                <w:rFonts w:ascii="Helvetica" w:hAnsi="Helvetica"/>
                <w:sz w:val="18"/>
              </w:rPr>
              <w:t>Accelerated Filer</w:t>
            </w:r>
            <w:r>
              <w:rPr>
                <w:rFonts w:ascii="Times New Roman;Times;serif" w:hAnsi="Times New Roman;Times;serif"/>
                <w:sz w:val="20"/>
              </w:rPr>
              <w:t xml:space="preserve"> ☒</w:t>
            </w:r>
          </w:p>
        </w:tc>
        <w:tc>
          <w:tcPr>
            <w:tcW w:w="264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Helvetica" w:hAnsi="Helvetica"/>
                <w:sz w:val="18"/>
              </w:rPr>
              <w:t xml:space="preserve">Non-Accelerated Filer </w:t>
            </w:r>
            <w:r>
              <w:rPr>
                <w:rFonts w:ascii="Times New Roman;Times;serif" w:hAnsi="Times New Roman;Times;serif"/>
                <w:sz w:val="18"/>
              </w:rPr>
              <w:t xml:space="preserve">☐ </w:t>
            </w:r>
          </w:p>
        </w:tc>
      </w:tr>
      <w:tr>
        <w:trPr/>
        <w:tc>
          <w:tcPr>
            <w:tcW w:w="3901" w:type="dxa"/>
            <w:tcBorders/>
            <w:vAlign w:val="center"/>
          </w:tcPr>
          <w:p>
            <w:pPr>
              <w:pStyle w:val="TableContents"/>
              <w:bidi w:val="0"/>
              <w:spacing w:before="0" w:after="0"/>
              <w:ind w:left="0" w:right="0" w:hanging="0"/>
              <w:jc w:val="left"/>
              <w:rPr/>
            </w:pPr>
            <w:r>
              <w:rPr/>
              <w:t>​</w:t>
            </w:r>
          </w:p>
        </w:tc>
        <w:tc>
          <w:tcPr>
            <w:tcW w:w="2641" w:type="dxa"/>
            <w:tcBorders/>
            <w:vAlign w:val="center"/>
          </w:tcPr>
          <w:p>
            <w:pPr>
              <w:pStyle w:val="TableContents"/>
              <w:bidi w:val="0"/>
              <w:spacing w:before="0" w:after="0"/>
              <w:ind w:left="0" w:right="0" w:hanging="0"/>
              <w:jc w:val="left"/>
              <w:rPr/>
            </w:pPr>
            <w:r>
              <w:rPr/>
              <w:t>​</w:t>
            </w:r>
          </w:p>
        </w:tc>
      </w:tr>
      <w:tr>
        <w:trPr/>
        <w:tc>
          <w:tcPr>
            <w:tcW w:w="39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Helvetica" w:hAnsi="Helvetica"/>
                <w:sz w:val="18"/>
              </w:rPr>
              <w:t xml:space="preserve">Smaller Reporting Company </w:t>
            </w:r>
            <w:r>
              <w:rPr>
                <w:rFonts w:ascii="Times New Roman;Times;serif" w:hAnsi="Times New Roman;Times;serif"/>
                <w:sz w:val="20"/>
              </w:rPr>
              <w:t>☐</w:t>
            </w:r>
          </w:p>
        </w:tc>
        <w:tc>
          <w:tcPr>
            <w:tcW w:w="26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Helvetica" w:hAnsi="Helvetica"/>
                <w:sz w:val="18"/>
              </w:rPr>
              <w:t xml:space="preserve">Emerging Growth Company </w:t>
            </w:r>
            <w:r>
              <w:rPr>
                <w:rFonts w:ascii="Times New Roman;Times;serif" w:hAnsi="Times New Roman;Times;serif"/>
                <w:sz w:val="20"/>
              </w:rPr>
              <w:t>☐</w:t>
            </w:r>
          </w:p>
        </w:tc>
      </w:tr>
    </w:tbl>
    <w:p>
      <w:pPr>
        <w:pStyle w:val="TextBody"/>
        <w:bidi w:val="0"/>
        <w:spacing w:before="0" w:after="0"/>
        <w:ind w:left="0" w:right="0" w:hanging="0"/>
        <w:jc w:val="left"/>
        <w:rPr/>
      </w:pPr>
      <w:r>
        <w:rPr/>
        <w:t>​</w:t>
      </w:r>
    </w:p>
    <w:p>
      <w:pPr>
        <w:pStyle w:val="TextBody"/>
        <w:bidi w:val="0"/>
        <w:spacing w:lineRule="auto" w:line="307" w:before="0" w:after="0"/>
        <w:ind w:left="0" w:right="0" w:hanging="0"/>
        <w:jc w:val="left"/>
        <w:rPr>
          <w:rFonts w:ascii="Times New Roman;Times;serif" w:hAnsi="Times New Roman;Times;serif"/>
          <w:sz w:val="18"/>
        </w:rPr>
      </w:pPr>
      <w:r>
        <w:rPr>
          <w:rFonts w:ascii="Helvetica" w:hAnsi="Helvetica"/>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Times;serif" w:hAnsi="Times New Roman;Times;serif"/>
          <w:sz w:val="18"/>
        </w:rPr>
        <w:t>☐</w:t>
      </w:r>
    </w:p>
    <w:p>
      <w:pPr>
        <w:pStyle w:val="TextBody"/>
        <w:bidi w:val="0"/>
        <w:spacing w:lineRule="auto" w:line="307" w:before="0" w:after="0"/>
        <w:ind w:left="0" w:right="0" w:hanging="0"/>
        <w:jc w:val="left"/>
        <w:rPr/>
      </w:pPr>
      <w:r>
        <w:rPr/>
        <w:t>​</w:t>
      </w:r>
    </w:p>
    <w:p>
      <w:pPr>
        <w:pStyle w:val="TextBody"/>
        <w:bidi w:val="0"/>
        <w:spacing w:lineRule="auto" w:line="307" w:before="0" w:after="0"/>
        <w:ind w:left="0" w:right="0" w:hanging="0"/>
        <w:jc w:val="left"/>
        <w:rPr>
          <w:rFonts w:ascii="Times New Roman;Times;serif" w:hAnsi="Times New Roman;Times;serif"/>
          <w:sz w:val="20"/>
        </w:rPr>
      </w:pPr>
      <w:r>
        <w:rPr>
          <w:rFonts w:ascii="Helvetica" w:hAnsi="Helvetica"/>
          <w:sz w:val="18"/>
        </w:rPr>
        <w:t>Indicate by check mark whether the registrant is a shell company (as defined in Rule 12b-2 of the Exchange Act). Yes  </w:t>
      </w:r>
      <w:r>
        <w:rPr>
          <w:rFonts w:ascii="Times New Roman;Times;serif" w:hAnsi="Times New Roman;Times;serif"/>
          <w:sz w:val="20"/>
        </w:rPr>
        <w:t>☐  </w:t>
      </w:r>
      <w:r>
        <w:rPr>
          <w:rFonts w:ascii="Helvetica" w:hAnsi="Helvetica"/>
          <w:sz w:val="18"/>
        </w:rPr>
        <w:t xml:space="preserve">No  </w:t>
      </w:r>
      <w:r>
        <w:rPr>
          <w:rFonts w:ascii="Times New Roman;Times;serif" w:hAnsi="Times New Roman;Times;serif"/>
          <w:sz w:val="20"/>
        </w:rPr>
        <w:t>☒</w:t>
      </w:r>
    </w:p>
    <w:p>
      <w:pPr>
        <w:pStyle w:val="TextBody"/>
        <w:bidi w:val="0"/>
        <w:spacing w:lineRule="auto" w:line="307"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12"/>
        </w:rPr>
      </w:pPr>
      <w:r>
        <w:rPr>
          <w:rFonts w:ascii="Helvetica" w:hAnsi="Helvetica"/>
          <w:sz w:val="18"/>
        </w:rPr>
        <w:t>As of August 28, 2026, the registrant had 8,339,447</w:t>
      </w:r>
      <w:r>
        <w:rPr>
          <w:rFonts w:ascii="Times New Roman;Times;serif" w:hAnsi="Times New Roman;Times;serif"/>
          <w:sz w:val="12"/>
        </w:rPr>
        <w:t xml:space="preserve"> </w:t>
      </w:r>
      <w:r>
        <w:rPr>
          <w:rFonts w:ascii="Helvetica" w:hAnsi="Helvetica"/>
          <w:sz w:val="18"/>
        </w:rPr>
        <w:t>outstanding shares of common stock, $0.01 par value per share</w:t>
      </w:r>
      <w:r>
        <w:rPr>
          <w:rFonts w:ascii="Helvetica" w:hAnsi="Helvetica"/>
          <w:sz w:val="20"/>
        </w:rPr>
        <w:t>.</w:t>
      </w:r>
      <w:r>
        <w:rPr>
          <w:rFonts w:ascii="Times New Roman;Times;serif" w:hAnsi="Times New Roman;Times;serif"/>
          <w:sz w:val="12"/>
        </w:rPr>
        <w:t xml:space="preserve"> </w:t>
      </w:r>
    </w:p>
    <w:p>
      <w:pPr>
        <w:pStyle w:val="TextBody"/>
        <w:pBdr>
          <w:bottom w:val="single" w:sz="8" w:space="1" w:color="000000"/>
        </w:pBdr>
        <w:bidi w:val="0"/>
        <w:spacing w:before="0" w:after="0"/>
        <w:ind w:left="0" w:right="0" w:hanging="0"/>
        <w:jc w:val="left"/>
        <w:rPr>
          <w:bdr w:val="single" w:sz="24" w:space="1" w:color="000000"/>
        </w:rPr>
      </w:pPr>
      <w:r>
        <w:rPr>
          <w:bdr w:val="single" w:sz="24" w:space="1" w:color="000000"/>
        </w:rPr>
        <w:t>​</w:t>
      </w:r>
    </w:p>
    <w:p>
      <w:pPr>
        <w:pStyle w:val="TextBody"/>
        <w:bidi w:val="0"/>
        <w:spacing w:before="0" w:after="0"/>
        <w:ind w:left="0" w:right="0" w:hanging="0"/>
        <w:jc w:val="left"/>
        <w:rPr/>
      </w:pPr>
      <w:r>
        <w:rPr/>
        <w:t>​</w:t>
      </w:r>
    </w:p>
    <w:p>
      <w:pPr>
        <w:pStyle w:val="TextBody"/>
        <w:bidi w:val="0"/>
        <w:spacing w:before="0" w:after="6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0"/>
        <w:ind w:left="0" w:right="0" w:hanging="0"/>
        <w:jc w:val="center"/>
        <w:rPr>
          <w:rFonts w:ascii="Helvetica" w:hAnsi="Helvetica"/>
          <w:b/>
          <w:sz w:val="18"/>
        </w:rPr>
      </w:pPr>
      <w:bookmarkStart w:id="35" w:name="_60e923bb_97fe_4db5_834f_7bc242d0bb9a"/>
      <w:bookmarkEnd w:id="35"/>
      <w:r>
        <w:rPr>
          <w:rFonts w:ascii="Helvetica" w:hAnsi="Helvetica"/>
          <w:b/>
          <w:sz w:val="18"/>
        </w:rPr>
        <w:t>CITI TRENDS, INC.</w:t>
      </w:r>
    </w:p>
    <w:p>
      <w:pPr>
        <w:pStyle w:val="TextBody"/>
        <w:bidi w:val="0"/>
        <w:spacing w:before="0" w:after="0"/>
        <w:ind w:left="0" w:right="0" w:hanging="0"/>
        <w:jc w:val="center"/>
        <w:rPr>
          <w:rFonts w:ascii="Helvetica" w:hAnsi="Helvetica"/>
          <w:b/>
          <w:sz w:val="18"/>
        </w:rPr>
      </w:pPr>
      <w:r>
        <w:rPr>
          <w:rFonts w:ascii="Helvetica" w:hAnsi="Helvetica"/>
          <w:b/>
          <w:sz w:val="18"/>
        </w:rPr>
        <w:t>FORM 10-Q</w:t>
      </w:r>
    </w:p>
    <w:p>
      <w:pPr>
        <w:pStyle w:val="TextBody"/>
        <w:bidi w:val="0"/>
        <w:spacing w:before="0" w:after="0"/>
        <w:ind w:left="0" w:right="0" w:hanging="0"/>
        <w:jc w:val="center"/>
        <w:rPr>
          <w:rFonts w:ascii="Times New Roman;Times;serif" w:hAnsi="Times New Roman;Times;serif"/>
          <w:sz w:val="18"/>
        </w:rPr>
      </w:pPr>
      <w:bookmarkStart w:id="36" w:name="TOC"/>
      <w:bookmarkEnd w:id="36"/>
      <w:r>
        <w:rPr>
          <w:rFonts w:ascii="Helvetica" w:hAnsi="Helvetica"/>
          <w:b/>
          <w:sz w:val="18"/>
        </w:rPr>
        <w:t>TABLE OF</w:t>
      </w:r>
      <w:r>
        <w:rPr>
          <w:rFonts w:ascii="Times New Roman;Times;serif" w:hAnsi="Times New Roman;Times;serif"/>
          <w:sz w:val="18"/>
        </w:rPr>
        <w:t xml:space="preserve"> </w:t>
      </w:r>
      <w:r>
        <w:rPr>
          <w:rFonts w:ascii="Helvetica" w:hAnsi="Helvetica"/>
          <w:b/>
          <w:sz w:val="18"/>
        </w:rPr>
        <w:t>CONTENTS</w:t>
      </w:r>
    </w:p>
    <w:tbl>
      <w:tblPr>
        <w:tblW w:w="9048" w:type="dxa"/>
        <w:jc w:val="left"/>
        <w:tblInd w:w="0" w:type="dxa"/>
        <w:tblLayout w:type="fixed"/>
        <w:tblCellMar>
          <w:top w:w="0" w:type="dxa"/>
          <w:left w:w="0" w:type="dxa"/>
          <w:bottom w:w="0" w:type="dxa"/>
          <w:right w:w="0" w:type="dxa"/>
        </w:tblCellMar>
      </w:tblPr>
      <w:tblGrid>
        <w:gridCol w:w="736"/>
        <w:gridCol w:w="7351"/>
        <w:gridCol w:w="961"/>
      </w:tblGrid>
      <w:tr>
        <w:trPr/>
        <w:tc>
          <w:tcPr>
            <w:tcW w:w="7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467360" cy="175260"/>
                      <wp:effectExtent l="0" t="0" r="0" b="0"/>
                      <wp:wrapNone/>
                      <wp:docPr id="2" name="Frame2"/>
                      <a:graphic xmlns:a="http://schemas.openxmlformats.org/drawingml/2006/main">
                        <a:graphicData uri="http://schemas.microsoft.com/office/word/2010/wordprocessingShape">
                          <wps:wsp>
                            <wps:cNvSpPr txBox="1"/>
                            <wps:spPr>
                              <a:xfrm>
                                <a:off x="0" y="0"/>
                                <a:ext cx="467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3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4667885" cy="175260"/>
                      <wp:effectExtent l="0" t="0" r="0" b="0"/>
                      <wp:wrapNone/>
                      <wp:docPr id="3" name="Frame3"/>
                      <a:graphic xmlns:a="http://schemas.openxmlformats.org/drawingml/2006/main">
                        <a:graphicData uri="http://schemas.microsoft.com/office/word/2010/wordprocessingShape">
                          <wps:wsp>
                            <wps:cNvSpPr txBox="1"/>
                            <wps:spPr>
                              <a:xfrm>
                                <a:off x="0" y="0"/>
                                <a:ext cx="46678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10235" cy="29210"/>
                      <wp:effectExtent l="0" t="0" r="0" b="0"/>
                      <wp:wrapNone/>
                      <wp:docPr id="4" name="Frame4"/>
                      <a:graphic xmlns:a="http://schemas.openxmlformats.org/drawingml/2006/main">
                        <a:graphicData uri="http://schemas.microsoft.com/office/word/2010/wordprocessingShape">
                          <wps:wsp>
                            <wps:cNvSpPr txBox="1"/>
                            <wps:spPr>
                              <a:xfrm>
                                <a:off x="0" y="0"/>
                                <a:ext cx="61023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0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736" w:type="dxa"/>
            <w:tcBorders/>
            <w:vAlign w:val="center"/>
          </w:tcPr>
          <w:p>
            <w:pPr>
              <w:pStyle w:val="TableContents"/>
              <w:bidi w:val="0"/>
              <w:spacing w:lineRule="auto" w:line="328" w:before="0" w:after="0"/>
              <w:ind w:left="0" w:right="0" w:hanging="0"/>
              <w:jc w:val="left"/>
              <w:rPr/>
            </w:pPr>
            <w:r>
              <w:rPr/>
              <w:t>​</w:t>
            </w:r>
          </w:p>
        </w:tc>
        <w:tc>
          <w:tcPr>
            <w:tcW w:w="7351" w:type="dxa"/>
            <w:tcBorders/>
            <w:vAlign w:val="center"/>
          </w:tcPr>
          <w:p>
            <w:pPr>
              <w:pStyle w:val="TableContents"/>
              <w:bidi w:val="0"/>
              <w:spacing w:lineRule="auto" w:line="328" w:before="0" w:after="0"/>
              <w:ind w:left="0" w:right="0" w:hanging="0"/>
              <w:jc w:val="center"/>
              <w:rPr/>
            </w:pPr>
            <w:r>
              <w:rPr/>
              <w:t>​</w:t>
            </w:r>
          </w:p>
        </w:tc>
        <w:tc>
          <w:tcPr>
            <w:tcW w:w="961" w:type="dxa"/>
            <w:tcBorders/>
            <w:vAlign w:val="center"/>
          </w:tcPr>
          <w:p>
            <w:pPr>
              <w:pStyle w:val="TableContents"/>
              <w:bidi w:val="0"/>
              <w:spacing w:lineRule="auto" w:line="328" w:before="0" w:after="0"/>
              <w:ind w:left="0" w:right="0" w:hanging="0"/>
              <w:jc w:val="center"/>
              <w:rPr>
                <w:rFonts w:ascii="Helvetica" w:hAnsi="Helvetica"/>
                <w:b/>
                <w:sz w:val="18"/>
              </w:rPr>
            </w:pPr>
            <w:r>
              <w:rPr>
                <w:rFonts w:ascii="Helvetica" w:hAnsi="Helvetica"/>
                <w:b/>
                <w:sz w:val="18"/>
              </w:rPr>
              <w:t>PAGE</w:t>
            </w:r>
          </w:p>
        </w:tc>
      </w:tr>
      <w:tr>
        <w:trPr/>
        <w:tc>
          <w:tcPr>
            <w:tcW w:w="736" w:type="dxa"/>
            <w:tcBorders/>
            <w:vAlign w:val="center"/>
          </w:tcPr>
          <w:p>
            <w:pPr>
              <w:pStyle w:val="TableContents"/>
              <w:bidi w:val="0"/>
              <w:spacing w:lineRule="auto" w:line="328" w:before="0" w:after="0"/>
              <w:ind w:left="0" w:right="0" w:hanging="0"/>
              <w:jc w:val="left"/>
              <w:rPr/>
            </w:pPr>
            <w:r>
              <w:rPr/>
              <w:t>​</w:t>
            </w:r>
          </w:p>
        </w:tc>
        <w:tc>
          <w:tcPr>
            <w:tcW w:w="7351" w:type="dxa"/>
            <w:tcBorders/>
            <w:vAlign w:val="center"/>
          </w:tcPr>
          <w:p>
            <w:pPr>
              <w:pStyle w:val="TableContents"/>
              <w:bidi w:val="0"/>
              <w:spacing w:lineRule="auto" w:line="328" w:before="0" w:after="0"/>
              <w:ind w:left="0" w:right="0" w:hanging="0"/>
              <w:jc w:val="center"/>
              <w:rPr/>
            </w:pPr>
            <w:r>
              <w:rPr/>
              <w:t>​</w:t>
            </w:r>
          </w:p>
        </w:tc>
        <w:tc>
          <w:tcPr>
            <w:tcW w:w="961" w:type="dxa"/>
            <w:tcBorders>
              <w:bottom w:val="single" w:sz="2" w:space="0" w:color="000000"/>
            </w:tcBorders>
            <w:tcMar>
              <w:bottom w:w="28" w:type="dxa"/>
            </w:tcMar>
            <w:vAlign w:val="center"/>
          </w:tcPr>
          <w:p>
            <w:pPr>
              <w:pStyle w:val="TableContents"/>
              <w:bidi w:val="0"/>
              <w:spacing w:lineRule="auto" w:line="328" w:before="0" w:after="0"/>
              <w:ind w:left="0" w:right="0" w:hanging="0"/>
              <w:jc w:val="center"/>
              <w:rPr>
                <w:rFonts w:ascii="Helvetica" w:hAnsi="Helvetica"/>
                <w:b/>
                <w:sz w:val="18"/>
              </w:rPr>
            </w:pPr>
            <w:r>
              <w:rPr>
                <w:rFonts w:ascii="Helvetica" w:hAnsi="Helvetica"/>
                <w:b/>
                <w:sz w:val="18"/>
              </w:rPr>
              <w:t>NUMBER</w:t>
            </w:r>
          </w:p>
        </w:tc>
      </w:tr>
      <w:tr>
        <w:trPr/>
        <w:tc>
          <w:tcPr>
            <w:tcW w:w="736" w:type="dxa"/>
            <w:tcBorders/>
            <w:vAlign w:val="center"/>
          </w:tcPr>
          <w:p>
            <w:pPr>
              <w:pStyle w:val="TableContents"/>
              <w:pBdr/>
              <w:bidi w:val="0"/>
              <w:spacing w:lineRule="auto" w:line="328" w:before="0" w:after="0"/>
              <w:ind w:left="0" w:right="0" w:hanging="0"/>
              <w:jc w:val="left"/>
              <w:rPr/>
            </w:pPr>
            <w:hyperlink w:anchor="PARTIFINANCIALINFORMATION_451939">
              <w:r>
                <w:rPr>
                  <w:rStyle w:val="InternetLink"/>
                  <w:rFonts w:ascii="Helvetica" w:hAnsi="Helvetica"/>
                  <w:b w:val="false"/>
                  <w:i w:val="false"/>
                  <w:caps w:val="false"/>
                  <w:smallCaps w:val="false"/>
                  <w:sz w:val="18"/>
                </w:rPr>
                <w:t>PART I</w:t>
              </w:r>
            </w:hyperlink>
          </w:p>
        </w:tc>
        <w:tc>
          <w:tcPr>
            <w:tcW w:w="7351" w:type="dxa"/>
            <w:tcBorders/>
            <w:vAlign w:val="center"/>
          </w:tcPr>
          <w:p>
            <w:pPr>
              <w:pStyle w:val="TableContents"/>
              <w:bidi w:val="0"/>
              <w:spacing w:lineRule="auto" w:line="328" w:before="0" w:after="0"/>
              <w:ind w:left="0" w:right="0" w:hanging="0"/>
              <w:jc w:val="left"/>
              <w:rPr/>
            </w:pPr>
            <w:hyperlink w:anchor="PARTIFINANCIALINFORMATION_451939">
              <w:r>
                <w:rPr>
                  <w:rStyle w:val="InternetLink"/>
                  <w:rFonts w:ascii="Helvetica" w:hAnsi="Helvetica"/>
                  <w:b w:val="false"/>
                  <w:i w:val="false"/>
                  <w:caps w:val="false"/>
                  <w:smallCaps w:val="false"/>
                  <w:sz w:val="18"/>
                </w:rPr>
                <w:t>FINANCIAL INFORMATION</w:t>
              </w:r>
            </w:hyperlink>
          </w:p>
        </w:tc>
        <w:tc>
          <w:tcPr>
            <w:tcW w:w="961" w:type="dxa"/>
            <w:tcBorders/>
            <w:vAlign w:val="center"/>
          </w:tcPr>
          <w:p>
            <w:pPr>
              <w:pStyle w:val="TableContents"/>
              <w:bidi w:val="0"/>
              <w:spacing w:lineRule="auto" w:line="328" w:before="0" w:after="0"/>
              <w:ind w:left="0" w:right="0" w:hanging="0"/>
              <w:jc w:val="right"/>
              <w:rPr/>
            </w:pPr>
            <w:r>
              <w:rPr/>
              <w:t>​</w:t>
            </w:r>
          </w:p>
        </w:tc>
      </w:tr>
      <w:tr>
        <w:trPr/>
        <w:tc>
          <w:tcPr>
            <w:tcW w:w="736" w:type="dxa"/>
            <w:tcBorders/>
            <w:vAlign w:val="center"/>
          </w:tcPr>
          <w:p>
            <w:pPr>
              <w:pStyle w:val="TableContents"/>
              <w:bidi w:val="0"/>
              <w:spacing w:lineRule="auto" w:line="328" w:before="0" w:after="0"/>
              <w:ind w:left="0" w:right="0" w:hanging="0"/>
              <w:jc w:val="left"/>
              <w:rPr/>
            </w:pPr>
            <w:r>
              <w:rPr/>
              <w:t>​</w:t>
            </w:r>
          </w:p>
        </w:tc>
        <w:tc>
          <w:tcPr>
            <w:tcW w:w="7351" w:type="dxa"/>
            <w:tcBorders/>
            <w:vAlign w:val="center"/>
          </w:tcPr>
          <w:p>
            <w:pPr>
              <w:pStyle w:val="TableContents"/>
              <w:bidi w:val="0"/>
              <w:spacing w:lineRule="auto" w:line="328" w:before="0" w:after="0"/>
              <w:ind w:left="0" w:right="0" w:hanging="0"/>
              <w:jc w:val="left"/>
              <w:rPr/>
            </w:pPr>
            <w:r>
              <w:rPr/>
              <w:t>​</w:t>
            </w:r>
          </w:p>
        </w:tc>
        <w:tc>
          <w:tcPr>
            <w:tcW w:w="961" w:type="dxa"/>
            <w:tcBorders/>
            <w:vAlign w:val="center"/>
          </w:tcPr>
          <w:p>
            <w:pPr>
              <w:pStyle w:val="TableContents"/>
              <w:bidi w:val="0"/>
              <w:spacing w:lineRule="auto" w:line="328" w:before="0" w:after="0"/>
              <w:ind w:left="0" w:right="0" w:hanging="0"/>
              <w:jc w:val="right"/>
              <w:rPr/>
            </w:pPr>
            <w:r>
              <w:rPr/>
              <w:t>​</w:t>
            </w:r>
          </w:p>
        </w:tc>
      </w:tr>
      <w:tr>
        <w:trPr/>
        <w:tc>
          <w:tcPr>
            <w:tcW w:w="736" w:type="dxa"/>
            <w:tcBorders/>
            <w:vAlign w:val="center"/>
          </w:tcPr>
          <w:p>
            <w:pPr>
              <w:pStyle w:val="TableContents"/>
              <w:pBdr/>
              <w:bidi w:val="0"/>
              <w:spacing w:lineRule="auto" w:line="328" w:before="0" w:after="0"/>
              <w:ind w:left="0" w:right="0" w:hanging="0"/>
              <w:jc w:val="left"/>
              <w:rPr/>
            </w:pPr>
            <w:hyperlink w:anchor="Item1FinancialStatements_412105">
              <w:r>
                <w:rPr>
                  <w:rStyle w:val="InternetLink"/>
                  <w:rFonts w:ascii="Helvetica" w:hAnsi="Helvetica"/>
                  <w:b w:val="false"/>
                  <w:i w:val="false"/>
                  <w:caps w:val="false"/>
                  <w:smallCaps w:val="false"/>
                  <w:sz w:val="18"/>
                </w:rPr>
                <w:t>Item 1</w:t>
              </w:r>
            </w:hyperlink>
          </w:p>
        </w:tc>
        <w:tc>
          <w:tcPr>
            <w:tcW w:w="7351" w:type="dxa"/>
            <w:tcBorders/>
            <w:vAlign w:val="center"/>
          </w:tcPr>
          <w:p>
            <w:pPr>
              <w:pStyle w:val="TableContents"/>
              <w:bidi w:val="0"/>
              <w:spacing w:lineRule="auto" w:line="328" w:before="0" w:after="0"/>
              <w:ind w:left="0" w:right="0" w:hanging="0"/>
              <w:jc w:val="left"/>
              <w:rPr/>
            </w:pPr>
            <w:hyperlink w:anchor="Item1FinancialStatements_412105">
              <w:r>
                <w:rPr>
                  <w:rStyle w:val="InternetLink"/>
                  <w:rFonts w:ascii="Helvetica" w:hAnsi="Helvetica"/>
                  <w:b w:val="false"/>
                  <w:i w:val="false"/>
                  <w:caps w:val="false"/>
                  <w:smallCaps w:val="false"/>
                  <w:sz w:val="18"/>
                </w:rPr>
                <w:t>Financial Statements (unaudited)</w:t>
              </w:r>
            </w:hyperlink>
          </w:p>
        </w:tc>
        <w:tc>
          <w:tcPr>
            <w:tcW w:w="961" w:type="dxa"/>
            <w:tcBorders/>
            <w:vAlign w:val="center"/>
          </w:tcPr>
          <w:p>
            <w:pPr>
              <w:pStyle w:val="TableContents"/>
              <w:bidi w:val="0"/>
              <w:spacing w:lineRule="auto" w:line="328" w:before="0" w:after="0"/>
              <w:ind w:left="0" w:right="0" w:hanging="0"/>
              <w:jc w:val="right"/>
              <w:rPr/>
            </w:pPr>
            <w:r>
              <w:rPr/>
              <w:t>​</w:t>
            </w:r>
          </w:p>
        </w:tc>
      </w:tr>
      <w:tr>
        <w:trPr/>
        <w:tc>
          <w:tcPr>
            <w:tcW w:w="736" w:type="dxa"/>
            <w:tcBorders/>
            <w:vAlign w:val="center"/>
          </w:tcPr>
          <w:p>
            <w:pPr>
              <w:pStyle w:val="TableContents"/>
              <w:bidi w:val="0"/>
              <w:spacing w:lineRule="auto" w:line="328" w:before="0" w:after="0"/>
              <w:ind w:left="0" w:right="0" w:hanging="0"/>
              <w:jc w:val="left"/>
              <w:rPr/>
            </w:pPr>
            <w:r>
              <w:rPr/>
              <w:t>​</w:t>
            </w:r>
          </w:p>
        </w:tc>
        <w:tc>
          <w:tcPr>
            <w:tcW w:w="7351" w:type="dxa"/>
            <w:tcBorders/>
            <w:vAlign w:val="center"/>
          </w:tcPr>
          <w:p>
            <w:pPr>
              <w:pStyle w:val="TableContents"/>
              <w:bidi w:val="0"/>
              <w:spacing w:lineRule="auto" w:line="328" w:before="0" w:after="0"/>
              <w:ind w:left="0" w:right="0" w:hanging="0"/>
              <w:jc w:val="left"/>
              <w:rPr/>
            </w:pPr>
            <w:r>
              <w:rPr/>
              <w:t>​</w:t>
            </w:r>
          </w:p>
        </w:tc>
        <w:tc>
          <w:tcPr>
            <w:tcW w:w="961" w:type="dxa"/>
            <w:tcBorders/>
            <w:vAlign w:val="center"/>
          </w:tcPr>
          <w:p>
            <w:pPr>
              <w:pStyle w:val="TableContents"/>
              <w:bidi w:val="0"/>
              <w:spacing w:lineRule="auto" w:line="328" w:before="0" w:after="0"/>
              <w:ind w:left="0" w:right="0" w:hanging="0"/>
              <w:jc w:val="right"/>
              <w:rPr/>
            </w:pPr>
            <w:r>
              <w:rPr/>
              <w:t>​</w:t>
            </w:r>
          </w:p>
        </w:tc>
      </w:tr>
      <w:tr>
        <w:trPr/>
        <w:tc>
          <w:tcPr>
            <w:tcW w:w="736" w:type="dxa"/>
            <w:tcBorders/>
            <w:vAlign w:val="center"/>
          </w:tcPr>
          <w:p>
            <w:pPr>
              <w:pStyle w:val="TableContents"/>
              <w:bidi w:val="0"/>
              <w:spacing w:lineRule="auto" w:line="328" w:before="0" w:after="0"/>
              <w:ind w:left="0" w:right="0" w:hanging="0"/>
              <w:jc w:val="left"/>
              <w:rPr/>
            </w:pPr>
            <w:r>
              <w:rPr/>
              <w:t>​</w:t>
            </w:r>
          </w:p>
        </w:tc>
        <w:tc>
          <w:tcPr>
            <w:tcW w:w="7351" w:type="dxa"/>
            <w:tcBorders/>
            <w:vAlign w:val="center"/>
          </w:tcPr>
          <w:p>
            <w:pPr>
              <w:pStyle w:val="TableContents"/>
              <w:bidi w:val="0"/>
              <w:spacing w:lineRule="auto" w:line="328" w:before="0" w:after="0"/>
              <w:ind w:left="0" w:right="0" w:hanging="0"/>
              <w:jc w:val="left"/>
              <w:rPr/>
            </w:pPr>
            <w:hyperlink w:anchor="BalanceSheets_323752">
              <w:r>
                <w:rPr>
                  <w:rStyle w:val="InternetLink"/>
                  <w:rFonts w:ascii="Helvetica" w:hAnsi="Helvetica"/>
                  <w:b w:val="false"/>
                  <w:i w:val="false"/>
                  <w:caps w:val="false"/>
                  <w:smallCaps w:val="false"/>
                  <w:sz w:val="18"/>
                </w:rPr>
                <w:t>Condensed Consolidated Balance Sheets</w:t>
              </w:r>
            </w:hyperlink>
          </w:p>
        </w:tc>
        <w:tc>
          <w:tcPr>
            <w:tcW w:w="961" w:type="dxa"/>
            <w:tcBorders/>
            <w:vAlign w:val="center"/>
          </w:tcPr>
          <w:p>
            <w:pPr>
              <w:pStyle w:val="TableContents"/>
              <w:bidi w:val="0"/>
              <w:spacing w:lineRule="auto" w:line="328" w:before="0" w:after="0"/>
              <w:ind w:left="0" w:right="0" w:hanging="0"/>
              <w:jc w:val="right"/>
              <w:rPr>
                <w:rFonts w:ascii="Helvetica" w:hAnsi="Helvetica"/>
                <w:sz w:val="18"/>
              </w:rPr>
            </w:pPr>
            <w:r>
              <w:rPr>
                <w:rFonts w:ascii="Helvetica" w:hAnsi="Helvetica"/>
                <w:sz w:val="18"/>
              </w:rPr>
              <w:t>3</w:t>
            </w:r>
          </w:p>
        </w:tc>
      </w:tr>
      <w:tr>
        <w:trPr/>
        <w:tc>
          <w:tcPr>
            <w:tcW w:w="736" w:type="dxa"/>
            <w:tcBorders/>
            <w:vAlign w:val="center"/>
          </w:tcPr>
          <w:p>
            <w:pPr>
              <w:pStyle w:val="TableContents"/>
              <w:bidi w:val="0"/>
              <w:spacing w:lineRule="auto" w:line="328" w:before="0" w:after="0"/>
              <w:ind w:left="0" w:right="0" w:hanging="0"/>
              <w:jc w:val="left"/>
              <w:rPr/>
            </w:pPr>
            <w:r>
              <w:rPr/>
              <w:t>​</w:t>
            </w:r>
          </w:p>
        </w:tc>
        <w:tc>
          <w:tcPr>
            <w:tcW w:w="7351" w:type="dxa"/>
            <w:tcBorders/>
            <w:vAlign w:val="center"/>
          </w:tcPr>
          <w:p>
            <w:pPr>
              <w:pStyle w:val="TableContents"/>
              <w:bidi w:val="0"/>
              <w:spacing w:lineRule="auto" w:line="328" w:before="0" w:after="0"/>
              <w:ind w:left="0" w:right="0" w:hanging="0"/>
              <w:jc w:val="left"/>
              <w:rPr/>
            </w:pPr>
            <w:r>
              <w:rPr/>
              <w:t>​</w:t>
            </w:r>
          </w:p>
        </w:tc>
        <w:tc>
          <w:tcPr>
            <w:tcW w:w="961" w:type="dxa"/>
            <w:tcBorders/>
            <w:vAlign w:val="center"/>
          </w:tcPr>
          <w:p>
            <w:pPr>
              <w:pStyle w:val="TableContents"/>
              <w:bidi w:val="0"/>
              <w:spacing w:lineRule="auto" w:line="328" w:before="0" w:after="0"/>
              <w:ind w:left="0" w:right="0" w:hanging="0"/>
              <w:jc w:val="right"/>
              <w:rPr/>
            </w:pPr>
            <w:r>
              <w:rPr/>
              <w:t>​</w:t>
            </w:r>
          </w:p>
        </w:tc>
      </w:tr>
      <w:tr>
        <w:trPr/>
        <w:tc>
          <w:tcPr>
            <w:tcW w:w="736" w:type="dxa"/>
            <w:tcBorders/>
            <w:vAlign w:val="center"/>
          </w:tcPr>
          <w:p>
            <w:pPr>
              <w:pStyle w:val="TableContents"/>
              <w:bidi w:val="0"/>
              <w:spacing w:lineRule="auto" w:line="328" w:before="0" w:after="0"/>
              <w:ind w:left="0" w:right="0" w:hanging="0"/>
              <w:jc w:val="left"/>
              <w:rPr/>
            </w:pPr>
            <w:r>
              <w:rPr/>
              <w:t>​</w:t>
            </w:r>
          </w:p>
        </w:tc>
        <w:tc>
          <w:tcPr>
            <w:tcW w:w="7351" w:type="dxa"/>
            <w:tcBorders/>
            <w:vAlign w:val="center"/>
          </w:tcPr>
          <w:p>
            <w:pPr>
              <w:pStyle w:val="TableContents"/>
              <w:bidi w:val="0"/>
              <w:spacing w:lineRule="auto" w:line="328" w:before="0" w:after="0"/>
              <w:ind w:left="0" w:right="0" w:hanging="0"/>
              <w:jc w:val="left"/>
              <w:rPr/>
            </w:pPr>
            <w:hyperlink w:anchor="Operations_264272">
              <w:r>
                <w:rPr>
                  <w:rStyle w:val="InternetLink"/>
                  <w:rFonts w:ascii="Helvetica" w:hAnsi="Helvetica"/>
                  <w:b w:val="false"/>
                  <w:i w:val="false"/>
                  <w:caps w:val="false"/>
                  <w:smallCaps w:val="false"/>
                  <w:sz w:val="18"/>
                </w:rPr>
                <w:t>Condensed Consolidated Statements of Operations</w:t>
              </w:r>
            </w:hyperlink>
          </w:p>
        </w:tc>
        <w:tc>
          <w:tcPr>
            <w:tcW w:w="961" w:type="dxa"/>
            <w:tcBorders/>
            <w:vAlign w:val="center"/>
          </w:tcPr>
          <w:p>
            <w:pPr>
              <w:pStyle w:val="TableContents"/>
              <w:bidi w:val="0"/>
              <w:spacing w:lineRule="auto" w:line="328" w:before="0" w:after="0"/>
              <w:ind w:left="0" w:right="0" w:hanging="0"/>
              <w:jc w:val="right"/>
              <w:rPr>
                <w:rFonts w:ascii="Helvetica" w:hAnsi="Helvetica"/>
                <w:sz w:val="18"/>
              </w:rPr>
            </w:pPr>
            <w:r>
              <w:rPr>
                <w:rFonts w:ascii="Helvetica" w:hAnsi="Helvetica"/>
                <w:sz w:val="18"/>
              </w:rPr>
              <w:t>4</w:t>
            </w:r>
          </w:p>
        </w:tc>
      </w:tr>
      <w:tr>
        <w:trPr/>
        <w:tc>
          <w:tcPr>
            <w:tcW w:w="736" w:type="dxa"/>
            <w:tcBorders/>
            <w:vAlign w:val="center"/>
          </w:tcPr>
          <w:p>
            <w:pPr>
              <w:pStyle w:val="TableContents"/>
              <w:bidi w:val="0"/>
              <w:spacing w:lineRule="auto" w:line="328" w:before="0" w:after="0"/>
              <w:ind w:left="0" w:right="0" w:hanging="0"/>
              <w:jc w:val="left"/>
              <w:rPr/>
            </w:pPr>
            <w:r>
              <w:rPr/>
              <w:t>​</w:t>
            </w:r>
          </w:p>
        </w:tc>
        <w:tc>
          <w:tcPr>
            <w:tcW w:w="7351" w:type="dxa"/>
            <w:tcBorders/>
            <w:vAlign w:val="center"/>
          </w:tcPr>
          <w:p>
            <w:pPr>
              <w:pStyle w:val="TableContents"/>
              <w:bidi w:val="0"/>
              <w:spacing w:lineRule="auto" w:line="328" w:before="0" w:after="0"/>
              <w:ind w:left="0" w:right="0" w:hanging="0"/>
              <w:jc w:val="left"/>
              <w:rPr/>
            </w:pPr>
            <w:r>
              <w:rPr/>
              <w:t>​</w:t>
            </w:r>
          </w:p>
        </w:tc>
        <w:tc>
          <w:tcPr>
            <w:tcW w:w="961" w:type="dxa"/>
            <w:tcBorders/>
            <w:vAlign w:val="center"/>
          </w:tcPr>
          <w:p>
            <w:pPr>
              <w:pStyle w:val="TableContents"/>
              <w:bidi w:val="0"/>
              <w:spacing w:lineRule="auto" w:line="328" w:before="0" w:after="0"/>
              <w:ind w:left="0" w:right="0" w:hanging="0"/>
              <w:jc w:val="right"/>
              <w:rPr/>
            </w:pPr>
            <w:r>
              <w:rPr/>
              <w:t>​</w:t>
            </w:r>
          </w:p>
        </w:tc>
      </w:tr>
      <w:tr>
        <w:trPr/>
        <w:tc>
          <w:tcPr>
            <w:tcW w:w="736" w:type="dxa"/>
            <w:tcBorders/>
            <w:vAlign w:val="center"/>
          </w:tcPr>
          <w:p>
            <w:pPr>
              <w:pStyle w:val="TableContents"/>
              <w:bidi w:val="0"/>
              <w:spacing w:lineRule="auto" w:line="328" w:before="0" w:after="0"/>
              <w:ind w:left="0" w:right="0" w:hanging="0"/>
              <w:jc w:val="left"/>
              <w:rPr/>
            </w:pPr>
            <w:r>
              <w:rPr/>
              <w:t>​</w:t>
            </w:r>
          </w:p>
        </w:tc>
        <w:tc>
          <w:tcPr>
            <w:tcW w:w="7351" w:type="dxa"/>
            <w:tcBorders/>
            <w:vAlign w:val="center"/>
          </w:tcPr>
          <w:p>
            <w:pPr>
              <w:pStyle w:val="TableContents"/>
              <w:bidi w:val="0"/>
              <w:spacing w:lineRule="auto" w:line="328" w:before="0" w:after="0"/>
              <w:ind w:left="0" w:right="0" w:hanging="0"/>
              <w:jc w:val="left"/>
              <w:rPr/>
            </w:pPr>
            <w:hyperlink w:anchor="CashFlows_340602">
              <w:r>
                <w:rPr>
                  <w:rStyle w:val="InternetLink"/>
                  <w:rFonts w:ascii="Helvetica" w:hAnsi="Helvetica"/>
                  <w:b w:val="false"/>
                  <w:i w:val="false"/>
                  <w:caps w:val="false"/>
                  <w:smallCaps w:val="false"/>
                  <w:sz w:val="18"/>
                </w:rPr>
                <w:t xml:space="preserve">Condensed Consolidated Statements of Cash Flows </w:t>
              </w:r>
            </w:hyperlink>
          </w:p>
        </w:tc>
        <w:tc>
          <w:tcPr>
            <w:tcW w:w="961" w:type="dxa"/>
            <w:tcBorders/>
            <w:vAlign w:val="center"/>
          </w:tcPr>
          <w:p>
            <w:pPr>
              <w:pStyle w:val="TableContents"/>
              <w:bidi w:val="0"/>
              <w:spacing w:lineRule="auto" w:line="328" w:before="0" w:after="0"/>
              <w:ind w:left="0" w:right="0" w:hanging="0"/>
              <w:jc w:val="right"/>
              <w:rPr>
                <w:rFonts w:ascii="Helvetica" w:hAnsi="Helvetica"/>
                <w:sz w:val="18"/>
              </w:rPr>
            </w:pPr>
            <w:r>
              <w:rPr>
                <w:rFonts w:ascii="Helvetica" w:hAnsi="Helvetica"/>
                <w:sz w:val="18"/>
              </w:rPr>
              <w:t>6</w:t>
            </w:r>
          </w:p>
        </w:tc>
      </w:tr>
      <w:tr>
        <w:trPr/>
        <w:tc>
          <w:tcPr>
            <w:tcW w:w="736" w:type="dxa"/>
            <w:tcBorders/>
            <w:vAlign w:val="center"/>
          </w:tcPr>
          <w:p>
            <w:pPr>
              <w:pStyle w:val="TableContents"/>
              <w:bidi w:val="0"/>
              <w:spacing w:lineRule="auto" w:line="328" w:before="0" w:after="0"/>
              <w:ind w:left="0" w:right="0" w:hanging="0"/>
              <w:jc w:val="left"/>
              <w:rPr/>
            </w:pPr>
            <w:r>
              <w:rPr/>
              <w:t>​</w:t>
            </w:r>
          </w:p>
        </w:tc>
        <w:tc>
          <w:tcPr>
            <w:tcW w:w="7351" w:type="dxa"/>
            <w:tcBorders/>
            <w:vAlign w:val="center"/>
          </w:tcPr>
          <w:p>
            <w:pPr>
              <w:pStyle w:val="TableContents"/>
              <w:bidi w:val="0"/>
              <w:spacing w:lineRule="auto" w:line="328" w:before="0" w:after="0"/>
              <w:ind w:left="0" w:right="0" w:hanging="0"/>
              <w:jc w:val="left"/>
              <w:rPr/>
            </w:pPr>
            <w:r>
              <w:rPr/>
              <w:t>​</w:t>
            </w:r>
          </w:p>
        </w:tc>
        <w:tc>
          <w:tcPr>
            <w:tcW w:w="961" w:type="dxa"/>
            <w:tcBorders/>
            <w:vAlign w:val="center"/>
          </w:tcPr>
          <w:p>
            <w:pPr>
              <w:pStyle w:val="TableContents"/>
              <w:bidi w:val="0"/>
              <w:spacing w:lineRule="auto" w:line="328" w:before="0" w:after="0"/>
              <w:ind w:left="0" w:right="0" w:hanging="0"/>
              <w:jc w:val="center"/>
              <w:rPr/>
            </w:pPr>
            <w:r>
              <w:rPr/>
              <w:t>​</w:t>
            </w:r>
          </w:p>
        </w:tc>
      </w:tr>
      <w:tr>
        <w:trPr/>
        <w:tc>
          <w:tcPr>
            <w:tcW w:w="736" w:type="dxa"/>
            <w:tcBorders/>
            <w:vAlign w:val="center"/>
          </w:tcPr>
          <w:p>
            <w:pPr>
              <w:pStyle w:val="TableContents"/>
              <w:bidi w:val="0"/>
              <w:spacing w:lineRule="auto" w:line="328" w:before="0" w:after="0"/>
              <w:ind w:left="0" w:right="0" w:hanging="0"/>
              <w:jc w:val="left"/>
              <w:rPr/>
            </w:pPr>
            <w:r>
              <w:rPr/>
              <w:t>​</w:t>
            </w:r>
          </w:p>
        </w:tc>
        <w:tc>
          <w:tcPr>
            <w:tcW w:w="7351" w:type="dxa"/>
            <w:tcBorders/>
            <w:vAlign w:val="center"/>
          </w:tcPr>
          <w:p>
            <w:pPr>
              <w:pStyle w:val="TableContents"/>
              <w:bidi w:val="0"/>
              <w:spacing w:lineRule="auto" w:line="328" w:before="0" w:after="0"/>
              <w:ind w:left="0" w:right="0" w:hanging="0"/>
              <w:jc w:val="left"/>
              <w:rPr/>
            </w:pPr>
            <w:hyperlink w:anchor="StockholdersEquityTable">
              <w:r>
                <w:rPr>
                  <w:rStyle w:val="InternetLink"/>
                  <w:rFonts w:ascii="Helvetica" w:hAnsi="Helvetica"/>
                  <w:b w:val="false"/>
                  <w:i w:val="false"/>
                  <w:caps w:val="false"/>
                  <w:smallCaps w:val="false"/>
                  <w:sz w:val="18"/>
                </w:rPr>
                <w:t xml:space="preserve">Condensed Consolidated Statements of Stockholders’ Equity </w:t>
              </w:r>
            </w:hyperlink>
          </w:p>
        </w:tc>
        <w:tc>
          <w:tcPr>
            <w:tcW w:w="961" w:type="dxa"/>
            <w:tcBorders/>
            <w:vAlign w:val="center"/>
          </w:tcPr>
          <w:p>
            <w:pPr>
              <w:pStyle w:val="TableContents"/>
              <w:bidi w:val="0"/>
              <w:spacing w:lineRule="auto" w:line="328" w:before="0" w:after="0"/>
              <w:ind w:left="0" w:right="0" w:hanging="0"/>
              <w:jc w:val="right"/>
              <w:rPr>
                <w:rFonts w:ascii="Helvetica" w:hAnsi="Helvetica"/>
                <w:sz w:val="18"/>
              </w:rPr>
            </w:pPr>
            <w:r>
              <w:rPr>
                <w:rFonts w:ascii="Helvetica" w:hAnsi="Helvetica"/>
                <w:sz w:val="18"/>
              </w:rPr>
              <w:t>7</w:t>
            </w:r>
          </w:p>
        </w:tc>
      </w:tr>
      <w:tr>
        <w:trPr/>
        <w:tc>
          <w:tcPr>
            <w:tcW w:w="736" w:type="dxa"/>
            <w:tcBorders/>
            <w:vAlign w:val="center"/>
          </w:tcPr>
          <w:p>
            <w:pPr>
              <w:pStyle w:val="TableContents"/>
              <w:bidi w:val="0"/>
              <w:spacing w:lineRule="auto" w:line="328" w:before="0" w:after="0"/>
              <w:ind w:left="0" w:right="0" w:hanging="0"/>
              <w:jc w:val="left"/>
              <w:rPr/>
            </w:pPr>
            <w:r>
              <w:rPr/>
              <w:t>​</w:t>
            </w:r>
          </w:p>
        </w:tc>
        <w:tc>
          <w:tcPr>
            <w:tcW w:w="7351" w:type="dxa"/>
            <w:tcBorders/>
            <w:vAlign w:val="center"/>
          </w:tcPr>
          <w:p>
            <w:pPr>
              <w:pStyle w:val="TableContents"/>
              <w:bidi w:val="0"/>
              <w:spacing w:lineRule="auto" w:line="328" w:before="0" w:after="0"/>
              <w:ind w:left="0" w:right="0" w:hanging="0"/>
              <w:jc w:val="left"/>
              <w:rPr/>
            </w:pPr>
            <w:r>
              <w:rPr/>
              <w:t>​</w:t>
            </w:r>
          </w:p>
        </w:tc>
        <w:tc>
          <w:tcPr>
            <w:tcW w:w="961" w:type="dxa"/>
            <w:tcBorders/>
            <w:vAlign w:val="center"/>
          </w:tcPr>
          <w:p>
            <w:pPr>
              <w:pStyle w:val="TableContents"/>
              <w:bidi w:val="0"/>
              <w:spacing w:lineRule="auto" w:line="328" w:before="0" w:after="0"/>
              <w:ind w:left="0" w:right="0" w:hanging="0"/>
              <w:jc w:val="right"/>
              <w:rPr/>
            </w:pPr>
            <w:r>
              <w:rPr/>
              <w:t>​</w:t>
            </w:r>
          </w:p>
        </w:tc>
      </w:tr>
      <w:tr>
        <w:trPr/>
        <w:tc>
          <w:tcPr>
            <w:tcW w:w="736" w:type="dxa"/>
            <w:tcBorders/>
            <w:vAlign w:val="center"/>
          </w:tcPr>
          <w:p>
            <w:pPr>
              <w:pStyle w:val="TableContents"/>
              <w:bidi w:val="0"/>
              <w:spacing w:lineRule="auto" w:line="328" w:before="0" w:after="0"/>
              <w:ind w:left="0" w:right="0" w:hanging="0"/>
              <w:jc w:val="left"/>
              <w:rPr/>
            </w:pPr>
            <w:r>
              <w:rPr/>
              <w:t>​</w:t>
            </w:r>
          </w:p>
        </w:tc>
        <w:tc>
          <w:tcPr>
            <w:tcW w:w="7351" w:type="dxa"/>
            <w:tcBorders/>
            <w:vAlign w:val="center"/>
          </w:tcPr>
          <w:p>
            <w:pPr>
              <w:pStyle w:val="TableContents"/>
              <w:bidi w:val="0"/>
              <w:spacing w:lineRule="auto" w:line="328" w:before="0" w:after="0"/>
              <w:ind w:left="0" w:right="0" w:hanging="0"/>
              <w:jc w:val="left"/>
              <w:rPr/>
            </w:pPr>
            <w:hyperlink w:anchor="Notes_435113">
              <w:r>
                <w:rPr>
                  <w:rStyle w:val="InternetLink"/>
                  <w:rFonts w:ascii="Helvetica" w:hAnsi="Helvetica"/>
                  <w:b w:val="false"/>
                  <w:i w:val="false"/>
                  <w:caps w:val="false"/>
                  <w:smallCaps w:val="false"/>
                  <w:sz w:val="18"/>
                </w:rPr>
                <w:t>Notes to the Condensed Consolidated Financial Statements</w:t>
              </w:r>
            </w:hyperlink>
          </w:p>
        </w:tc>
        <w:tc>
          <w:tcPr>
            <w:tcW w:w="961" w:type="dxa"/>
            <w:tcBorders/>
            <w:vAlign w:val="center"/>
          </w:tcPr>
          <w:p>
            <w:pPr>
              <w:pStyle w:val="TableContents"/>
              <w:bidi w:val="0"/>
              <w:spacing w:lineRule="auto" w:line="328" w:before="0" w:after="0"/>
              <w:ind w:left="0" w:right="0" w:hanging="0"/>
              <w:jc w:val="right"/>
              <w:rPr>
                <w:rFonts w:ascii="Helvetica" w:hAnsi="Helvetica"/>
                <w:sz w:val="18"/>
              </w:rPr>
            </w:pPr>
            <w:r>
              <w:rPr>
                <w:rFonts w:ascii="Helvetica" w:hAnsi="Helvetica"/>
                <w:sz w:val="18"/>
              </w:rPr>
              <w:t>8</w:t>
            </w:r>
          </w:p>
        </w:tc>
      </w:tr>
      <w:tr>
        <w:trPr/>
        <w:tc>
          <w:tcPr>
            <w:tcW w:w="736" w:type="dxa"/>
            <w:tcBorders/>
            <w:vAlign w:val="center"/>
          </w:tcPr>
          <w:p>
            <w:pPr>
              <w:pStyle w:val="TableContents"/>
              <w:bidi w:val="0"/>
              <w:spacing w:lineRule="auto" w:line="328" w:before="0" w:after="0"/>
              <w:ind w:left="0" w:right="0" w:hanging="0"/>
              <w:jc w:val="left"/>
              <w:rPr/>
            </w:pPr>
            <w:r>
              <w:rPr/>
              <w:t>​</w:t>
            </w:r>
          </w:p>
        </w:tc>
        <w:tc>
          <w:tcPr>
            <w:tcW w:w="7351" w:type="dxa"/>
            <w:tcBorders/>
            <w:vAlign w:val="center"/>
          </w:tcPr>
          <w:p>
            <w:pPr>
              <w:pStyle w:val="TableContents"/>
              <w:bidi w:val="0"/>
              <w:spacing w:lineRule="auto" w:line="328" w:before="0" w:after="0"/>
              <w:ind w:left="0" w:right="0" w:hanging="0"/>
              <w:jc w:val="left"/>
              <w:rPr/>
            </w:pPr>
            <w:r>
              <w:rPr/>
              <w:t>​</w:t>
            </w:r>
          </w:p>
        </w:tc>
        <w:tc>
          <w:tcPr>
            <w:tcW w:w="961" w:type="dxa"/>
            <w:tcBorders/>
            <w:vAlign w:val="center"/>
          </w:tcPr>
          <w:p>
            <w:pPr>
              <w:pStyle w:val="TableContents"/>
              <w:bidi w:val="0"/>
              <w:spacing w:lineRule="auto" w:line="328" w:before="0" w:after="0"/>
              <w:ind w:left="0" w:right="0" w:hanging="0"/>
              <w:jc w:val="right"/>
              <w:rPr/>
            </w:pPr>
            <w:r>
              <w:rPr/>
              <w:t>​</w:t>
            </w:r>
          </w:p>
        </w:tc>
      </w:tr>
      <w:tr>
        <w:trPr/>
        <w:tc>
          <w:tcPr>
            <w:tcW w:w="736" w:type="dxa"/>
            <w:tcBorders/>
            <w:vAlign w:val="center"/>
          </w:tcPr>
          <w:p>
            <w:pPr>
              <w:pStyle w:val="TableContents"/>
              <w:pBdr/>
              <w:bidi w:val="0"/>
              <w:spacing w:lineRule="auto" w:line="328" w:before="0" w:after="0"/>
              <w:ind w:left="0" w:right="0" w:hanging="0"/>
              <w:jc w:val="left"/>
              <w:rPr/>
            </w:pPr>
            <w:hyperlink w:anchor="Item2ManagementsDiscussionandAnalysis_36">
              <w:r>
                <w:rPr>
                  <w:rStyle w:val="InternetLink"/>
                  <w:rFonts w:ascii="Helvetica" w:hAnsi="Helvetica"/>
                  <w:b w:val="false"/>
                  <w:i w:val="false"/>
                  <w:caps w:val="false"/>
                  <w:smallCaps w:val="false"/>
                  <w:sz w:val="18"/>
                </w:rPr>
                <w:t>Item 2</w:t>
              </w:r>
            </w:hyperlink>
          </w:p>
        </w:tc>
        <w:tc>
          <w:tcPr>
            <w:tcW w:w="7351" w:type="dxa"/>
            <w:tcBorders/>
            <w:vAlign w:val="center"/>
          </w:tcPr>
          <w:p>
            <w:pPr>
              <w:pStyle w:val="TableContents"/>
              <w:bidi w:val="0"/>
              <w:spacing w:lineRule="auto" w:line="328" w:before="0" w:after="0"/>
              <w:ind w:left="0" w:right="0" w:hanging="0"/>
              <w:jc w:val="left"/>
              <w:rPr/>
            </w:pPr>
            <w:hyperlink w:anchor="Item2ManagementsDiscussionandAnalysis_36">
              <w:r>
                <w:rPr>
                  <w:rStyle w:val="InternetLink"/>
                  <w:rFonts w:ascii="Helvetica" w:hAnsi="Helvetica"/>
                  <w:b w:val="false"/>
                  <w:i w:val="false"/>
                  <w:caps w:val="false"/>
                  <w:smallCaps w:val="false"/>
                  <w:sz w:val="18"/>
                </w:rPr>
                <w:t>Management’s Discussion and Analysis of Financial Condition and Results of Operations</w:t>
              </w:r>
            </w:hyperlink>
          </w:p>
        </w:tc>
        <w:tc>
          <w:tcPr>
            <w:tcW w:w="961" w:type="dxa"/>
            <w:tcBorders/>
            <w:vAlign w:val="center"/>
          </w:tcPr>
          <w:p>
            <w:pPr>
              <w:pStyle w:val="TableContents"/>
              <w:bidi w:val="0"/>
              <w:spacing w:lineRule="auto" w:line="328" w:before="0" w:after="0"/>
              <w:ind w:left="0" w:right="0" w:hanging="0"/>
              <w:jc w:val="right"/>
              <w:rPr>
                <w:rFonts w:ascii="Helvetica" w:hAnsi="Helvetica"/>
                <w:sz w:val="18"/>
              </w:rPr>
            </w:pPr>
            <w:r>
              <w:rPr>
                <w:rFonts w:ascii="Helvetica" w:hAnsi="Helvetica"/>
                <w:sz w:val="18"/>
              </w:rPr>
              <w:t>14</w:t>
            </w:r>
          </w:p>
        </w:tc>
      </w:tr>
      <w:tr>
        <w:trPr/>
        <w:tc>
          <w:tcPr>
            <w:tcW w:w="736" w:type="dxa"/>
            <w:tcBorders/>
            <w:vAlign w:val="center"/>
          </w:tcPr>
          <w:p>
            <w:pPr>
              <w:pStyle w:val="TableContents"/>
              <w:bidi w:val="0"/>
              <w:spacing w:lineRule="auto" w:line="328" w:before="0" w:after="0"/>
              <w:ind w:left="0" w:right="0" w:hanging="0"/>
              <w:jc w:val="left"/>
              <w:rPr/>
            </w:pPr>
            <w:r>
              <w:rPr/>
              <w:t>​</w:t>
            </w:r>
          </w:p>
        </w:tc>
        <w:tc>
          <w:tcPr>
            <w:tcW w:w="7351" w:type="dxa"/>
            <w:tcBorders/>
            <w:vAlign w:val="center"/>
          </w:tcPr>
          <w:p>
            <w:pPr>
              <w:pStyle w:val="TableContents"/>
              <w:bidi w:val="0"/>
              <w:spacing w:lineRule="auto" w:line="328" w:before="0" w:after="0"/>
              <w:ind w:left="0" w:right="0" w:hanging="0"/>
              <w:jc w:val="left"/>
              <w:rPr/>
            </w:pPr>
            <w:r>
              <w:rPr/>
              <w:t>​</w:t>
            </w:r>
          </w:p>
        </w:tc>
        <w:tc>
          <w:tcPr>
            <w:tcW w:w="961" w:type="dxa"/>
            <w:tcBorders/>
            <w:vAlign w:val="center"/>
          </w:tcPr>
          <w:p>
            <w:pPr>
              <w:pStyle w:val="TableContents"/>
              <w:bidi w:val="0"/>
              <w:spacing w:lineRule="auto" w:line="328" w:before="0" w:after="0"/>
              <w:ind w:left="0" w:right="0" w:hanging="0"/>
              <w:jc w:val="right"/>
              <w:rPr/>
            </w:pPr>
            <w:r>
              <w:rPr/>
              <w:t>​</w:t>
            </w:r>
          </w:p>
        </w:tc>
      </w:tr>
      <w:tr>
        <w:trPr/>
        <w:tc>
          <w:tcPr>
            <w:tcW w:w="736" w:type="dxa"/>
            <w:tcBorders/>
            <w:vAlign w:val="center"/>
          </w:tcPr>
          <w:p>
            <w:pPr>
              <w:pStyle w:val="TableContents"/>
              <w:pBdr/>
              <w:bidi w:val="0"/>
              <w:spacing w:lineRule="auto" w:line="328" w:before="0" w:after="0"/>
              <w:ind w:left="0" w:right="0" w:hanging="0"/>
              <w:jc w:val="left"/>
              <w:rPr/>
            </w:pPr>
            <w:hyperlink w:anchor="Item3Quantitative_526205">
              <w:r>
                <w:rPr>
                  <w:rStyle w:val="InternetLink"/>
                  <w:rFonts w:ascii="Helvetica" w:hAnsi="Helvetica"/>
                  <w:b w:val="false"/>
                  <w:i w:val="false"/>
                  <w:caps w:val="false"/>
                  <w:smallCaps w:val="false"/>
                  <w:sz w:val="18"/>
                </w:rPr>
                <w:t>Item 3</w:t>
              </w:r>
            </w:hyperlink>
          </w:p>
        </w:tc>
        <w:tc>
          <w:tcPr>
            <w:tcW w:w="7351" w:type="dxa"/>
            <w:tcBorders/>
            <w:vAlign w:val="center"/>
          </w:tcPr>
          <w:p>
            <w:pPr>
              <w:pStyle w:val="TableContents"/>
              <w:bidi w:val="0"/>
              <w:spacing w:lineRule="auto" w:line="328" w:before="0" w:after="0"/>
              <w:ind w:left="0" w:right="0" w:hanging="0"/>
              <w:jc w:val="left"/>
              <w:rPr/>
            </w:pPr>
            <w:hyperlink w:anchor="Item3Quantitative_526205">
              <w:r>
                <w:rPr>
                  <w:rStyle w:val="InternetLink"/>
                  <w:rFonts w:ascii="Helvetica" w:hAnsi="Helvetica"/>
                  <w:b w:val="false"/>
                  <w:i w:val="false"/>
                  <w:caps w:val="false"/>
                  <w:smallCaps w:val="false"/>
                  <w:sz w:val="18"/>
                </w:rPr>
                <w:t>Quantitative and Qualitative Disclosures About Market Risk</w:t>
              </w:r>
            </w:hyperlink>
          </w:p>
        </w:tc>
        <w:tc>
          <w:tcPr>
            <w:tcW w:w="961" w:type="dxa"/>
            <w:tcBorders/>
            <w:vAlign w:val="center"/>
          </w:tcPr>
          <w:p>
            <w:pPr>
              <w:pStyle w:val="TableContents"/>
              <w:bidi w:val="0"/>
              <w:spacing w:lineRule="auto" w:line="328" w:before="0" w:after="0"/>
              <w:ind w:left="0" w:right="0" w:hanging="0"/>
              <w:jc w:val="right"/>
              <w:rPr>
                <w:rFonts w:ascii="Helvetica" w:hAnsi="Helvetica"/>
                <w:sz w:val="18"/>
              </w:rPr>
            </w:pPr>
            <w:r>
              <w:rPr>
                <w:rFonts w:ascii="Helvetica" w:hAnsi="Helvetica"/>
                <w:sz w:val="18"/>
              </w:rPr>
              <w:t>19</w:t>
            </w:r>
          </w:p>
        </w:tc>
      </w:tr>
      <w:tr>
        <w:trPr/>
        <w:tc>
          <w:tcPr>
            <w:tcW w:w="736" w:type="dxa"/>
            <w:tcBorders/>
            <w:vAlign w:val="center"/>
          </w:tcPr>
          <w:p>
            <w:pPr>
              <w:pStyle w:val="TableContents"/>
              <w:bidi w:val="0"/>
              <w:spacing w:lineRule="auto" w:line="328" w:before="0" w:after="0"/>
              <w:ind w:left="0" w:right="0" w:hanging="0"/>
              <w:jc w:val="left"/>
              <w:rPr/>
            </w:pPr>
            <w:r>
              <w:rPr/>
              <w:t>​</w:t>
            </w:r>
          </w:p>
        </w:tc>
        <w:tc>
          <w:tcPr>
            <w:tcW w:w="7351" w:type="dxa"/>
            <w:tcBorders/>
            <w:vAlign w:val="center"/>
          </w:tcPr>
          <w:p>
            <w:pPr>
              <w:pStyle w:val="TableContents"/>
              <w:bidi w:val="0"/>
              <w:spacing w:lineRule="auto" w:line="328" w:before="0" w:after="0"/>
              <w:ind w:left="0" w:right="0" w:hanging="0"/>
              <w:jc w:val="left"/>
              <w:rPr/>
            </w:pPr>
            <w:r>
              <w:rPr/>
              <w:t>​</w:t>
            </w:r>
          </w:p>
        </w:tc>
        <w:tc>
          <w:tcPr>
            <w:tcW w:w="961" w:type="dxa"/>
            <w:tcBorders/>
            <w:vAlign w:val="center"/>
          </w:tcPr>
          <w:p>
            <w:pPr>
              <w:pStyle w:val="TableContents"/>
              <w:bidi w:val="0"/>
              <w:spacing w:lineRule="auto" w:line="328" w:before="0" w:after="0"/>
              <w:ind w:left="0" w:right="0" w:hanging="0"/>
              <w:jc w:val="right"/>
              <w:rPr/>
            </w:pPr>
            <w:r>
              <w:rPr/>
              <w:t>​</w:t>
            </w:r>
          </w:p>
        </w:tc>
      </w:tr>
      <w:tr>
        <w:trPr/>
        <w:tc>
          <w:tcPr>
            <w:tcW w:w="736" w:type="dxa"/>
            <w:tcBorders/>
            <w:vAlign w:val="center"/>
          </w:tcPr>
          <w:p>
            <w:pPr>
              <w:pStyle w:val="TableContents"/>
              <w:pBdr/>
              <w:bidi w:val="0"/>
              <w:spacing w:lineRule="auto" w:line="328" w:before="0" w:after="0"/>
              <w:ind w:left="0" w:right="0" w:hanging="0"/>
              <w:jc w:val="left"/>
              <w:rPr/>
            </w:pPr>
            <w:hyperlink w:anchor="Item4ControlsandProcedures_109413">
              <w:r>
                <w:rPr>
                  <w:rStyle w:val="InternetLink"/>
                  <w:rFonts w:ascii="Helvetica" w:hAnsi="Helvetica"/>
                  <w:b w:val="false"/>
                  <w:i w:val="false"/>
                  <w:caps w:val="false"/>
                  <w:smallCaps w:val="false"/>
                  <w:sz w:val="18"/>
                </w:rPr>
                <w:t>Item 4</w:t>
              </w:r>
            </w:hyperlink>
          </w:p>
        </w:tc>
        <w:tc>
          <w:tcPr>
            <w:tcW w:w="7351" w:type="dxa"/>
            <w:tcBorders/>
            <w:vAlign w:val="center"/>
          </w:tcPr>
          <w:p>
            <w:pPr>
              <w:pStyle w:val="TableContents"/>
              <w:bidi w:val="0"/>
              <w:spacing w:lineRule="auto" w:line="328" w:before="0" w:after="0"/>
              <w:ind w:left="0" w:right="0" w:hanging="0"/>
              <w:jc w:val="left"/>
              <w:rPr/>
            </w:pPr>
            <w:hyperlink w:anchor="Item4ControlsandProcedures_109413">
              <w:r>
                <w:rPr>
                  <w:rStyle w:val="InternetLink"/>
                  <w:rFonts w:ascii="Helvetica" w:hAnsi="Helvetica"/>
                  <w:b w:val="false"/>
                  <w:i w:val="false"/>
                  <w:caps w:val="false"/>
                  <w:smallCaps w:val="false"/>
                  <w:sz w:val="18"/>
                </w:rPr>
                <w:t>Controls and Procedures</w:t>
              </w:r>
            </w:hyperlink>
          </w:p>
        </w:tc>
        <w:tc>
          <w:tcPr>
            <w:tcW w:w="961" w:type="dxa"/>
            <w:tcBorders/>
            <w:vAlign w:val="center"/>
          </w:tcPr>
          <w:p>
            <w:pPr>
              <w:pStyle w:val="TableContents"/>
              <w:bidi w:val="0"/>
              <w:spacing w:lineRule="auto" w:line="328" w:before="0" w:after="0"/>
              <w:ind w:left="0" w:right="0" w:hanging="0"/>
              <w:jc w:val="right"/>
              <w:rPr>
                <w:rFonts w:ascii="Helvetica" w:hAnsi="Helvetica"/>
                <w:sz w:val="18"/>
              </w:rPr>
            </w:pPr>
            <w:r>
              <w:rPr>
                <w:rFonts w:ascii="Helvetica" w:hAnsi="Helvetica"/>
                <w:sz w:val="18"/>
              </w:rPr>
              <w:t>19</w:t>
            </w:r>
          </w:p>
        </w:tc>
      </w:tr>
      <w:tr>
        <w:trPr/>
        <w:tc>
          <w:tcPr>
            <w:tcW w:w="736" w:type="dxa"/>
            <w:tcBorders/>
            <w:vAlign w:val="center"/>
          </w:tcPr>
          <w:p>
            <w:pPr>
              <w:pStyle w:val="TableContents"/>
              <w:bidi w:val="0"/>
              <w:spacing w:lineRule="auto" w:line="328" w:before="0" w:after="0"/>
              <w:ind w:left="0" w:right="0" w:hanging="0"/>
              <w:jc w:val="left"/>
              <w:rPr/>
            </w:pPr>
            <w:r>
              <w:rPr/>
              <w:t>​</w:t>
            </w:r>
          </w:p>
        </w:tc>
        <w:tc>
          <w:tcPr>
            <w:tcW w:w="7351" w:type="dxa"/>
            <w:tcBorders/>
            <w:vAlign w:val="center"/>
          </w:tcPr>
          <w:p>
            <w:pPr>
              <w:pStyle w:val="TableContents"/>
              <w:bidi w:val="0"/>
              <w:spacing w:lineRule="auto" w:line="328" w:before="0" w:after="0"/>
              <w:ind w:left="0" w:right="0" w:hanging="0"/>
              <w:jc w:val="left"/>
              <w:rPr/>
            </w:pPr>
            <w:r>
              <w:rPr/>
              <w:t>​</w:t>
            </w:r>
          </w:p>
        </w:tc>
        <w:tc>
          <w:tcPr>
            <w:tcW w:w="961" w:type="dxa"/>
            <w:tcBorders/>
            <w:vAlign w:val="center"/>
          </w:tcPr>
          <w:p>
            <w:pPr>
              <w:pStyle w:val="TableContents"/>
              <w:bidi w:val="0"/>
              <w:spacing w:lineRule="auto" w:line="328" w:before="0" w:after="0"/>
              <w:ind w:left="0" w:right="0" w:hanging="0"/>
              <w:jc w:val="right"/>
              <w:rPr/>
            </w:pPr>
            <w:r>
              <w:rPr/>
              <w:t>​</w:t>
            </w:r>
          </w:p>
        </w:tc>
      </w:tr>
      <w:tr>
        <w:trPr/>
        <w:tc>
          <w:tcPr>
            <w:tcW w:w="736" w:type="dxa"/>
            <w:tcBorders/>
            <w:vAlign w:val="center"/>
          </w:tcPr>
          <w:p>
            <w:pPr>
              <w:pStyle w:val="TableContents"/>
              <w:pBdr/>
              <w:bidi w:val="0"/>
              <w:spacing w:lineRule="auto" w:line="328" w:before="0" w:after="0"/>
              <w:ind w:left="0" w:right="0" w:hanging="0"/>
              <w:jc w:val="left"/>
              <w:rPr/>
            </w:pPr>
            <w:hyperlink w:anchor="PARTIIOTHER_417392">
              <w:r>
                <w:rPr>
                  <w:rStyle w:val="InternetLink"/>
                  <w:rFonts w:ascii="Helvetica" w:hAnsi="Helvetica"/>
                  <w:b w:val="false"/>
                  <w:i w:val="false"/>
                  <w:caps w:val="false"/>
                  <w:smallCaps w:val="false"/>
                  <w:sz w:val="18"/>
                </w:rPr>
                <w:t>PART II</w:t>
              </w:r>
            </w:hyperlink>
          </w:p>
        </w:tc>
        <w:tc>
          <w:tcPr>
            <w:tcW w:w="7351" w:type="dxa"/>
            <w:tcBorders/>
            <w:vAlign w:val="center"/>
          </w:tcPr>
          <w:p>
            <w:pPr>
              <w:pStyle w:val="TableContents"/>
              <w:bidi w:val="0"/>
              <w:spacing w:lineRule="auto" w:line="328" w:before="0" w:after="0"/>
              <w:ind w:left="0" w:right="0" w:hanging="0"/>
              <w:jc w:val="left"/>
              <w:rPr/>
            </w:pPr>
            <w:hyperlink w:anchor="PARTIIOTHER_417392">
              <w:r>
                <w:rPr>
                  <w:rStyle w:val="InternetLink"/>
                  <w:rFonts w:ascii="Helvetica" w:hAnsi="Helvetica"/>
                  <w:b w:val="false"/>
                  <w:i w:val="false"/>
                  <w:caps w:val="false"/>
                  <w:smallCaps w:val="false"/>
                  <w:sz w:val="18"/>
                </w:rPr>
                <w:t>OTHER INFORMATION</w:t>
              </w:r>
            </w:hyperlink>
          </w:p>
        </w:tc>
        <w:tc>
          <w:tcPr>
            <w:tcW w:w="961" w:type="dxa"/>
            <w:tcBorders/>
            <w:vAlign w:val="center"/>
          </w:tcPr>
          <w:p>
            <w:pPr>
              <w:pStyle w:val="TableContents"/>
              <w:bidi w:val="0"/>
              <w:spacing w:lineRule="auto" w:line="328" w:before="0" w:after="0"/>
              <w:ind w:left="0" w:right="0" w:hanging="0"/>
              <w:jc w:val="right"/>
              <w:rPr/>
            </w:pPr>
            <w:r>
              <w:rPr/>
              <w:t>​</w:t>
            </w:r>
          </w:p>
        </w:tc>
      </w:tr>
      <w:tr>
        <w:trPr/>
        <w:tc>
          <w:tcPr>
            <w:tcW w:w="736" w:type="dxa"/>
            <w:tcBorders/>
            <w:vAlign w:val="center"/>
          </w:tcPr>
          <w:p>
            <w:pPr>
              <w:pStyle w:val="TableContents"/>
              <w:bidi w:val="0"/>
              <w:spacing w:lineRule="auto" w:line="328" w:before="0" w:after="0"/>
              <w:ind w:left="0" w:right="0" w:hanging="0"/>
              <w:jc w:val="left"/>
              <w:rPr/>
            </w:pPr>
            <w:r>
              <w:rPr/>
              <w:t>​</w:t>
            </w:r>
          </w:p>
        </w:tc>
        <w:tc>
          <w:tcPr>
            <w:tcW w:w="7351" w:type="dxa"/>
            <w:tcBorders/>
            <w:vAlign w:val="center"/>
          </w:tcPr>
          <w:p>
            <w:pPr>
              <w:pStyle w:val="TableContents"/>
              <w:bidi w:val="0"/>
              <w:spacing w:lineRule="auto" w:line="328" w:before="0" w:after="0"/>
              <w:ind w:left="0" w:right="0" w:hanging="0"/>
              <w:jc w:val="left"/>
              <w:rPr/>
            </w:pPr>
            <w:r>
              <w:rPr/>
              <w:t>​</w:t>
            </w:r>
          </w:p>
        </w:tc>
        <w:tc>
          <w:tcPr>
            <w:tcW w:w="961" w:type="dxa"/>
            <w:tcBorders/>
            <w:vAlign w:val="center"/>
          </w:tcPr>
          <w:p>
            <w:pPr>
              <w:pStyle w:val="TableContents"/>
              <w:bidi w:val="0"/>
              <w:spacing w:lineRule="auto" w:line="328" w:before="0" w:after="0"/>
              <w:ind w:left="0" w:right="0" w:hanging="0"/>
              <w:jc w:val="right"/>
              <w:rPr/>
            </w:pPr>
            <w:r>
              <w:rPr/>
              <w:t>​</w:t>
            </w:r>
          </w:p>
        </w:tc>
      </w:tr>
      <w:tr>
        <w:trPr/>
        <w:tc>
          <w:tcPr>
            <w:tcW w:w="736" w:type="dxa"/>
            <w:tcBorders/>
            <w:vAlign w:val="center"/>
          </w:tcPr>
          <w:p>
            <w:pPr>
              <w:pStyle w:val="TableContents"/>
              <w:pBdr/>
              <w:bidi w:val="0"/>
              <w:spacing w:lineRule="auto" w:line="328" w:before="0" w:after="0"/>
              <w:ind w:left="0" w:right="0" w:hanging="0"/>
              <w:jc w:val="left"/>
              <w:rPr/>
            </w:pPr>
            <w:hyperlink w:anchor="Item1LegalProceedings_534485">
              <w:r>
                <w:rPr>
                  <w:rStyle w:val="InternetLink"/>
                  <w:rFonts w:ascii="Helvetica" w:hAnsi="Helvetica"/>
                  <w:b w:val="false"/>
                  <w:i w:val="false"/>
                  <w:caps w:val="false"/>
                  <w:smallCaps w:val="false"/>
                  <w:sz w:val="18"/>
                </w:rPr>
                <w:t>Item 1</w:t>
              </w:r>
            </w:hyperlink>
          </w:p>
        </w:tc>
        <w:tc>
          <w:tcPr>
            <w:tcW w:w="7351" w:type="dxa"/>
            <w:tcBorders/>
            <w:vAlign w:val="center"/>
          </w:tcPr>
          <w:p>
            <w:pPr>
              <w:pStyle w:val="TableContents"/>
              <w:bidi w:val="0"/>
              <w:spacing w:lineRule="auto" w:line="328" w:before="0" w:after="0"/>
              <w:ind w:left="0" w:right="0" w:hanging="0"/>
              <w:jc w:val="left"/>
              <w:rPr/>
            </w:pPr>
            <w:hyperlink w:anchor="Item1LegalProceedings_534485">
              <w:r>
                <w:rPr>
                  <w:rStyle w:val="InternetLink"/>
                  <w:rFonts w:ascii="Helvetica" w:hAnsi="Helvetica"/>
                  <w:b w:val="false"/>
                  <w:i w:val="false"/>
                  <w:caps w:val="false"/>
                  <w:smallCaps w:val="false"/>
                  <w:sz w:val="18"/>
                </w:rPr>
                <w:t>Legal Proceedings</w:t>
              </w:r>
            </w:hyperlink>
          </w:p>
        </w:tc>
        <w:tc>
          <w:tcPr>
            <w:tcW w:w="961" w:type="dxa"/>
            <w:tcBorders/>
            <w:vAlign w:val="center"/>
          </w:tcPr>
          <w:p>
            <w:pPr>
              <w:pStyle w:val="TableContents"/>
              <w:bidi w:val="0"/>
              <w:spacing w:lineRule="auto" w:line="328" w:before="0" w:after="0"/>
              <w:ind w:left="0" w:right="0" w:hanging="0"/>
              <w:jc w:val="right"/>
              <w:rPr>
                <w:rFonts w:ascii="Helvetica" w:hAnsi="Helvetica"/>
                <w:sz w:val="18"/>
              </w:rPr>
            </w:pPr>
            <w:r>
              <w:rPr>
                <w:rFonts w:ascii="Helvetica" w:hAnsi="Helvetica"/>
                <w:sz w:val="18"/>
              </w:rPr>
              <w:t>20</w:t>
            </w:r>
          </w:p>
        </w:tc>
      </w:tr>
      <w:tr>
        <w:trPr/>
        <w:tc>
          <w:tcPr>
            <w:tcW w:w="736" w:type="dxa"/>
            <w:tcBorders/>
            <w:vAlign w:val="center"/>
          </w:tcPr>
          <w:p>
            <w:pPr>
              <w:pStyle w:val="TableContents"/>
              <w:bidi w:val="0"/>
              <w:spacing w:lineRule="auto" w:line="328" w:before="0" w:after="0"/>
              <w:ind w:left="0" w:right="0" w:hanging="0"/>
              <w:jc w:val="left"/>
              <w:rPr/>
            </w:pPr>
            <w:r>
              <w:rPr/>
              <w:t>​</w:t>
            </w:r>
          </w:p>
        </w:tc>
        <w:tc>
          <w:tcPr>
            <w:tcW w:w="7351" w:type="dxa"/>
            <w:tcBorders/>
            <w:vAlign w:val="center"/>
          </w:tcPr>
          <w:p>
            <w:pPr>
              <w:pStyle w:val="TableContents"/>
              <w:bidi w:val="0"/>
              <w:spacing w:lineRule="auto" w:line="328" w:before="0" w:after="0"/>
              <w:ind w:left="0" w:right="0" w:hanging="0"/>
              <w:jc w:val="left"/>
              <w:rPr/>
            </w:pPr>
            <w:r>
              <w:rPr/>
              <w:t>​</w:t>
            </w:r>
          </w:p>
        </w:tc>
        <w:tc>
          <w:tcPr>
            <w:tcW w:w="961" w:type="dxa"/>
            <w:tcBorders/>
            <w:vAlign w:val="center"/>
          </w:tcPr>
          <w:p>
            <w:pPr>
              <w:pStyle w:val="TableContents"/>
              <w:bidi w:val="0"/>
              <w:spacing w:lineRule="auto" w:line="328" w:before="0" w:after="0"/>
              <w:ind w:left="0" w:right="0" w:hanging="0"/>
              <w:jc w:val="right"/>
              <w:rPr/>
            </w:pPr>
            <w:r>
              <w:rPr/>
              <w:t>​</w:t>
            </w:r>
          </w:p>
        </w:tc>
      </w:tr>
      <w:tr>
        <w:trPr/>
        <w:tc>
          <w:tcPr>
            <w:tcW w:w="736" w:type="dxa"/>
            <w:tcBorders/>
            <w:vAlign w:val="center"/>
          </w:tcPr>
          <w:p>
            <w:pPr>
              <w:pStyle w:val="TableContents"/>
              <w:pBdr/>
              <w:bidi w:val="0"/>
              <w:spacing w:lineRule="auto" w:line="328" w:before="0" w:after="0"/>
              <w:ind w:left="0" w:right="0" w:hanging="0"/>
              <w:jc w:val="left"/>
              <w:rPr/>
            </w:pPr>
            <w:hyperlink w:anchor="Item1ARiskFactors_712442">
              <w:r>
                <w:rPr>
                  <w:rStyle w:val="InternetLink"/>
                  <w:rFonts w:ascii="Helvetica" w:hAnsi="Helvetica"/>
                  <w:b w:val="false"/>
                  <w:i w:val="false"/>
                  <w:caps w:val="false"/>
                  <w:smallCaps w:val="false"/>
                  <w:sz w:val="18"/>
                </w:rPr>
                <w:t>Item 1A</w:t>
              </w:r>
            </w:hyperlink>
          </w:p>
        </w:tc>
        <w:tc>
          <w:tcPr>
            <w:tcW w:w="7351" w:type="dxa"/>
            <w:tcBorders/>
            <w:vAlign w:val="center"/>
          </w:tcPr>
          <w:p>
            <w:pPr>
              <w:pStyle w:val="TableContents"/>
              <w:bidi w:val="0"/>
              <w:spacing w:lineRule="auto" w:line="328" w:before="0" w:after="0"/>
              <w:ind w:left="0" w:right="0" w:hanging="0"/>
              <w:jc w:val="left"/>
              <w:rPr/>
            </w:pPr>
            <w:hyperlink w:anchor="Item1ARiskFactors_712442">
              <w:r>
                <w:rPr>
                  <w:rStyle w:val="InternetLink"/>
                  <w:rFonts w:ascii="Helvetica" w:hAnsi="Helvetica"/>
                  <w:b w:val="false"/>
                  <w:i w:val="false"/>
                  <w:caps w:val="false"/>
                  <w:smallCaps w:val="false"/>
                  <w:sz w:val="18"/>
                </w:rPr>
                <w:t>Risk Factors</w:t>
              </w:r>
            </w:hyperlink>
          </w:p>
        </w:tc>
        <w:tc>
          <w:tcPr>
            <w:tcW w:w="961" w:type="dxa"/>
            <w:tcBorders/>
            <w:vAlign w:val="center"/>
          </w:tcPr>
          <w:p>
            <w:pPr>
              <w:pStyle w:val="TableContents"/>
              <w:bidi w:val="0"/>
              <w:spacing w:lineRule="auto" w:line="328" w:before="0" w:after="0"/>
              <w:ind w:left="0" w:right="0" w:hanging="0"/>
              <w:jc w:val="right"/>
              <w:rPr>
                <w:rFonts w:ascii="Helvetica" w:hAnsi="Helvetica"/>
                <w:sz w:val="18"/>
              </w:rPr>
            </w:pPr>
            <w:r>
              <w:rPr>
                <w:rFonts w:ascii="Helvetica" w:hAnsi="Helvetica"/>
                <w:sz w:val="18"/>
              </w:rPr>
              <w:t>20</w:t>
            </w:r>
          </w:p>
        </w:tc>
      </w:tr>
      <w:tr>
        <w:trPr/>
        <w:tc>
          <w:tcPr>
            <w:tcW w:w="736" w:type="dxa"/>
            <w:tcBorders/>
            <w:vAlign w:val="center"/>
          </w:tcPr>
          <w:p>
            <w:pPr>
              <w:pStyle w:val="TableContents"/>
              <w:bidi w:val="0"/>
              <w:spacing w:lineRule="auto" w:line="328" w:before="0" w:after="0"/>
              <w:ind w:left="0" w:right="0" w:hanging="0"/>
              <w:jc w:val="left"/>
              <w:rPr/>
            </w:pPr>
            <w:r>
              <w:rPr/>
              <w:t>​</w:t>
            </w:r>
          </w:p>
        </w:tc>
        <w:tc>
          <w:tcPr>
            <w:tcW w:w="7351" w:type="dxa"/>
            <w:tcBorders/>
            <w:vAlign w:val="center"/>
          </w:tcPr>
          <w:p>
            <w:pPr>
              <w:pStyle w:val="TableContents"/>
              <w:bidi w:val="0"/>
              <w:spacing w:lineRule="auto" w:line="328" w:before="0" w:after="0"/>
              <w:ind w:left="0" w:right="0" w:hanging="0"/>
              <w:jc w:val="left"/>
              <w:rPr/>
            </w:pPr>
            <w:r>
              <w:rPr/>
              <w:t>​</w:t>
            </w:r>
          </w:p>
        </w:tc>
        <w:tc>
          <w:tcPr>
            <w:tcW w:w="961" w:type="dxa"/>
            <w:tcBorders/>
            <w:vAlign w:val="center"/>
          </w:tcPr>
          <w:p>
            <w:pPr>
              <w:pStyle w:val="TableContents"/>
              <w:bidi w:val="0"/>
              <w:spacing w:lineRule="auto" w:line="328" w:before="0" w:after="0"/>
              <w:ind w:left="0" w:right="0" w:hanging="0"/>
              <w:jc w:val="right"/>
              <w:rPr/>
            </w:pPr>
            <w:r>
              <w:rPr/>
              <w:t>​</w:t>
            </w:r>
          </w:p>
        </w:tc>
      </w:tr>
      <w:tr>
        <w:trPr/>
        <w:tc>
          <w:tcPr>
            <w:tcW w:w="736" w:type="dxa"/>
            <w:tcBorders/>
            <w:vAlign w:val="center"/>
          </w:tcPr>
          <w:p>
            <w:pPr>
              <w:pStyle w:val="TableContents"/>
              <w:pBdr/>
              <w:bidi w:val="0"/>
              <w:spacing w:lineRule="auto" w:line="328" w:before="0" w:after="0"/>
              <w:ind w:left="0" w:right="0" w:hanging="0"/>
              <w:jc w:val="left"/>
              <w:rPr/>
            </w:pPr>
            <w:hyperlink w:anchor="Item2Unregistered_848127">
              <w:r>
                <w:rPr>
                  <w:rStyle w:val="InternetLink"/>
                  <w:rFonts w:ascii="Helvetica" w:hAnsi="Helvetica"/>
                  <w:b w:val="false"/>
                  <w:i w:val="false"/>
                  <w:caps w:val="false"/>
                  <w:smallCaps w:val="false"/>
                  <w:sz w:val="18"/>
                </w:rPr>
                <w:t>Item 2</w:t>
              </w:r>
            </w:hyperlink>
          </w:p>
        </w:tc>
        <w:tc>
          <w:tcPr>
            <w:tcW w:w="7351" w:type="dxa"/>
            <w:tcBorders/>
            <w:vAlign w:val="center"/>
          </w:tcPr>
          <w:p>
            <w:pPr>
              <w:pStyle w:val="TableContents"/>
              <w:bidi w:val="0"/>
              <w:spacing w:lineRule="auto" w:line="328" w:before="0" w:after="0"/>
              <w:ind w:left="0" w:right="0" w:hanging="0"/>
              <w:jc w:val="left"/>
              <w:rPr/>
            </w:pPr>
            <w:hyperlink w:anchor="Item2Unregistered_848127">
              <w:r>
                <w:rPr>
                  <w:rStyle w:val="InternetLink"/>
                  <w:rFonts w:ascii="Helvetica" w:hAnsi="Helvetica"/>
                  <w:b w:val="false"/>
                  <w:i w:val="false"/>
                  <w:caps w:val="false"/>
                  <w:smallCaps w:val="false"/>
                  <w:sz w:val="18"/>
                </w:rPr>
                <w:t>Unregistered Sales of Equity Securities and Use of Proceeds</w:t>
              </w:r>
            </w:hyperlink>
          </w:p>
        </w:tc>
        <w:tc>
          <w:tcPr>
            <w:tcW w:w="961" w:type="dxa"/>
            <w:tcBorders/>
            <w:vAlign w:val="center"/>
          </w:tcPr>
          <w:p>
            <w:pPr>
              <w:pStyle w:val="TableContents"/>
              <w:bidi w:val="0"/>
              <w:spacing w:lineRule="auto" w:line="328" w:before="0" w:after="0"/>
              <w:ind w:left="0" w:right="0" w:hanging="0"/>
              <w:jc w:val="right"/>
              <w:rPr>
                <w:rFonts w:ascii="Helvetica" w:hAnsi="Helvetica"/>
                <w:sz w:val="18"/>
              </w:rPr>
            </w:pPr>
            <w:r>
              <w:rPr>
                <w:rFonts w:ascii="Helvetica" w:hAnsi="Helvetica"/>
                <w:sz w:val="18"/>
              </w:rPr>
              <w:t>20</w:t>
            </w:r>
          </w:p>
        </w:tc>
      </w:tr>
      <w:tr>
        <w:trPr/>
        <w:tc>
          <w:tcPr>
            <w:tcW w:w="736" w:type="dxa"/>
            <w:tcBorders/>
            <w:vAlign w:val="center"/>
          </w:tcPr>
          <w:p>
            <w:pPr>
              <w:pStyle w:val="TableContents"/>
              <w:bidi w:val="0"/>
              <w:spacing w:lineRule="auto" w:line="328" w:before="0" w:after="0"/>
              <w:ind w:left="0" w:right="0" w:hanging="0"/>
              <w:jc w:val="left"/>
              <w:rPr/>
            </w:pPr>
            <w:r>
              <w:rPr/>
              <w:t>​</w:t>
            </w:r>
          </w:p>
        </w:tc>
        <w:tc>
          <w:tcPr>
            <w:tcW w:w="7351" w:type="dxa"/>
            <w:tcBorders/>
            <w:vAlign w:val="center"/>
          </w:tcPr>
          <w:p>
            <w:pPr>
              <w:pStyle w:val="TableContents"/>
              <w:bidi w:val="0"/>
              <w:spacing w:lineRule="auto" w:line="328" w:before="0" w:after="0"/>
              <w:ind w:left="0" w:right="0" w:hanging="0"/>
              <w:jc w:val="left"/>
              <w:rPr/>
            </w:pPr>
            <w:r>
              <w:rPr/>
              <w:t>​</w:t>
            </w:r>
          </w:p>
        </w:tc>
        <w:tc>
          <w:tcPr>
            <w:tcW w:w="961" w:type="dxa"/>
            <w:tcBorders/>
            <w:vAlign w:val="center"/>
          </w:tcPr>
          <w:p>
            <w:pPr>
              <w:pStyle w:val="TableContents"/>
              <w:bidi w:val="0"/>
              <w:spacing w:lineRule="auto" w:line="328" w:before="0" w:after="0"/>
              <w:ind w:left="0" w:right="0" w:hanging="0"/>
              <w:jc w:val="right"/>
              <w:rPr/>
            </w:pPr>
            <w:r>
              <w:rPr/>
              <w:t>​</w:t>
            </w:r>
          </w:p>
        </w:tc>
      </w:tr>
      <w:tr>
        <w:trPr/>
        <w:tc>
          <w:tcPr>
            <w:tcW w:w="736" w:type="dxa"/>
            <w:tcBorders/>
            <w:vAlign w:val="center"/>
          </w:tcPr>
          <w:p>
            <w:pPr>
              <w:pStyle w:val="TableContents"/>
              <w:pBdr/>
              <w:bidi w:val="0"/>
              <w:spacing w:lineRule="auto" w:line="328" w:before="0" w:after="0"/>
              <w:ind w:left="0" w:right="0" w:hanging="0"/>
              <w:jc w:val="left"/>
              <w:rPr/>
            </w:pPr>
            <w:hyperlink w:anchor="Item3DefaultsUponSeniorSecurities_256165">
              <w:r>
                <w:rPr>
                  <w:rStyle w:val="InternetLink"/>
                  <w:rFonts w:ascii="Helvetica" w:hAnsi="Helvetica"/>
                  <w:b w:val="false"/>
                  <w:i w:val="false"/>
                  <w:caps w:val="false"/>
                  <w:smallCaps w:val="false"/>
                  <w:sz w:val="18"/>
                </w:rPr>
                <w:t>Item 3</w:t>
              </w:r>
            </w:hyperlink>
          </w:p>
        </w:tc>
        <w:tc>
          <w:tcPr>
            <w:tcW w:w="7351" w:type="dxa"/>
            <w:tcBorders/>
            <w:vAlign w:val="center"/>
          </w:tcPr>
          <w:p>
            <w:pPr>
              <w:pStyle w:val="TableContents"/>
              <w:bidi w:val="0"/>
              <w:spacing w:lineRule="auto" w:line="328" w:before="0" w:after="0"/>
              <w:ind w:left="0" w:right="0" w:hanging="0"/>
              <w:jc w:val="left"/>
              <w:rPr/>
            </w:pPr>
            <w:hyperlink w:anchor="Item3DefaultsUponSeniorSecurities_256165">
              <w:r>
                <w:rPr>
                  <w:rStyle w:val="InternetLink"/>
                  <w:rFonts w:ascii="Helvetica" w:hAnsi="Helvetica"/>
                  <w:b w:val="false"/>
                  <w:i w:val="false"/>
                  <w:caps w:val="false"/>
                  <w:smallCaps w:val="false"/>
                  <w:sz w:val="18"/>
                </w:rPr>
                <w:t>Defaults Upon Senior Securities</w:t>
              </w:r>
            </w:hyperlink>
          </w:p>
        </w:tc>
        <w:tc>
          <w:tcPr>
            <w:tcW w:w="961" w:type="dxa"/>
            <w:tcBorders/>
            <w:vAlign w:val="center"/>
          </w:tcPr>
          <w:p>
            <w:pPr>
              <w:pStyle w:val="TableContents"/>
              <w:bidi w:val="0"/>
              <w:spacing w:lineRule="auto" w:line="328" w:before="0" w:after="0"/>
              <w:ind w:left="0" w:right="0" w:hanging="0"/>
              <w:jc w:val="right"/>
              <w:rPr>
                <w:rFonts w:ascii="Helvetica" w:hAnsi="Helvetica"/>
                <w:sz w:val="18"/>
              </w:rPr>
            </w:pPr>
            <w:r>
              <w:rPr>
                <w:rFonts w:ascii="Helvetica" w:hAnsi="Helvetica"/>
                <w:sz w:val="18"/>
              </w:rPr>
              <w:t>20</w:t>
            </w:r>
          </w:p>
        </w:tc>
      </w:tr>
      <w:tr>
        <w:trPr/>
        <w:tc>
          <w:tcPr>
            <w:tcW w:w="736" w:type="dxa"/>
            <w:tcBorders/>
            <w:vAlign w:val="center"/>
          </w:tcPr>
          <w:p>
            <w:pPr>
              <w:pStyle w:val="TableContents"/>
              <w:bidi w:val="0"/>
              <w:spacing w:lineRule="auto" w:line="328" w:before="0" w:after="0"/>
              <w:ind w:left="0" w:right="0" w:hanging="0"/>
              <w:jc w:val="left"/>
              <w:rPr/>
            </w:pPr>
            <w:r>
              <w:rPr/>
              <w:t>​</w:t>
            </w:r>
          </w:p>
        </w:tc>
        <w:tc>
          <w:tcPr>
            <w:tcW w:w="7351" w:type="dxa"/>
            <w:tcBorders/>
            <w:vAlign w:val="center"/>
          </w:tcPr>
          <w:p>
            <w:pPr>
              <w:pStyle w:val="TableContents"/>
              <w:bidi w:val="0"/>
              <w:spacing w:lineRule="auto" w:line="328" w:before="0" w:after="0"/>
              <w:ind w:left="0" w:right="0" w:hanging="0"/>
              <w:jc w:val="left"/>
              <w:rPr/>
            </w:pPr>
            <w:r>
              <w:rPr/>
              <w:t>​</w:t>
            </w:r>
          </w:p>
        </w:tc>
        <w:tc>
          <w:tcPr>
            <w:tcW w:w="961" w:type="dxa"/>
            <w:tcBorders/>
            <w:vAlign w:val="center"/>
          </w:tcPr>
          <w:p>
            <w:pPr>
              <w:pStyle w:val="TableContents"/>
              <w:bidi w:val="0"/>
              <w:spacing w:lineRule="auto" w:line="328" w:before="0" w:after="0"/>
              <w:ind w:left="0" w:right="0" w:hanging="0"/>
              <w:jc w:val="right"/>
              <w:rPr/>
            </w:pPr>
            <w:r>
              <w:rPr/>
              <w:t>​</w:t>
            </w:r>
          </w:p>
        </w:tc>
      </w:tr>
      <w:tr>
        <w:trPr/>
        <w:tc>
          <w:tcPr>
            <w:tcW w:w="736" w:type="dxa"/>
            <w:tcBorders/>
            <w:vAlign w:val="center"/>
          </w:tcPr>
          <w:p>
            <w:pPr>
              <w:pStyle w:val="TableContents"/>
              <w:pBdr/>
              <w:bidi w:val="0"/>
              <w:spacing w:lineRule="auto" w:line="328" w:before="0" w:after="0"/>
              <w:ind w:left="0" w:right="0" w:hanging="0"/>
              <w:jc w:val="left"/>
              <w:rPr/>
            </w:pPr>
            <w:hyperlink w:anchor="Item4MineSafetyDisclosures_796715">
              <w:r>
                <w:rPr>
                  <w:rStyle w:val="InternetLink"/>
                  <w:rFonts w:ascii="Helvetica" w:hAnsi="Helvetica"/>
                  <w:b w:val="false"/>
                  <w:i w:val="false"/>
                  <w:caps w:val="false"/>
                  <w:smallCaps w:val="false"/>
                  <w:sz w:val="18"/>
                </w:rPr>
                <w:t>Item 4</w:t>
              </w:r>
            </w:hyperlink>
          </w:p>
        </w:tc>
        <w:tc>
          <w:tcPr>
            <w:tcW w:w="7351" w:type="dxa"/>
            <w:tcBorders/>
            <w:vAlign w:val="center"/>
          </w:tcPr>
          <w:p>
            <w:pPr>
              <w:pStyle w:val="TableContents"/>
              <w:bidi w:val="0"/>
              <w:spacing w:lineRule="auto" w:line="328" w:before="0" w:after="0"/>
              <w:ind w:left="0" w:right="0" w:hanging="0"/>
              <w:jc w:val="left"/>
              <w:rPr/>
            </w:pPr>
            <w:hyperlink w:anchor="Item4MineSafetyDisclosures_796715">
              <w:r>
                <w:rPr>
                  <w:rStyle w:val="InternetLink"/>
                  <w:rFonts w:ascii="Helvetica" w:hAnsi="Helvetica"/>
                  <w:b w:val="false"/>
                  <w:i w:val="false"/>
                  <w:caps w:val="false"/>
                  <w:smallCaps w:val="false"/>
                  <w:sz w:val="18"/>
                </w:rPr>
                <w:t>Mine Safety Disclosures</w:t>
              </w:r>
            </w:hyperlink>
          </w:p>
        </w:tc>
        <w:tc>
          <w:tcPr>
            <w:tcW w:w="961" w:type="dxa"/>
            <w:tcBorders/>
            <w:vAlign w:val="center"/>
          </w:tcPr>
          <w:p>
            <w:pPr>
              <w:pStyle w:val="TableContents"/>
              <w:bidi w:val="0"/>
              <w:spacing w:lineRule="auto" w:line="328" w:before="0" w:after="0"/>
              <w:ind w:left="0" w:right="0" w:hanging="0"/>
              <w:jc w:val="right"/>
              <w:rPr>
                <w:rFonts w:ascii="Helvetica" w:hAnsi="Helvetica"/>
                <w:sz w:val="18"/>
              </w:rPr>
            </w:pPr>
            <w:r>
              <w:rPr>
                <w:rFonts w:ascii="Helvetica" w:hAnsi="Helvetica"/>
                <w:sz w:val="18"/>
              </w:rPr>
              <w:t>20</w:t>
            </w:r>
          </w:p>
        </w:tc>
      </w:tr>
      <w:tr>
        <w:trPr/>
        <w:tc>
          <w:tcPr>
            <w:tcW w:w="736" w:type="dxa"/>
            <w:tcBorders/>
            <w:vAlign w:val="center"/>
          </w:tcPr>
          <w:p>
            <w:pPr>
              <w:pStyle w:val="TableContents"/>
              <w:bidi w:val="0"/>
              <w:spacing w:lineRule="auto" w:line="328" w:before="0" w:after="0"/>
              <w:ind w:left="0" w:right="0" w:hanging="0"/>
              <w:jc w:val="left"/>
              <w:rPr/>
            </w:pPr>
            <w:r>
              <w:rPr/>
              <w:t>​</w:t>
            </w:r>
          </w:p>
        </w:tc>
        <w:tc>
          <w:tcPr>
            <w:tcW w:w="7351" w:type="dxa"/>
            <w:tcBorders/>
            <w:vAlign w:val="center"/>
          </w:tcPr>
          <w:p>
            <w:pPr>
              <w:pStyle w:val="TableContents"/>
              <w:bidi w:val="0"/>
              <w:spacing w:lineRule="auto" w:line="328" w:before="0" w:after="0"/>
              <w:ind w:left="0" w:right="0" w:hanging="0"/>
              <w:jc w:val="left"/>
              <w:rPr/>
            </w:pPr>
            <w:r>
              <w:rPr/>
              <w:t>​</w:t>
            </w:r>
          </w:p>
        </w:tc>
        <w:tc>
          <w:tcPr>
            <w:tcW w:w="961" w:type="dxa"/>
            <w:tcBorders/>
            <w:vAlign w:val="center"/>
          </w:tcPr>
          <w:p>
            <w:pPr>
              <w:pStyle w:val="TableContents"/>
              <w:bidi w:val="0"/>
              <w:spacing w:lineRule="auto" w:line="328" w:before="0" w:after="0"/>
              <w:ind w:left="0" w:right="0" w:hanging="0"/>
              <w:jc w:val="right"/>
              <w:rPr/>
            </w:pPr>
            <w:r>
              <w:rPr/>
              <w:t>​</w:t>
            </w:r>
          </w:p>
        </w:tc>
      </w:tr>
      <w:tr>
        <w:trPr/>
        <w:tc>
          <w:tcPr>
            <w:tcW w:w="736" w:type="dxa"/>
            <w:tcBorders/>
            <w:vAlign w:val="center"/>
          </w:tcPr>
          <w:p>
            <w:pPr>
              <w:pStyle w:val="TableContents"/>
              <w:pBdr/>
              <w:bidi w:val="0"/>
              <w:spacing w:lineRule="auto" w:line="328" w:before="0" w:after="0"/>
              <w:ind w:left="0" w:right="0" w:hanging="0"/>
              <w:jc w:val="left"/>
              <w:rPr/>
            </w:pPr>
            <w:hyperlink w:anchor="Item5OtherInformation_995576">
              <w:r>
                <w:rPr>
                  <w:rStyle w:val="InternetLink"/>
                  <w:rFonts w:ascii="Helvetica" w:hAnsi="Helvetica"/>
                  <w:b w:val="false"/>
                  <w:i w:val="false"/>
                  <w:caps w:val="false"/>
                  <w:smallCaps w:val="false"/>
                  <w:sz w:val="18"/>
                </w:rPr>
                <w:t>Item 5</w:t>
              </w:r>
            </w:hyperlink>
          </w:p>
        </w:tc>
        <w:tc>
          <w:tcPr>
            <w:tcW w:w="7351" w:type="dxa"/>
            <w:tcBorders/>
            <w:vAlign w:val="center"/>
          </w:tcPr>
          <w:p>
            <w:pPr>
              <w:pStyle w:val="TableContents"/>
              <w:bidi w:val="0"/>
              <w:spacing w:lineRule="auto" w:line="328" w:before="0" w:after="0"/>
              <w:ind w:left="0" w:right="0" w:hanging="0"/>
              <w:jc w:val="left"/>
              <w:rPr/>
            </w:pPr>
            <w:hyperlink w:anchor="Item5OtherInformation_995576">
              <w:r>
                <w:rPr>
                  <w:rStyle w:val="InternetLink"/>
                  <w:rFonts w:ascii="Helvetica" w:hAnsi="Helvetica"/>
                  <w:b w:val="false"/>
                  <w:i w:val="false"/>
                  <w:caps w:val="false"/>
                  <w:smallCaps w:val="false"/>
                  <w:sz w:val="18"/>
                </w:rPr>
                <w:t>Other Information</w:t>
              </w:r>
            </w:hyperlink>
          </w:p>
        </w:tc>
        <w:tc>
          <w:tcPr>
            <w:tcW w:w="961" w:type="dxa"/>
            <w:tcBorders/>
            <w:vAlign w:val="center"/>
          </w:tcPr>
          <w:p>
            <w:pPr>
              <w:pStyle w:val="TableContents"/>
              <w:bidi w:val="0"/>
              <w:spacing w:lineRule="auto" w:line="328" w:before="0" w:after="0"/>
              <w:ind w:left="0" w:right="0" w:hanging="0"/>
              <w:jc w:val="right"/>
              <w:rPr>
                <w:rFonts w:ascii="Helvetica" w:hAnsi="Helvetica"/>
                <w:sz w:val="18"/>
              </w:rPr>
            </w:pPr>
            <w:r>
              <w:rPr>
                <w:rFonts w:ascii="Helvetica" w:hAnsi="Helvetica"/>
                <w:sz w:val="18"/>
              </w:rPr>
              <w:t>20</w:t>
            </w:r>
          </w:p>
        </w:tc>
      </w:tr>
      <w:tr>
        <w:trPr/>
        <w:tc>
          <w:tcPr>
            <w:tcW w:w="736" w:type="dxa"/>
            <w:tcBorders/>
            <w:vAlign w:val="center"/>
          </w:tcPr>
          <w:p>
            <w:pPr>
              <w:pStyle w:val="TableContents"/>
              <w:bidi w:val="0"/>
              <w:spacing w:lineRule="auto" w:line="328" w:before="0" w:after="0"/>
              <w:ind w:left="0" w:right="0" w:hanging="0"/>
              <w:jc w:val="left"/>
              <w:rPr/>
            </w:pPr>
            <w:r>
              <w:rPr/>
              <w:t>​</w:t>
            </w:r>
          </w:p>
        </w:tc>
        <w:tc>
          <w:tcPr>
            <w:tcW w:w="7351" w:type="dxa"/>
            <w:tcBorders/>
            <w:vAlign w:val="center"/>
          </w:tcPr>
          <w:p>
            <w:pPr>
              <w:pStyle w:val="TableContents"/>
              <w:bidi w:val="0"/>
              <w:spacing w:lineRule="auto" w:line="328" w:before="0" w:after="0"/>
              <w:ind w:left="0" w:right="0" w:hanging="0"/>
              <w:jc w:val="left"/>
              <w:rPr/>
            </w:pPr>
            <w:r>
              <w:rPr/>
              <w:t>​</w:t>
            </w:r>
          </w:p>
        </w:tc>
        <w:tc>
          <w:tcPr>
            <w:tcW w:w="961" w:type="dxa"/>
            <w:tcBorders/>
            <w:vAlign w:val="center"/>
          </w:tcPr>
          <w:p>
            <w:pPr>
              <w:pStyle w:val="TableContents"/>
              <w:bidi w:val="0"/>
              <w:spacing w:lineRule="auto" w:line="328" w:before="0" w:after="0"/>
              <w:ind w:left="0" w:right="0" w:hanging="0"/>
              <w:jc w:val="right"/>
              <w:rPr/>
            </w:pPr>
            <w:r>
              <w:rPr/>
              <w:t>​</w:t>
            </w:r>
          </w:p>
        </w:tc>
      </w:tr>
      <w:tr>
        <w:trPr/>
        <w:tc>
          <w:tcPr>
            <w:tcW w:w="736" w:type="dxa"/>
            <w:tcBorders/>
            <w:vAlign w:val="center"/>
          </w:tcPr>
          <w:p>
            <w:pPr>
              <w:pStyle w:val="TableContents"/>
              <w:pBdr/>
              <w:bidi w:val="0"/>
              <w:spacing w:lineRule="auto" w:line="328" w:before="0" w:after="0"/>
              <w:ind w:left="0" w:right="0" w:hanging="0"/>
              <w:jc w:val="left"/>
              <w:rPr/>
            </w:pPr>
            <w:hyperlink w:anchor="Item6Exhibits_688103">
              <w:r>
                <w:rPr>
                  <w:rStyle w:val="InternetLink"/>
                  <w:rFonts w:ascii="Helvetica" w:hAnsi="Helvetica"/>
                  <w:b w:val="false"/>
                  <w:i w:val="false"/>
                  <w:caps w:val="false"/>
                  <w:smallCaps w:val="false"/>
                  <w:sz w:val="18"/>
                </w:rPr>
                <w:t>Item 6</w:t>
              </w:r>
            </w:hyperlink>
          </w:p>
        </w:tc>
        <w:tc>
          <w:tcPr>
            <w:tcW w:w="7351" w:type="dxa"/>
            <w:tcBorders/>
            <w:vAlign w:val="center"/>
          </w:tcPr>
          <w:p>
            <w:pPr>
              <w:pStyle w:val="TableContents"/>
              <w:bidi w:val="0"/>
              <w:spacing w:lineRule="auto" w:line="328" w:before="0" w:after="0"/>
              <w:ind w:left="0" w:right="0" w:hanging="0"/>
              <w:jc w:val="left"/>
              <w:rPr/>
            </w:pPr>
            <w:hyperlink w:anchor="Item6Exhibits_688103">
              <w:r>
                <w:rPr>
                  <w:rStyle w:val="InternetLink"/>
                  <w:rFonts w:ascii="Helvetica" w:hAnsi="Helvetica"/>
                  <w:b w:val="false"/>
                  <w:i w:val="false"/>
                  <w:caps w:val="false"/>
                  <w:smallCaps w:val="false"/>
                  <w:sz w:val="18"/>
                </w:rPr>
                <w:t>Exhibits</w:t>
              </w:r>
            </w:hyperlink>
          </w:p>
        </w:tc>
        <w:tc>
          <w:tcPr>
            <w:tcW w:w="961" w:type="dxa"/>
            <w:tcBorders/>
            <w:vAlign w:val="center"/>
          </w:tcPr>
          <w:p>
            <w:pPr>
              <w:pStyle w:val="TableContents"/>
              <w:bidi w:val="0"/>
              <w:spacing w:lineRule="auto" w:line="328" w:before="0" w:after="0"/>
              <w:ind w:left="0" w:right="0" w:hanging="0"/>
              <w:jc w:val="right"/>
              <w:rPr>
                <w:rFonts w:ascii="Helvetica" w:hAnsi="Helvetica"/>
                <w:sz w:val="18"/>
              </w:rPr>
            </w:pPr>
            <w:r>
              <w:rPr>
                <w:rFonts w:ascii="Helvetica" w:hAnsi="Helvetica"/>
                <w:sz w:val="18"/>
              </w:rPr>
              <w:t>21</w:t>
            </w:r>
          </w:p>
        </w:tc>
      </w:tr>
      <w:tr>
        <w:trPr/>
        <w:tc>
          <w:tcPr>
            <w:tcW w:w="736" w:type="dxa"/>
            <w:tcBorders/>
            <w:vAlign w:val="center"/>
          </w:tcPr>
          <w:p>
            <w:pPr>
              <w:pStyle w:val="TableContents"/>
              <w:bidi w:val="0"/>
              <w:spacing w:lineRule="auto" w:line="328" w:before="0" w:after="0"/>
              <w:ind w:left="0" w:right="0" w:hanging="0"/>
              <w:jc w:val="left"/>
              <w:rPr/>
            </w:pPr>
            <w:r>
              <w:rPr/>
              <w:t>​</w:t>
            </w:r>
          </w:p>
        </w:tc>
        <w:tc>
          <w:tcPr>
            <w:tcW w:w="7351" w:type="dxa"/>
            <w:tcBorders/>
            <w:vAlign w:val="center"/>
          </w:tcPr>
          <w:p>
            <w:pPr>
              <w:pStyle w:val="TableContents"/>
              <w:bidi w:val="0"/>
              <w:spacing w:lineRule="auto" w:line="328" w:before="0" w:after="0"/>
              <w:ind w:left="0" w:right="0" w:hanging="0"/>
              <w:jc w:val="left"/>
              <w:rPr/>
            </w:pPr>
            <w:r>
              <w:rPr/>
              <w:t>​</w:t>
            </w:r>
          </w:p>
        </w:tc>
        <w:tc>
          <w:tcPr>
            <w:tcW w:w="961" w:type="dxa"/>
            <w:tcBorders/>
            <w:vAlign w:val="center"/>
          </w:tcPr>
          <w:p>
            <w:pPr>
              <w:pStyle w:val="TableContents"/>
              <w:bidi w:val="0"/>
              <w:spacing w:lineRule="auto" w:line="328" w:before="0" w:after="0"/>
              <w:ind w:left="0" w:right="0" w:hanging="0"/>
              <w:jc w:val="right"/>
              <w:rPr/>
            </w:pPr>
            <w:r>
              <w:rPr/>
              <w:t>​</w:t>
            </w:r>
          </w:p>
        </w:tc>
      </w:tr>
      <w:tr>
        <w:trPr/>
        <w:tc>
          <w:tcPr>
            <w:tcW w:w="736" w:type="dxa"/>
            <w:tcBorders/>
            <w:vAlign w:val="center"/>
          </w:tcPr>
          <w:p>
            <w:pPr>
              <w:pStyle w:val="TableContents"/>
              <w:bidi w:val="0"/>
              <w:spacing w:lineRule="auto" w:line="328" w:before="0" w:after="0"/>
              <w:ind w:left="0" w:right="0" w:hanging="0"/>
              <w:jc w:val="left"/>
              <w:rPr/>
            </w:pPr>
            <w:r>
              <w:rPr/>
              <w:t>​</w:t>
            </w:r>
          </w:p>
        </w:tc>
        <w:tc>
          <w:tcPr>
            <w:tcW w:w="7351" w:type="dxa"/>
            <w:tcBorders/>
            <w:vAlign w:val="center"/>
          </w:tcPr>
          <w:p>
            <w:pPr>
              <w:pStyle w:val="TableContents"/>
              <w:bidi w:val="0"/>
              <w:spacing w:lineRule="auto" w:line="328" w:before="0" w:after="0"/>
              <w:ind w:left="0" w:right="0" w:hanging="0"/>
              <w:jc w:val="left"/>
              <w:rPr/>
            </w:pPr>
            <w:hyperlink w:anchor="SIGNATURES_26064">
              <w:r>
                <w:rPr>
                  <w:rStyle w:val="InternetLink"/>
                  <w:rFonts w:ascii="Helvetica" w:hAnsi="Helvetica"/>
                  <w:b w:val="false"/>
                  <w:i w:val="false"/>
                  <w:caps w:val="false"/>
                  <w:smallCaps w:val="false"/>
                  <w:sz w:val="18"/>
                </w:rPr>
                <w:t>SIGNATURES</w:t>
              </w:r>
            </w:hyperlink>
          </w:p>
        </w:tc>
        <w:tc>
          <w:tcPr>
            <w:tcW w:w="961" w:type="dxa"/>
            <w:tcBorders/>
            <w:vAlign w:val="center"/>
          </w:tcPr>
          <w:p>
            <w:pPr>
              <w:pStyle w:val="TableContents"/>
              <w:bidi w:val="0"/>
              <w:spacing w:lineRule="auto" w:line="328" w:before="0" w:after="0"/>
              <w:ind w:left="0" w:right="0" w:hanging="0"/>
              <w:jc w:val="right"/>
              <w:rPr>
                <w:rFonts w:ascii="Helvetica" w:hAnsi="Helvetica"/>
                <w:sz w:val="18"/>
              </w:rPr>
            </w:pPr>
            <w:r>
              <w:rPr>
                <w:rFonts w:ascii="Helvetica" w:hAnsi="Helvetica"/>
                <w:sz w:val="18"/>
              </w:rPr>
              <w:t>22</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Helvetica" w:hAnsi="Helvetica"/>
          <w:sz w:val="18"/>
        </w:rPr>
      </w:pPr>
      <w:r>
        <w:rPr>
          <w:rFonts w:ascii="Helvetica" w:hAnsi="Helvetica"/>
          <w:sz w:val="18"/>
        </w:rPr>
        <w:t>2</w:t>
      </w:r>
    </w:p>
    <w:p>
      <w:pPr>
        <w:pStyle w:val="TextBody"/>
        <w:bidi w:val="0"/>
        <w:spacing w:before="0" w:after="6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0"/>
        <w:ind w:left="0" w:right="0" w:hanging="0"/>
        <w:jc w:val="center"/>
        <w:rPr>
          <w:rFonts w:ascii="Helvetica" w:hAnsi="Helvetica"/>
          <w:b/>
          <w:sz w:val="18"/>
        </w:rPr>
      </w:pPr>
      <w:bookmarkStart w:id="37" w:name="PARTIFINANCIALINFORMATION_451939"/>
      <w:bookmarkStart w:id="38" w:name="_df6ebd02_7d3a_4604_bdba_b97fd6ec7c7b"/>
      <w:bookmarkEnd w:id="37"/>
      <w:bookmarkEnd w:id="38"/>
      <w:r>
        <w:rPr>
          <w:rFonts w:ascii="Helvetica" w:hAnsi="Helvetica"/>
          <w:b/>
          <w:sz w:val="18"/>
        </w:rPr>
        <w:t>PART I - FINANCIAL INFORMATION</w:t>
      </w:r>
    </w:p>
    <w:p>
      <w:pPr>
        <w:pStyle w:val="TextBody"/>
        <w:bidi w:val="0"/>
        <w:spacing w:before="0" w:after="0"/>
        <w:ind w:left="0" w:right="0" w:hanging="0"/>
        <w:jc w:val="center"/>
        <w:rPr/>
      </w:pPr>
      <w:r>
        <w:rPr/>
        <w:t>​</w:t>
      </w:r>
    </w:p>
    <w:p>
      <w:pPr>
        <w:pStyle w:val="TextBody"/>
        <w:bidi w:val="0"/>
        <w:spacing w:before="0" w:after="0"/>
        <w:ind w:left="0" w:right="0" w:hanging="0"/>
        <w:jc w:val="left"/>
        <w:rPr>
          <w:rFonts w:ascii="Helvetica" w:hAnsi="Helvetica"/>
          <w:b/>
          <w:sz w:val="18"/>
        </w:rPr>
      </w:pPr>
      <w:bookmarkStart w:id="39" w:name="Item1FinancialStatements_412105"/>
      <w:bookmarkEnd w:id="39"/>
      <w:r>
        <w:rPr>
          <w:rFonts w:ascii="Helvetica" w:hAnsi="Helvetica"/>
          <w:b/>
          <w:sz w:val="18"/>
        </w:rPr>
        <w:t>Item 1. Financial Statements.</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Helvetica" w:hAnsi="Helvetica"/>
          <w:b/>
          <w:sz w:val="18"/>
        </w:rPr>
      </w:pPr>
      <w:r>
        <w:rPr>
          <w:rFonts w:ascii="Helvetica" w:hAnsi="Helvetica"/>
          <w:b/>
          <w:sz w:val="18"/>
        </w:rPr>
        <w:t>Citi Trends, Inc.</w:t>
      </w:r>
    </w:p>
    <w:p>
      <w:pPr>
        <w:pStyle w:val="TextBody"/>
        <w:bidi w:val="0"/>
        <w:spacing w:before="0" w:after="0"/>
        <w:ind w:left="0" w:right="0" w:hanging="0"/>
        <w:jc w:val="center"/>
        <w:rPr>
          <w:rFonts w:ascii="Helvetica" w:hAnsi="Helvetica"/>
          <w:b/>
          <w:sz w:val="18"/>
        </w:rPr>
      </w:pPr>
      <w:bookmarkStart w:id="40" w:name="BalanceSheets_323752"/>
      <w:bookmarkEnd w:id="40"/>
      <w:r>
        <w:rPr>
          <w:rFonts w:ascii="Helvetica" w:hAnsi="Helvetica"/>
          <w:b/>
          <w:sz w:val="18"/>
        </w:rPr>
        <w:t>Condensed Consolidated Balance Sheets</w:t>
      </w:r>
    </w:p>
    <w:p>
      <w:pPr>
        <w:pStyle w:val="TextBody"/>
        <w:bidi w:val="0"/>
        <w:spacing w:before="0" w:after="0"/>
        <w:ind w:left="0" w:right="0" w:hanging="0"/>
        <w:jc w:val="center"/>
        <w:rPr>
          <w:rFonts w:ascii="Helvetica" w:hAnsi="Helvetica"/>
          <w:b/>
          <w:sz w:val="18"/>
        </w:rPr>
      </w:pPr>
      <w:r>
        <w:rPr>
          <w:rFonts w:ascii="Helvetica" w:hAnsi="Helvetica"/>
          <w:b/>
          <w:sz w:val="18"/>
        </w:rPr>
        <w:t>(Unaudited)</w:t>
      </w:r>
    </w:p>
    <w:p>
      <w:pPr>
        <w:pStyle w:val="TextBody"/>
        <w:bidi w:val="0"/>
        <w:spacing w:before="0" w:after="0"/>
        <w:ind w:left="0" w:right="0" w:hanging="0"/>
        <w:jc w:val="center"/>
        <w:rPr>
          <w:rFonts w:ascii="Helvetica" w:hAnsi="Helvetica"/>
          <w:b/>
          <w:sz w:val="18"/>
        </w:rPr>
      </w:pPr>
      <w:r>
        <w:rPr>
          <w:rFonts w:ascii="Helvetica" w:hAnsi="Helvetica"/>
          <w:b/>
          <w:sz w:val="18"/>
        </w:rPr>
        <w:t>(in thousands, except share data)</w:t>
      </w:r>
    </w:p>
    <w:p>
      <w:pPr>
        <w:pStyle w:val="TextBody"/>
        <w:bidi w:val="0"/>
        <w:spacing w:before="0" w:after="0"/>
        <w:ind w:left="0" w:right="0" w:hanging="0"/>
        <w:jc w:val="center"/>
        <w:rPr/>
      </w:pPr>
      <w:r>
        <w:rPr/>
        <w:t>​</w:t>
      </w:r>
    </w:p>
    <w:p>
      <w:pPr>
        <w:pStyle w:val="Normal"/>
        <w:bidi w:val="0"/>
        <w:spacing w:before="0" w:after="0"/>
        <w:jc w:val="left"/>
        <w:rPr>
          <w:sz w:val="4"/>
          <w:szCs w:val="4"/>
        </w:rPr>
      </w:pPr>
      <w:r>
        <w:rPr>
          <w:sz w:val="4"/>
          <w:szCs w:val="4"/>
        </w:rPr>
      </w:r>
      <w:bookmarkStart w:id="41" w:name="Tc_qENGgxIOjE-blZZFo-O1OA_36_5"/>
      <w:bookmarkStart w:id="42" w:name="Tc_8v4y8bg8jUqadxjQ9ojGNA_36_2"/>
      <w:bookmarkStart w:id="43" w:name="Tc_g4FDvGU4C0akEb7BOxRczQ_36_0"/>
      <w:bookmarkStart w:id="44" w:name="Tc_Nhrc23rd5Uq6mYAyWJ7cFg_35_0"/>
      <w:bookmarkStart w:id="45" w:name="Tc_eO1oaN8i60isReOifEeaOg_33_0"/>
      <w:bookmarkStart w:id="46" w:name="Tc_SzeJnSeK7kqNjyAF7xZsiw_32_0"/>
      <w:bookmarkStart w:id="47" w:name="Tc_U-ubeaB6okaBau8M6qzIFg_31_0"/>
      <w:bookmarkStart w:id="48" w:name="Tc_ec_OiECkNkC1K8YKTxmplw_30_0"/>
      <w:bookmarkStart w:id="49" w:name="Tc_l4af113HFU-empXXzVQHWw_29_0"/>
      <w:bookmarkStart w:id="50" w:name="Tc_oNHmevlT306b8nD2iVEmJg_28_0"/>
      <w:bookmarkStart w:id="51" w:name="Tc_42Jk72ULuEG12WcMybHPRQ_26_0"/>
      <w:bookmarkStart w:id="52" w:name="Tc_BimjfrNt1kK19P42UMcPsA_25_0"/>
      <w:bookmarkStart w:id="53" w:name="Tc_630Iutana0KligGn6OYsWQ_24_0"/>
      <w:bookmarkStart w:id="54" w:name="Tc_hRKog6Ac_Eal6zxB4UWEQg_23_0"/>
      <w:bookmarkStart w:id="55" w:name="Tc_YmUN8O6tS0mb0hK_EGtpuQ_22_0"/>
      <w:bookmarkStart w:id="56" w:name="Tc_VKqIYS2IFUOJZuToQjw_fQ_21_0"/>
      <w:bookmarkStart w:id="57" w:name="Tc_PfP3l5_Nv0WEPd20CmK_rw_20_0"/>
      <w:bookmarkStart w:id="58" w:name="Tc_n96qcFpuoEyi0BJgQF75Ww_19_0"/>
      <w:bookmarkStart w:id="59" w:name="Tc_sVj9mQFinkGShPhTSnFL1g_18_0"/>
      <w:bookmarkStart w:id="60" w:name="Tc_VA6BFcw_e068euI38kHrXQ_17_5"/>
      <w:bookmarkStart w:id="61" w:name="Tc__-WEdv5q3k-1G8nAfacSOw_17_2"/>
      <w:bookmarkStart w:id="62" w:name="Tc_pyV06FXSj0eTd7RShIRclw_17_0"/>
      <w:bookmarkStart w:id="63" w:name="Tc_Y6VtT3phNEyrp6kxPhiMfQ_16_0"/>
      <w:bookmarkStart w:id="64" w:name="Tc_o6lpNRNyPUeuolrDex6YDw_15_0"/>
      <w:bookmarkStart w:id="65" w:name="Tc_65f8FDHqUEW_5yIjguQDlQ_13_5"/>
      <w:bookmarkStart w:id="66" w:name="Tc_DjBPg7rOl0SU-fo-a3782A_13_2"/>
      <w:bookmarkStart w:id="67" w:name="Tc_wgY8WDpyf0eOqYuVsLyQaQ_13_0"/>
      <w:bookmarkStart w:id="68" w:name="Tc_UPpQSu613EeysjTDtxwojg_12_0"/>
      <w:bookmarkStart w:id="69" w:name="Tc_NazuEIDTMUWQE9Py0r_Hmg_11_0"/>
      <w:bookmarkStart w:id="70" w:name="Tc_GqEPzsot20GGzLsW5madHw_10_0"/>
      <w:bookmarkStart w:id="71" w:name="Tc_yBQ8W4NsakC4aKgrdQ3kVg_9_0"/>
      <w:bookmarkStart w:id="72" w:name="Tc_HaMMawqjhEWB5Sh9EsjfPw_8_0"/>
      <w:bookmarkStart w:id="73" w:name="Tc_BtgVRgc1BUeL_QiL066-cQ_7_0"/>
      <w:bookmarkStart w:id="74" w:name="Tc_eSSkSgpi7Em3pwJQ-yBrkQ_6_0"/>
      <w:bookmarkStart w:id="75" w:name="Tc_Wgwg6YixJkG4E_gRYr_lRQ_5_5"/>
      <w:bookmarkStart w:id="76" w:name="Tc_zuMZeWkG006s35ZwSZSBaw_5_2"/>
      <w:bookmarkStart w:id="77" w:name="Tc_IMWpYkGHWUKVfRNqjgb_Dw_5_0"/>
      <w:bookmarkStart w:id="78" w:name="Tc_zEKApdQO50CJf0tq4H9gag_4_0"/>
      <w:bookmarkStart w:id="79" w:name="Tc_K4rf1yLLikuG-50XENRk2w_3_0"/>
      <w:bookmarkStart w:id="80" w:name="Tc_svmDIAWDjkOg4q9wk2NqfA_2_5"/>
      <w:bookmarkStart w:id="81" w:name="Tc_14vtln1T3keDLlrMZ34QbA_2_2"/>
      <w:bookmarkStart w:id="82" w:name="Tc_JOWZaAG6w0yqsm8rAgwRLA_1_5"/>
      <w:bookmarkStart w:id="83" w:name="Tc_m_SSq1mdZU6j5-yzHkBYhA_1_2"/>
      <w:bookmarkStart w:id="84" w:name="_bdb971d5_e972_4da6_b1f0_daee37f7852a"/>
      <w:bookmarkStart w:id="85" w:name="Tc_qENGgxIOjE-blZZFo-O1OA_36_5"/>
      <w:bookmarkStart w:id="86" w:name="Tc_8v4y8bg8jUqadxjQ9ojGNA_36_2"/>
      <w:bookmarkStart w:id="87" w:name="Tc_g4FDvGU4C0akEb7BOxRczQ_36_0"/>
      <w:bookmarkStart w:id="88" w:name="Tc_Nhrc23rd5Uq6mYAyWJ7cFg_35_0"/>
      <w:bookmarkStart w:id="89" w:name="Tc_eO1oaN8i60isReOifEeaOg_33_0"/>
      <w:bookmarkStart w:id="90" w:name="Tc_SzeJnSeK7kqNjyAF7xZsiw_32_0"/>
      <w:bookmarkStart w:id="91" w:name="Tc_U-ubeaB6okaBau8M6qzIFg_31_0"/>
      <w:bookmarkStart w:id="92" w:name="Tc_ec_OiECkNkC1K8YKTxmplw_30_0"/>
      <w:bookmarkStart w:id="93" w:name="Tc_l4af113HFU-empXXzVQHWw_29_0"/>
      <w:bookmarkStart w:id="94" w:name="Tc_oNHmevlT306b8nD2iVEmJg_28_0"/>
      <w:bookmarkStart w:id="95" w:name="Tc_42Jk72ULuEG12WcMybHPRQ_26_0"/>
      <w:bookmarkStart w:id="96" w:name="Tc_BimjfrNt1kK19P42UMcPsA_25_0"/>
      <w:bookmarkStart w:id="97" w:name="Tc_630Iutana0KligGn6OYsWQ_24_0"/>
      <w:bookmarkStart w:id="98" w:name="Tc_hRKog6Ac_Eal6zxB4UWEQg_23_0"/>
      <w:bookmarkStart w:id="99" w:name="Tc_YmUN8O6tS0mb0hK_EGtpuQ_22_0"/>
      <w:bookmarkStart w:id="100" w:name="Tc_VKqIYS2IFUOJZuToQjw_fQ_21_0"/>
      <w:bookmarkStart w:id="101" w:name="Tc_PfP3l5_Nv0WEPd20CmK_rw_20_0"/>
      <w:bookmarkStart w:id="102" w:name="Tc_n96qcFpuoEyi0BJgQF75Ww_19_0"/>
      <w:bookmarkStart w:id="103" w:name="Tc_sVj9mQFinkGShPhTSnFL1g_18_0"/>
      <w:bookmarkStart w:id="104" w:name="Tc_VA6BFcw_e068euI38kHrXQ_17_5"/>
      <w:bookmarkStart w:id="105" w:name="Tc__-WEdv5q3k-1G8nAfacSOw_17_2"/>
      <w:bookmarkStart w:id="106" w:name="Tc_pyV06FXSj0eTd7RShIRclw_17_0"/>
      <w:bookmarkStart w:id="107" w:name="Tc_Y6VtT3phNEyrp6kxPhiMfQ_16_0"/>
      <w:bookmarkStart w:id="108" w:name="Tc_o6lpNRNyPUeuolrDex6YDw_15_0"/>
      <w:bookmarkStart w:id="109" w:name="Tc_65f8FDHqUEW_5yIjguQDlQ_13_5"/>
      <w:bookmarkStart w:id="110" w:name="Tc_DjBPg7rOl0SU-fo-a3782A_13_2"/>
      <w:bookmarkStart w:id="111" w:name="Tc_wgY8WDpyf0eOqYuVsLyQaQ_13_0"/>
      <w:bookmarkStart w:id="112" w:name="Tc_UPpQSu613EeysjTDtxwojg_12_0"/>
      <w:bookmarkStart w:id="113" w:name="Tc_NazuEIDTMUWQE9Py0r_Hmg_11_0"/>
      <w:bookmarkStart w:id="114" w:name="Tc_GqEPzsot20GGzLsW5madHw_10_0"/>
      <w:bookmarkStart w:id="115" w:name="Tc_yBQ8W4NsakC4aKgrdQ3kVg_9_0"/>
      <w:bookmarkStart w:id="116" w:name="Tc_HaMMawqjhEWB5Sh9EsjfPw_8_0"/>
      <w:bookmarkStart w:id="117" w:name="Tc_BtgVRgc1BUeL_QiL066-cQ_7_0"/>
      <w:bookmarkStart w:id="118" w:name="Tc_eSSkSgpi7Em3pwJQ-yBrkQ_6_0"/>
      <w:bookmarkStart w:id="119" w:name="Tc_Wgwg6YixJkG4E_gRYr_lRQ_5_5"/>
      <w:bookmarkStart w:id="120" w:name="Tc_zuMZeWkG006s35ZwSZSBaw_5_2"/>
      <w:bookmarkStart w:id="121" w:name="Tc_IMWpYkGHWUKVfRNqjgb_Dw_5_0"/>
      <w:bookmarkStart w:id="122" w:name="Tc_zEKApdQO50CJf0tq4H9gag_4_0"/>
      <w:bookmarkStart w:id="123" w:name="Tc_K4rf1yLLikuG-50XENRk2w_3_0"/>
      <w:bookmarkStart w:id="124" w:name="Tc_svmDIAWDjkOg4q9wk2NqfA_2_5"/>
      <w:bookmarkStart w:id="125" w:name="Tc_14vtln1T3keDLlrMZ34QbA_2_2"/>
      <w:bookmarkStart w:id="126" w:name="Tc_JOWZaAG6w0yqsm8rAgwRLA_1_5"/>
      <w:bookmarkStart w:id="127" w:name="Tc_m_SSq1mdZU6j5-yzHkBYhA_1_2"/>
      <w:bookmarkStart w:id="128" w:name="_bdb971d5_e972_4da6_b1f0_daee37f7852a"/>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p>
    <w:tbl>
      <w:tblPr>
        <w:tblW w:w="10205" w:type="dxa"/>
        <w:jc w:val="left"/>
        <w:tblInd w:w="0" w:type="dxa"/>
        <w:tblLayout w:type="fixed"/>
        <w:tblCellMar>
          <w:top w:w="0" w:type="dxa"/>
          <w:left w:w="0" w:type="dxa"/>
          <w:bottom w:w="0" w:type="dxa"/>
          <w:right w:w="0" w:type="dxa"/>
        </w:tblCellMar>
      </w:tblPr>
      <w:tblGrid>
        <w:gridCol w:w="6840"/>
        <w:gridCol w:w="346"/>
        <w:gridCol w:w="211"/>
        <w:gridCol w:w="856"/>
        <w:gridCol w:w="346"/>
        <w:gridCol w:w="211"/>
        <w:gridCol w:w="856"/>
        <w:gridCol w:w="346"/>
        <w:gridCol w:w="193"/>
      </w:tblGrid>
      <w:tr>
        <w:trPr/>
        <w:tc>
          <w:tcPr>
            <w:tcW w:w="68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4343400" cy="175260"/>
                      <wp:effectExtent l="0" t="0" r="0" b="0"/>
                      <wp:wrapNone/>
                      <wp:docPr id="5" name="Frame5"/>
                      <a:graphic xmlns:a="http://schemas.openxmlformats.org/drawingml/2006/main">
                        <a:graphicData uri="http://schemas.microsoft.com/office/word/2010/wordprocessingShape">
                          <wps:wsp>
                            <wps:cNvSpPr txBox="1"/>
                            <wps:spPr>
                              <a:xfrm>
                                <a:off x="0" y="0"/>
                                <a:ext cx="43434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219710" cy="175260"/>
                      <wp:effectExtent l="0" t="0" r="0" b="0"/>
                      <wp:wrapNone/>
                      <wp:docPr id="6" name="Frame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133985" cy="175260"/>
                      <wp:effectExtent l="0" t="0" r="0" b="0"/>
                      <wp:wrapNone/>
                      <wp:docPr id="7" name="Frame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543560" cy="175260"/>
                      <wp:effectExtent l="0" t="0" r="0" b="0"/>
                      <wp:wrapNone/>
                      <wp:docPr id="8" name="Frame8"/>
                      <a:graphic xmlns:a="http://schemas.openxmlformats.org/drawingml/2006/main">
                        <a:graphicData uri="http://schemas.microsoft.com/office/word/2010/wordprocessingShape">
                          <wps:wsp>
                            <wps:cNvSpPr txBox="1"/>
                            <wps:spPr>
                              <a:xfrm>
                                <a:off x="0" y="0"/>
                                <a:ext cx="5435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219710" cy="175260"/>
                      <wp:effectExtent l="0" t="0" r="0" b="0"/>
                      <wp:wrapNone/>
                      <wp:docPr id="9" name="Frame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133985" cy="175260"/>
                      <wp:effectExtent l="0" t="0" r="0" b="0"/>
                      <wp:wrapNone/>
                      <wp:docPr id="10" name="Frame1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543560" cy="175260"/>
                      <wp:effectExtent l="0" t="0" r="0" b="0"/>
                      <wp:wrapNone/>
                      <wp:docPr id="11" name="Frame11"/>
                      <a:graphic xmlns:a="http://schemas.openxmlformats.org/drawingml/2006/main">
                        <a:graphicData uri="http://schemas.microsoft.com/office/word/2010/wordprocessingShape">
                          <wps:wsp>
                            <wps:cNvSpPr txBox="1"/>
                            <wps:spPr>
                              <a:xfrm>
                                <a:off x="0" y="0"/>
                                <a:ext cx="5435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219710" cy="175260"/>
                      <wp:effectExtent l="0" t="0" r="0" b="0"/>
                      <wp:wrapNone/>
                      <wp:docPr id="12" name="Frame1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122555" cy="175260"/>
                      <wp:effectExtent l="0" t="0" r="0" b="0"/>
                      <wp:wrapNone/>
                      <wp:docPr id="13" name="Frame13"/>
                      <a:graphic xmlns:a="http://schemas.openxmlformats.org/drawingml/2006/main">
                        <a:graphicData uri="http://schemas.microsoft.com/office/word/2010/wordprocessingShape">
                          <wps:wsp>
                            <wps:cNvSpPr txBox="1"/>
                            <wps:spPr>
                              <a:xfrm>
                                <a:off x="0" y="0"/>
                                <a:ext cx="1225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6840"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067" w:type="dxa"/>
            <w:gridSpan w:val="2"/>
            <w:tcBorders/>
            <w:vAlign w:val="center"/>
          </w:tcPr>
          <w:p>
            <w:pPr>
              <w:pStyle w:val="TableContents"/>
              <w:bidi w:val="0"/>
              <w:spacing w:before="0" w:after="0"/>
              <w:ind w:left="0" w:right="0" w:hanging="0"/>
              <w:jc w:val="center"/>
              <w:rPr>
                <w:rFonts w:ascii="Helvetica" w:hAnsi="Helvetica"/>
                <w:b/>
                <w:sz w:val="16"/>
              </w:rPr>
            </w:pPr>
            <w:r>
              <w:rPr>
                <w:rFonts w:ascii="Helvetica" w:hAnsi="Helvetica"/>
                <w:b/>
                <w:sz w:val="16"/>
              </w:rPr>
              <w:t>August 1,</w:t>
            </w:r>
          </w:p>
        </w:tc>
        <w:tc>
          <w:tcPr>
            <w:tcW w:w="346" w:type="dxa"/>
            <w:tcBorders/>
            <w:vAlign w:val="center"/>
          </w:tcPr>
          <w:p>
            <w:pPr>
              <w:pStyle w:val="TableContents"/>
              <w:bidi w:val="0"/>
              <w:spacing w:before="0" w:after="0"/>
              <w:ind w:left="0" w:right="0" w:hanging="0"/>
              <w:jc w:val="left"/>
              <w:rPr/>
            </w:pPr>
            <w:r>
              <w:rPr/>
              <w:t>  ​ ​ ​</w:t>
            </w:r>
          </w:p>
        </w:tc>
        <w:tc>
          <w:tcPr>
            <w:tcW w:w="1067" w:type="dxa"/>
            <w:gridSpan w:val="2"/>
            <w:tcBorders/>
            <w:vAlign w:val="center"/>
          </w:tcPr>
          <w:p>
            <w:pPr>
              <w:pStyle w:val="TableContents"/>
              <w:bidi w:val="0"/>
              <w:spacing w:before="0" w:after="0"/>
              <w:ind w:left="0" w:right="0" w:hanging="0"/>
              <w:jc w:val="center"/>
              <w:rPr>
                <w:rFonts w:ascii="Helvetica" w:hAnsi="Helvetica"/>
                <w:b/>
                <w:sz w:val="16"/>
              </w:rPr>
            </w:pPr>
            <w:r>
              <w:rPr>
                <w:rFonts w:ascii="Helvetica" w:hAnsi="Helvetica"/>
                <w:b/>
                <w:sz w:val="16"/>
              </w:rPr>
              <w:t>January 31,</w:t>
            </w:r>
          </w:p>
        </w:tc>
        <w:tc>
          <w:tcPr>
            <w:tcW w:w="346" w:type="dxa"/>
            <w:tcBorders/>
            <w:vAlign w:val="center"/>
          </w:tcPr>
          <w:p>
            <w:pPr>
              <w:pStyle w:val="TableContents"/>
              <w:bidi w:val="0"/>
              <w:spacing w:before="0" w:after="0"/>
              <w:ind w:left="0" w:right="0" w:hanging="0"/>
              <w:jc w:val="left"/>
              <w:rPr/>
            </w:pPr>
            <w:r>
              <w:rPr/>
              <w:t>  ​ ​ ​</w:t>
            </w:r>
          </w:p>
        </w:tc>
        <w:tc>
          <w:tcPr>
            <w:tcW w:w="193" w:type="dxa"/>
            <w:tcBorders/>
            <w:vAlign w:val="center"/>
          </w:tcPr>
          <w:p>
            <w:pPr>
              <w:pStyle w:val="TableContents"/>
              <w:bidi w:val="0"/>
              <w:spacing w:before="0" w:after="0"/>
              <w:ind w:left="0" w:right="0" w:hanging="0"/>
              <w:jc w:val="left"/>
              <w:rPr/>
            </w:pPr>
            <w:r>
              <w:rPr/>
              <w:t> </w:t>
            </w:r>
          </w:p>
        </w:tc>
      </w:tr>
      <w:tr>
        <w:trPr/>
        <w:tc>
          <w:tcPr>
            <w:tcW w:w="6840"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06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Helvetica" w:hAnsi="Helvetica"/>
                <w:b/>
                <w:sz w:val="16"/>
              </w:rPr>
            </w:pPr>
            <w:r>
              <w:rPr>
                <w:rFonts w:ascii="Helvetica" w:hAnsi="Helvetica"/>
                <w:b/>
                <w:sz w:val="16"/>
              </w:rPr>
              <w:t>2026</w:t>
            </w:r>
          </w:p>
        </w:tc>
        <w:tc>
          <w:tcPr>
            <w:tcW w:w="346" w:type="dxa"/>
            <w:tcBorders/>
            <w:vAlign w:val="center"/>
          </w:tcPr>
          <w:p>
            <w:pPr>
              <w:pStyle w:val="TableContents"/>
              <w:bidi w:val="0"/>
              <w:spacing w:before="0" w:after="0"/>
              <w:ind w:left="0" w:right="0" w:hanging="0"/>
              <w:jc w:val="left"/>
              <w:rPr/>
            </w:pPr>
            <w:r>
              <w:rPr/>
              <w:t>  ​ ​ ​</w:t>
            </w:r>
          </w:p>
        </w:tc>
        <w:tc>
          <w:tcPr>
            <w:tcW w:w="106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Helvetica" w:hAnsi="Helvetica"/>
                <w:b/>
                <w:sz w:val="16"/>
              </w:rPr>
            </w:pPr>
            <w:r>
              <w:rPr>
                <w:rFonts w:ascii="Helvetica" w:hAnsi="Helvetica"/>
                <w:b/>
                <w:sz w:val="16"/>
              </w:rPr>
              <w:t>2026</w:t>
            </w:r>
          </w:p>
        </w:tc>
        <w:tc>
          <w:tcPr>
            <w:tcW w:w="346" w:type="dxa"/>
            <w:tcBorders/>
            <w:vAlign w:val="center"/>
          </w:tcPr>
          <w:p>
            <w:pPr>
              <w:pStyle w:val="TableContents"/>
              <w:bidi w:val="0"/>
              <w:spacing w:before="0" w:after="0"/>
              <w:ind w:left="0" w:right="0" w:hanging="0"/>
              <w:jc w:val="left"/>
              <w:rPr/>
            </w:pPr>
            <w:r>
              <w:rPr/>
              <w:t>  ​ ​ ​</w:t>
            </w:r>
          </w:p>
        </w:tc>
        <w:tc>
          <w:tcPr>
            <w:tcW w:w="193" w:type="dxa"/>
            <w:tcBorders/>
            <w:vAlign w:val="center"/>
          </w:tcPr>
          <w:p>
            <w:pPr>
              <w:pStyle w:val="TableContents"/>
              <w:bidi w:val="0"/>
              <w:spacing w:before="0" w:after="0"/>
              <w:ind w:left="0" w:right="0" w:hanging="0"/>
              <w:jc w:val="left"/>
              <w:rPr/>
            </w:pPr>
            <w:r>
              <w:rPr/>
              <w:t> </w:t>
            </w:r>
          </w:p>
        </w:tc>
      </w:tr>
      <w:tr>
        <w:trPr/>
        <w:tc>
          <w:tcPr>
            <w:tcW w:w="6840" w:type="dxa"/>
            <w:tcBorders/>
            <w:shd w:fill="CCEEFF" w:val="clear"/>
            <w:vAlign w:val="center"/>
          </w:tcPr>
          <w:p>
            <w:pPr>
              <w:pStyle w:val="TableContents"/>
              <w:bidi w:val="0"/>
              <w:spacing w:before="0" w:after="0"/>
              <w:ind w:left="0" w:right="0" w:hanging="0"/>
              <w:jc w:val="center"/>
              <w:rPr>
                <w:rFonts w:ascii="Helvetica" w:hAnsi="Helvetica"/>
                <w:b/>
                <w:sz w:val="19"/>
              </w:rPr>
            </w:pPr>
            <w:r>
              <w:rPr>
                <w:rFonts w:ascii="Helvetica" w:hAnsi="Helvetica"/>
                <w:b/>
                <w:sz w:val="19"/>
              </w:rPr>
              <w:t>Assets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5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5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3" w:type="dxa"/>
            <w:tcBorders/>
            <w:shd w:fill="CCEEFF" w:val="clear"/>
            <w:vAlign w:val="center"/>
          </w:tcPr>
          <w:p>
            <w:pPr>
              <w:pStyle w:val="TableContents"/>
              <w:bidi w:val="0"/>
              <w:spacing w:before="0" w:after="0"/>
              <w:ind w:left="0" w:right="0" w:hanging="0"/>
              <w:jc w:val="left"/>
              <w:rPr/>
            </w:pPr>
            <w:r>
              <w:rPr/>
              <w:t>​</w:t>
            </w:r>
          </w:p>
        </w:tc>
      </w:tr>
      <w:tr>
        <w:trPr/>
        <w:tc>
          <w:tcPr>
            <w:tcW w:w="6840" w:type="dxa"/>
            <w:tcBorders/>
            <w:vAlign w:val="center"/>
          </w:tcPr>
          <w:p>
            <w:pPr>
              <w:pStyle w:val="TableContents"/>
              <w:bidi w:val="0"/>
              <w:spacing w:before="0" w:after="0"/>
              <w:ind w:left="0" w:right="0" w:hanging="0"/>
              <w:jc w:val="left"/>
              <w:rPr>
                <w:rFonts w:ascii="Helvetica" w:hAnsi="Helvetica"/>
                <w:sz w:val="18"/>
              </w:rPr>
            </w:pPr>
            <w:r>
              <w:rPr>
                <w:rFonts w:ascii="Helvetica" w:hAnsi="Helvetica"/>
                <w:sz w:val="18"/>
              </w:rPr>
              <w:t>Current assets: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5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5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3" w:type="dxa"/>
            <w:tcBorders/>
            <w:vAlign w:val="center"/>
          </w:tcPr>
          <w:p>
            <w:pPr>
              <w:pStyle w:val="TableContents"/>
              <w:bidi w:val="0"/>
              <w:spacing w:before="0" w:after="0"/>
              <w:ind w:left="0" w:right="0" w:hanging="0"/>
              <w:jc w:val="left"/>
              <w:rPr/>
            </w:pPr>
            <w:r>
              <w:rPr/>
              <w:t>​</w:t>
            </w:r>
          </w:p>
        </w:tc>
      </w:tr>
      <w:tr>
        <w:trPr/>
        <w:tc>
          <w:tcPr>
            <w:tcW w:w="6840" w:type="dxa"/>
            <w:tcBorders/>
            <w:shd w:fill="CCEEFF" w:val="clear"/>
            <w:vAlign w:val="center"/>
          </w:tcPr>
          <w:p>
            <w:pPr>
              <w:pStyle w:val="TableContents"/>
              <w:bidi w:val="0"/>
              <w:spacing w:before="0" w:after="0"/>
              <w:ind w:left="0" w:right="0" w:hanging="0"/>
              <w:jc w:val="left"/>
              <w:rPr>
                <w:rFonts w:ascii="Helvetica" w:hAnsi="Helvetica"/>
                <w:sz w:val="18"/>
              </w:rPr>
            </w:pPr>
            <w:r>
              <w:rPr>
                <w:rFonts w:ascii="Helvetica" w:hAnsi="Helvetica"/>
                <w:sz w:val="18"/>
              </w:rPr>
              <w:t>Cash and cash equivalents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Helvetica" w:hAnsi="Helvetica"/>
                <w:sz w:val="18"/>
              </w:rPr>
            </w:pPr>
            <w:r>
              <w:rPr>
                <w:rFonts w:ascii="Helvetica" w:hAnsi="Helvetica"/>
                <w:sz w:val="18"/>
              </w:rPr>
              <w:t>$</w:t>
            </w:r>
          </w:p>
        </w:tc>
        <w:tc>
          <w:tcPr>
            <w:tcW w:w="856" w:type="dxa"/>
            <w:tcBorders/>
            <w:shd w:fill="CCEEFF" w:val="clear"/>
            <w:vAlign w:val="center"/>
          </w:tcPr>
          <w:p>
            <w:pPr>
              <w:pStyle w:val="TableContents"/>
              <w:bidi w:val="0"/>
              <w:spacing w:before="0" w:after="0"/>
              <w:ind w:left="0" w:right="0" w:hanging="0"/>
              <w:jc w:val="right"/>
              <w:rPr>
                <w:rFonts w:ascii="Helvetica" w:hAnsi="Helvetica"/>
                <w:sz w:val="18"/>
              </w:rPr>
            </w:pPr>
            <w:r>
              <w:rPr>
                <w:rFonts w:ascii="Helvetica" w:hAnsi="Helvetica"/>
                <w:sz w:val="18"/>
              </w:rPr>
              <w:t>55,892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Helvetica" w:hAnsi="Helvetica"/>
                <w:sz w:val="18"/>
              </w:rPr>
            </w:pPr>
            <w:r>
              <w:rPr>
                <w:rFonts w:ascii="Helvetica" w:hAnsi="Helvetica"/>
                <w:sz w:val="18"/>
              </w:rPr>
              <w:t>$</w:t>
            </w:r>
          </w:p>
        </w:tc>
        <w:tc>
          <w:tcPr>
            <w:tcW w:w="856" w:type="dxa"/>
            <w:tcBorders/>
            <w:shd w:fill="CCEEFF" w:val="clear"/>
            <w:vAlign w:val="center"/>
          </w:tcPr>
          <w:p>
            <w:pPr>
              <w:pStyle w:val="TableContents"/>
              <w:bidi w:val="0"/>
              <w:spacing w:before="0" w:after="0"/>
              <w:ind w:left="0" w:right="0" w:hanging="0"/>
              <w:jc w:val="right"/>
              <w:rPr>
                <w:rFonts w:ascii="Helvetica" w:hAnsi="Helvetica"/>
                <w:sz w:val="18"/>
              </w:rPr>
            </w:pPr>
            <w:r>
              <w:rPr>
                <w:rFonts w:ascii="Helvetica" w:hAnsi="Helvetica"/>
                <w:sz w:val="18"/>
              </w:rPr>
              <w:t>66,092</w:t>
            </w:r>
          </w:p>
        </w:tc>
        <w:tc>
          <w:tcPr>
            <w:tcW w:w="346" w:type="dxa"/>
            <w:tcBorders/>
            <w:shd w:fill="CCEEFF" w:val="clear"/>
            <w:vAlign w:val="center"/>
          </w:tcPr>
          <w:p>
            <w:pPr>
              <w:pStyle w:val="TableContents"/>
              <w:bidi w:val="0"/>
              <w:spacing w:before="0" w:after="0"/>
              <w:ind w:left="0" w:right="0" w:hanging="0"/>
              <w:jc w:val="left"/>
              <w:rPr/>
            </w:pPr>
            <w:r>
              <w:rPr/>
              <w:t>​</w:t>
            </w:r>
          </w:p>
        </w:tc>
        <w:tc>
          <w:tcPr>
            <w:tcW w:w="193" w:type="dxa"/>
            <w:tcBorders/>
            <w:shd w:fill="CCEEFF" w:val="clear"/>
            <w:vAlign w:val="center"/>
          </w:tcPr>
          <w:p>
            <w:pPr>
              <w:pStyle w:val="TableContents"/>
              <w:bidi w:val="0"/>
              <w:spacing w:before="0" w:after="0"/>
              <w:ind w:left="0" w:right="0" w:hanging="0"/>
              <w:jc w:val="left"/>
              <w:rPr/>
            </w:pPr>
            <w:r>
              <w:rPr/>
              <w:t>​</w:t>
            </w:r>
          </w:p>
        </w:tc>
      </w:tr>
      <w:tr>
        <w:trPr/>
        <w:tc>
          <w:tcPr>
            <w:tcW w:w="6840" w:type="dxa"/>
            <w:tcBorders/>
            <w:vAlign w:val="center"/>
          </w:tcPr>
          <w:p>
            <w:pPr>
              <w:pStyle w:val="TableContents"/>
              <w:bidi w:val="0"/>
              <w:spacing w:before="0" w:after="0"/>
              <w:ind w:left="0" w:right="0" w:hanging="0"/>
              <w:jc w:val="left"/>
              <w:rPr>
                <w:rFonts w:ascii="Helvetica" w:hAnsi="Helvetica"/>
                <w:sz w:val="18"/>
              </w:rPr>
            </w:pPr>
            <w:r>
              <w:rPr>
                <w:rFonts w:ascii="Helvetica" w:hAnsi="Helvetica"/>
                <w:sz w:val="18"/>
              </w:rPr>
              <w:t>Inventory</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56" w:type="dxa"/>
            <w:tcBorders/>
            <w:vAlign w:val="center"/>
          </w:tcPr>
          <w:p>
            <w:pPr>
              <w:pStyle w:val="TableContents"/>
              <w:bidi w:val="0"/>
              <w:spacing w:before="0" w:after="0"/>
              <w:ind w:left="0" w:right="0" w:hanging="0"/>
              <w:jc w:val="right"/>
              <w:rPr>
                <w:rFonts w:ascii="Helvetica" w:hAnsi="Helvetica"/>
                <w:sz w:val="18"/>
              </w:rPr>
            </w:pPr>
            <w:r>
              <w:rPr>
                <w:rFonts w:ascii="Helvetica" w:hAnsi="Helvetica"/>
                <w:sz w:val="18"/>
              </w:rPr>
              <w:t>126,385</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56" w:type="dxa"/>
            <w:tcBorders/>
            <w:vAlign w:val="center"/>
          </w:tcPr>
          <w:p>
            <w:pPr>
              <w:pStyle w:val="TableContents"/>
              <w:bidi w:val="0"/>
              <w:spacing w:before="0" w:after="0"/>
              <w:ind w:left="0" w:right="0" w:hanging="0"/>
              <w:jc w:val="right"/>
              <w:rPr>
                <w:rFonts w:ascii="Helvetica" w:hAnsi="Helvetica"/>
                <w:sz w:val="18"/>
              </w:rPr>
            </w:pPr>
            <w:r>
              <w:rPr>
                <w:rFonts w:ascii="Helvetica" w:hAnsi="Helvetica"/>
                <w:sz w:val="18"/>
              </w:rPr>
              <w:t>113,515</w:t>
            </w:r>
          </w:p>
        </w:tc>
        <w:tc>
          <w:tcPr>
            <w:tcW w:w="346" w:type="dxa"/>
            <w:tcBorders/>
            <w:vAlign w:val="center"/>
          </w:tcPr>
          <w:p>
            <w:pPr>
              <w:pStyle w:val="TableContents"/>
              <w:bidi w:val="0"/>
              <w:spacing w:before="0" w:after="0"/>
              <w:ind w:left="0" w:right="0" w:hanging="0"/>
              <w:jc w:val="left"/>
              <w:rPr/>
            </w:pPr>
            <w:r>
              <w:rPr/>
              <w:t>​</w:t>
            </w:r>
          </w:p>
        </w:tc>
        <w:tc>
          <w:tcPr>
            <w:tcW w:w="193" w:type="dxa"/>
            <w:tcBorders/>
            <w:vAlign w:val="center"/>
          </w:tcPr>
          <w:p>
            <w:pPr>
              <w:pStyle w:val="TableContents"/>
              <w:bidi w:val="0"/>
              <w:spacing w:before="0" w:after="0"/>
              <w:ind w:left="0" w:right="0" w:hanging="0"/>
              <w:jc w:val="left"/>
              <w:rPr/>
            </w:pPr>
            <w:r>
              <w:rPr/>
              <w:t>​</w:t>
            </w:r>
          </w:p>
        </w:tc>
      </w:tr>
      <w:tr>
        <w:trPr/>
        <w:tc>
          <w:tcPr>
            <w:tcW w:w="6840" w:type="dxa"/>
            <w:tcBorders/>
            <w:shd w:fill="CCEEFF" w:val="clear"/>
            <w:vAlign w:val="center"/>
          </w:tcPr>
          <w:p>
            <w:pPr>
              <w:pStyle w:val="TableContents"/>
              <w:bidi w:val="0"/>
              <w:spacing w:before="0" w:after="0"/>
              <w:ind w:left="0" w:right="0" w:hanging="0"/>
              <w:jc w:val="left"/>
              <w:rPr>
                <w:rFonts w:ascii="Helvetica" w:hAnsi="Helvetica"/>
                <w:sz w:val="18"/>
              </w:rPr>
            </w:pPr>
            <w:r>
              <w:rPr>
                <w:rFonts w:ascii="Helvetica" w:hAnsi="Helvetica"/>
                <w:sz w:val="18"/>
              </w:rPr>
              <w:t>Prepaid and other current assets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56" w:type="dxa"/>
            <w:tcBorders/>
            <w:shd w:fill="CCEEFF" w:val="clear"/>
            <w:vAlign w:val="center"/>
          </w:tcPr>
          <w:p>
            <w:pPr>
              <w:pStyle w:val="TableContents"/>
              <w:bidi w:val="0"/>
              <w:spacing w:before="0" w:after="0"/>
              <w:ind w:left="0" w:right="0" w:hanging="0"/>
              <w:jc w:val="right"/>
              <w:rPr>
                <w:rFonts w:ascii="Helvetica" w:hAnsi="Helvetica"/>
                <w:sz w:val="18"/>
              </w:rPr>
            </w:pPr>
            <w:r>
              <w:rPr>
                <w:rFonts w:ascii="Helvetica" w:hAnsi="Helvetica"/>
                <w:sz w:val="18"/>
              </w:rPr>
              <w:t>19,798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56" w:type="dxa"/>
            <w:tcBorders/>
            <w:shd w:fill="CCEEFF" w:val="clear"/>
            <w:vAlign w:val="center"/>
          </w:tcPr>
          <w:p>
            <w:pPr>
              <w:pStyle w:val="TableContents"/>
              <w:bidi w:val="0"/>
              <w:spacing w:before="0" w:after="0"/>
              <w:ind w:left="0" w:right="0" w:hanging="0"/>
              <w:jc w:val="right"/>
              <w:rPr>
                <w:rFonts w:ascii="Helvetica" w:hAnsi="Helvetica"/>
                <w:sz w:val="18"/>
              </w:rPr>
            </w:pPr>
            <w:r>
              <w:rPr>
                <w:rFonts w:ascii="Helvetica" w:hAnsi="Helvetica"/>
                <w:sz w:val="18"/>
              </w:rPr>
              <w:t>12,254</w:t>
            </w:r>
          </w:p>
        </w:tc>
        <w:tc>
          <w:tcPr>
            <w:tcW w:w="346" w:type="dxa"/>
            <w:tcBorders/>
            <w:shd w:fill="CCEEFF" w:val="clear"/>
            <w:vAlign w:val="center"/>
          </w:tcPr>
          <w:p>
            <w:pPr>
              <w:pStyle w:val="TableContents"/>
              <w:bidi w:val="0"/>
              <w:spacing w:before="0" w:after="0"/>
              <w:ind w:left="0" w:right="0" w:hanging="0"/>
              <w:jc w:val="left"/>
              <w:rPr/>
            </w:pPr>
            <w:r>
              <w:rPr/>
              <w:t>​</w:t>
            </w:r>
          </w:p>
        </w:tc>
        <w:tc>
          <w:tcPr>
            <w:tcW w:w="193" w:type="dxa"/>
            <w:tcBorders/>
            <w:shd w:fill="CCEEFF" w:val="clear"/>
            <w:vAlign w:val="center"/>
          </w:tcPr>
          <w:p>
            <w:pPr>
              <w:pStyle w:val="TableContents"/>
              <w:bidi w:val="0"/>
              <w:spacing w:before="0" w:after="0"/>
              <w:ind w:left="0" w:right="0" w:hanging="0"/>
              <w:jc w:val="left"/>
              <w:rPr/>
            </w:pPr>
            <w:r>
              <w:rPr/>
              <w:t>​</w:t>
            </w:r>
          </w:p>
        </w:tc>
      </w:tr>
      <w:tr>
        <w:trPr/>
        <w:tc>
          <w:tcPr>
            <w:tcW w:w="6840" w:type="dxa"/>
            <w:tcBorders/>
            <w:vAlign w:val="center"/>
          </w:tcPr>
          <w:p>
            <w:pPr>
              <w:pStyle w:val="TableContents"/>
              <w:bidi w:val="0"/>
              <w:spacing w:before="0" w:after="0"/>
              <w:ind w:left="0" w:right="0" w:hanging="0"/>
              <w:jc w:val="left"/>
              <w:rPr>
                <w:rFonts w:ascii="Helvetica" w:hAnsi="Helvetica"/>
                <w:sz w:val="18"/>
              </w:rPr>
            </w:pPr>
            <w:r>
              <w:rPr>
                <w:rFonts w:ascii="Helvetica" w:hAnsi="Helvetica"/>
                <w:sz w:val="18"/>
              </w:rPr>
              <w:t>Income tax receivable</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56" w:type="dxa"/>
            <w:tcBorders>
              <w:bottom w:val="single" w:sz="2" w:space="0" w:color="000000"/>
            </w:tcBorders>
            <w:tcMar>
              <w:bottom w:w="28" w:type="dxa"/>
            </w:tcMar>
            <w:vAlign w:val="center"/>
          </w:tcPr>
          <w:p>
            <w:pPr>
              <w:pStyle w:val="TableContents"/>
              <w:bidi w:val="0"/>
              <w:spacing w:before="0" w:after="0"/>
              <w:ind w:left="0" w:right="0" w:hanging="0"/>
              <w:jc w:val="right"/>
              <w:rPr>
                <w:rFonts w:ascii="Helvetica" w:hAnsi="Helvetica"/>
                <w:sz w:val="18"/>
              </w:rPr>
            </w:pPr>
            <w:r>
              <w:rPr>
                <w:rFonts w:ascii="Helvetica" w:hAnsi="Helvetica"/>
                <w:sz w:val="18"/>
              </w:rPr>
              <w:t>1,217</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56" w:type="dxa"/>
            <w:tcBorders>
              <w:bottom w:val="single" w:sz="2" w:space="0" w:color="000000"/>
            </w:tcBorders>
            <w:tcMar>
              <w:bottom w:w="28" w:type="dxa"/>
            </w:tcMar>
            <w:vAlign w:val="center"/>
          </w:tcPr>
          <w:p>
            <w:pPr>
              <w:pStyle w:val="TableContents"/>
              <w:bidi w:val="0"/>
              <w:spacing w:before="0" w:after="0"/>
              <w:ind w:left="0" w:right="0" w:hanging="0"/>
              <w:jc w:val="right"/>
              <w:rPr>
                <w:rFonts w:ascii="Helvetica" w:hAnsi="Helvetica"/>
                <w:sz w:val="18"/>
              </w:rPr>
            </w:pPr>
            <w:r>
              <w:rPr>
                <w:rFonts w:ascii="Helvetica" w:hAnsi="Helvetica"/>
                <w:sz w:val="18"/>
              </w:rPr>
              <w:t>1,187</w:t>
            </w:r>
          </w:p>
        </w:tc>
        <w:tc>
          <w:tcPr>
            <w:tcW w:w="346" w:type="dxa"/>
            <w:tcBorders/>
            <w:vAlign w:val="center"/>
          </w:tcPr>
          <w:p>
            <w:pPr>
              <w:pStyle w:val="TableContents"/>
              <w:bidi w:val="0"/>
              <w:spacing w:before="0" w:after="0"/>
              <w:ind w:left="0" w:right="0" w:hanging="0"/>
              <w:jc w:val="left"/>
              <w:rPr/>
            </w:pPr>
            <w:r>
              <w:rPr/>
              <w:t>​</w:t>
            </w:r>
          </w:p>
        </w:tc>
        <w:tc>
          <w:tcPr>
            <w:tcW w:w="193" w:type="dxa"/>
            <w:tcBorders/>
            <w:vAlign w:val="center"/>
          </w:tcPr>
          <w:p>
            <w:pPr>
              <w:pStyle w:val="TableContents"/>
              <w:bidi w:val="0"/>
              <w:spacing w:before="0" w:after="0"/>
              <w:ind w:left="0" w:right="0" w:hanging="0"/>
              <w:jc w:val="left"/>
              <w:rPr/>
            </w:pPr>
            <w:r>
              <w:rPr/>
              <w:t>​</w:t>
            </w:r>
          </w:p>
        </w:tc>
      </w:tr>
      <w:tr>
        <w:trPr/>
        <w:tc>
          <w:tcPr>
            <w:tcW w:w="6840" w:type="dxa"/>
            <w:tcBorders/>
            <w:shd w:fill="CCEEFF" w:val="clear"/>
            <w:vAlign w:val="center"/>
          </w:tcPr>
          <w:p>
            <w:pPr>
              <w:pStyle w:val="TableContents"/>
              <w:bidi w:val="0"/>
              <w:spacing w:before="0" w:after="0"/>
              <w:ind w:left="0" w:right="0" w:hanging="0"/>
              <w:jc w:val="left"/>
              <w:rPr>
                <w:rFonts w:ascii="Helvetica" w:hAnsi="Helvetica"/>
                <w:sz w:val="18"/>
              </w:rPr>
            </w:pPr>
            <w:r>
              <w:rPr>
                <w:rFonts w:ascii="Helvetica" w:hAnsi="Helvetica"/>
                <w:sz w:val="18"/>
              </w:rPr>
              <w:t>Total current assets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top w:val="single" w:sz="2" w:space="0" w:color="000000"/>
            </w:tcBorders>
            <w:shd w:fill="CCEEFF" w:val="clear"/>
            <w:tcMar>
              <w:top w:w="28" w:type="dxa"/>
            </w:tcMar>
            <w:vAlign w:val="center"/>
          </w:tcPr>
          <w:p>
            <w:pPr>
              <w:pStyle w:val="TableContents"/>
              <w:bidi w:val="0"/>
              <w:spacing w:before="0" w:after="0"/>
              <w:ind w:left="0" w:right="0" w:hanging="0"/>
              <w:jc w:val="left"/>
              <w:rPr/>
            </w:pPr>
            <w:r>
              <w:rPr/>
              <w:t> </w:t>
            </w:r>
          </w:p>
        </w:tc>
        <w:tc>
          <w:tcPr>
            <w:tcW w:w="856" w:type="dxa"/>
            <w:tcBorders>
              <w:top w:val="single" w:sz="2" w:space="0" w:color="000000"/>
            </w:tcBorders>
            <w:shd w:fill="CCEEFF" w:val="clear"/>
            <w:tcMar>
              <w:top w:w="28" w:type="dxa"/>
            </w:tcMar>
            <w:vAlign w:val="center"/>
          </w:tcPr>
          <w:p>
            <w:pPr>
              <w:pStyle w:val="TableContents"/>
              <w:bidi w:val="0"/>
              <w:spacing w:before="0" w:after="0"/>
              <w:ind w:left="0" w:right="0" w:hanging="0"/>
              <w:jc w:val="right"/>
              <w:rPr>
                <w:rFonts w:ascii="Helvetica" w:hAnsi="Helvetica"/>
                <w:sz w:val="18"/>
              </w:rPr>
            </w:pPr>
            <w:r>
              <w:rPr>
                <w:rFonts w:ascii="Helvetica" w:hAnsi="Helvetica"/>
                <w:sz w:val="18"/>
              </w:rPr>
              <w:t>203,292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top w:val="single" w:sz="2" w:space="0" w:color="000000"/>
            </w:tcBorders>
            <w:shd w:fill="CCEEFF" w:val="clear"/>
            <w:tcMar>
              <w:top w:w="28" w:type="dxa"/>
            </w:tcMar>
            <w:vAlign w:val="center"/>
          </w:tcPr>
          <w:p>
            <w:pPr>
              <w:pStyle w:val="TableContents"/>
              <w:bidi w:val="0"/>
              <w:spacing w:before="0" w:after="0"/>
              <w:ind w:left="0" w:right="0" w:hanging="0"/>
              <w:jc w:val="left"/>
              <w:rPr/>
            </w:pPr>
            <w:r>
              <w:rPr/>
              <w:t> </w:t>
            </w:r>
          </w:p>
        </w:tc>
        <w:tc>
          <w:tcPr>
            <w:tcW w:w="856" w:type="dxa"/>
            <w:tcBorders>
              <w:top w:val="single" w:sz="2" w:space="0" w:color="000000"/>
            </w:tcBorders>
            <w:shd w:fill="CCEEFF" w:val="clear"/>
            <w:tcMar>
              <w:top w:w="28" w:type="dxa"/>
            </w:tcMar>
            <w:vAlign w:val="center"/>
          </w:tcPr>
          <w:p>
            <w:pPr>
              <w:pStyle w:val="TableContents"/>
              <w:bidi w:val="0"/>
              <w:spacing w:before="0" w:after="0"/>
              <w:ind w:left="0" w:right="0" w:hanging="0"/>
              <w:jc w:val="right"/>
              <w:rPr>
                <w:rFonts w:ascii="Helvetica" w:hAnsi="Helvetica"/>
                <w:sz w:val="18"/>
              </w:rPr>
            </w:pPr>
            <w:r>
              <w:rPr>
                <w:rFonts w:ascii="Helvetica" w:hAnsi="Helvetica"/>
                <w:sz w:val="18"/>
              </w:rPr>
              <w:t>193,048</w:t>
            </w:r>
          </w:p>
        </w:tc>
        <w:tc>
          <w:tcPr>
            <w:tcW w:w="346" w:type="dxa"/>
            <w:tcBorders/>
            <w:shd w:fill="CCEEFF" w:val="clear"/>
            <w:vAlign w:val="center"/>
          </w:tcPr>
          <w:p>
            <w:pPr>
              <w:pStyle w:val="TableContents"/>
              <w:bidi w:val="0"/>
              <w:spacing w:before="0" w:after="0"/>
              <w:ind w:left="0" w:right="0" w:hanging="0"/>
              <w:jc w:val="left"/>
              <w:rPr/>
            </w:pPr>
            <w:r>
              <w:rPr/>
              <w:t>​</w:t>
            </w:r>
          </w:p>
        </w:tc>
        <w:tc>
          <w:tcPr>
            <w:tcW w:w="193" w:type="dxa"/>
            <w:tcBorders/>
            <w:shd w:fill="CCEEFF" w:val="clear"/>
            <w:vAlign w:val="center"/>
          </w:tcPr>
          <w:p>
            <w:pPr>
              <w:pStyle w:val="TableContents"/>
              <w:bidi w:val="0"/>
              <w:spacing w:before="0" w:after="0"/>
              <w:ind w:left="0" w:right="0" w:hanging="0"/>
              <w:jc w:val="left"/>
              <w:rPr/>
            </w:pPr>
            <w:r>
              <w:rPr/>
              <w:t>​</w:t>
            </w:r>
          </w:p>
        </w:tc>
      </w:tr>
      <w:tr>
        <w:trPr/>
        <w:tc>
          <w:tcPr>
            <w:tcW w:w="6840"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Helvetica" w:hAnsi="Helvetica"/>
                <w:sz w:val="18"/>
              </w:rPr>
              <w:t>Property and equipment, net of accumulated depreciation of $311,640</w:t>
            </w:r>
            <w:r>
              <w:rPr>
                <w:rFonts w:ascii="Times New Roman;Times;serif" w:hAnsi="Times New Roman;Times;serif"/>
                <w:sz w:val="18"/>
              </w:rPr>
              <w:t xml:space="preserve"> </w:t>
            </w:r>
            <w:r>
              <w:rPr>
                <w:rFonts w:ascii="Helvetica" w:hAnsi="Helvetica"/>
                <w:sz w:val="18"/>
              </w:rPr>
              <w:t>and $301,921</w:t>
            </w:r>
            <w:r>
              <w:rPr>
                <w:rFonts w:ascii="Times New Roman;Times;serif" w:hAnsi="Times New Roman;Times;serif"/>
                <w:sz w:val="18"/>
              </w:rPr>
              <w:t xml:space="preserve"> </w:t>
            </w:r>
            <w:r>
              <w:rPr>
                <w:rFonts w:ascii="Helvetica" w:hAnsi="Helvetica"/>
                <w:sz w:val="18"/>
              </w:rPr>
              <w:t>as of August 1, 2026 and January 31, 2026, respectively.</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56" w:type="dxa"/>
            <w:tcBorders/>
            <w:vAlign w:val="center"/>
          </w:tcPr>
          <w:p>
            <w:pPr>
              <w:pStyle w:val="TableContents"/>
              <w:bidi w:val="0"/>
              <w:spacing w:before="0" w:after="0"/>
              <w:ind w:left="0" w:right="0" w:hanging="0"/>
              <w:jc w:val="right"/>
              <w:rPr>
                <w:rFonts w:ascii="Helvetica" w:hAnsi="Helvetica"/>
                <w:sz w:val="18"/>
              </w:rPr>
            </w:pPr>
            <w:r>
              <w:rPr>
                <w:rFonts w:ascii="Helvetica" w:hAnsi="Helvetica"/>
                <w:sz w:val="18"/>
              </w:rPr>
              <w:t>58,761</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56" w:type="dxa"/>
            <w:tcBorders/>
            <w:vAlign w:val="center"/>
          </w:tcPr>
          <w:p>
            <w:pPr>
              <w:pStyle w:val="TableContents"/>
              <w:bidi w:val="0"/>
              <w:spacing w:before="0" w:after="0"/>
              <w:ind w:left="0" w:right="0" w:hanging="0"/>
              <w:jc w:val="right"/>
              <w:rPr>
                <w:rFonts w:ascii="Helvetica" w:hAnsi="Helvetica"/>
                <w:sz w:val="18"/>
              </w:rPr>
            </w:pPr>
            <w:r>
              <w:rPr>
                <w:rFonts w:ascii="Helvetica" w:hAnsi="Helvetica"/>
                <w:sz w:val="18"/>
              </w:rPr>
              <w:t>54,384</w:t>
            </w:r>
          </w:p>
        </w:tc>
        <w:tc>
          <w:tcPr>
            <w:tcW w:w="346" w:type="dxa"/>
            <w:tcBorders/>
            <w:vAlign w:val="center"/>
          </w:tcPr>
          <w:p>
            <w:pPr>
              <w:pStyle w:val="TableContents"/>
              <w:bidi w:val="0"/>
              <w:spacing w:before="0" w:after="0"/>
              <w:ind w:left="0" w:right="0" w:hanging="0"/>
              <w:jc w:val="left"/>
              <w:rPr/>
            </w:pPr>
            <w:r>
              <w:rPr/>
              <w:t>​</w:t>
            </w:r>
          </w:p>
        </w:tc>
        <w:tc>
          <w:tcPr>
            <w:tcW w:w="193" w:type="dxa"/>
            <w:tcBorders/>
            <w:vAlign w:val="center"/>
          </w:tcPr>
          <w:p>
            <w:pPr>
              <w:pStyle w:val="TableContents"/>
              <w:bidi w:val="0"/>
              <w:spacing w:before="0" w:after="0"/>
              <w:ind w:left="0" w:right="0" w:hanging="0"/>
              <w:jc w:val="left"/>
              <w:rPr/>
            </w:pPr>
            <w:r>
              <w:rPr/>
              <w:t>​</w:t>
            </w:r>
          </w:p>
        </w:tc>
      </w:tr>
      <w:tr>
        <w:trPr/>
        <w:tc>
          <w:tcPr>
            <w:tcW w:w="6840" w:type="dxa"/>
            <w:tcBorders/>
            <w:shd w:fill="CCEEFF" w:val="clear"/>
            <w:vAlign w:val="center"/>
          </w:tcPr>
          <w:p>
            <w:pPr>
              <w:pStyle w:val="TableContents"/>
              <w:bidi w:val="0"/>
              <w:spacing w:before="0" w:after="0"/>
              <w:ind w:left="0" w:right="0" w:hanging="0"/>
              <w:jc w:val="left"/>
              <w:rPr>
                <w:rFonts w:ascii="Helvetica" w:hAnsi="Helvetica"/>
                <w:sz w:val="18"/>
              </w:rPr>
            </w:pPr>
            <w:r>
              <w:rPr>
                <w:rFonts w:ascii="Helvetica" w:hAnsi="Helvetica"/>
                <w:sz w:val="18"/>
              </w:rPr>
              <w:t>Operating lease right of use assets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56" w:type="dxa"/>
            <w:tcBorders/>
            <w:shd w:fill="CCEEFF" w:val="clear"/>
            <w:vAlign w:val="center"/>
          </w:tcPr>
          <w:p>
            <w:pPr>
              <w:pStyle w:val="TableContents"/>
              <w:bidi w:val="0"/>
              <w:spacing w:before="0" w:after="0"/>
              <w:ind w:left="0" w:right="0" w:hanging="0"/>
              <w:jc w:val="right"/>
              <w:rPr>
                <w:rFonts w:ascii="Helvetica" w:hAnsi="Helvetica"/>
                <w:sz w:val="18"/>
              </w:rPr>
            </w:pPr>
            <w:r>
              <w:rPr>
                <w:rFonts w:ascii="Helvetica" w:hAnsi="Helvetica"/>
                <w:sz w:val="18"/>
              </w:rPr>
              <w:t>222,781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56" w:type="dxa"/>
            <w:tcBorders/>
            <w:shd w:fill="CCEEFF" w:val="clear"/>
            <w:vAlign w:val="center"/>
          </w:tcPr>
          <w:p>
            <w:pPr>
              <w:pStyle w:val="TableContents"/>
              <w:bidi w:val="0"/>
              <w:spacing w:before="0" w:after="0"/>
              <w:ind w:left="0" w:right="0" w:hanging="0"/>
              <w:jc w:val="right"/>
              <w:rPr>
                <w:rFonts w:ascii="Helvetica" w:hAnsi="Helvetica"/>
                <w:sz w:val="18"/>
              </w:rPr>
            </w:pPr>
            <w:r>
              <w:rPr>
                <w:rFonts w:ascii="Helvetica" w:hAnsi="Helvetica"/>
                <w:sz w:val="18"/>
              </w:rPr>
              <w:t>221,775</w:t>
            </w:r>
          </w:p>
        </w:tc>
        <w:tc>
          <w:tcPr>
            <w:tcW w:w="346" w:type="dxa"/>
            <w:tcBorders/>
            <w:shd w:fill="CCEEFF" w:val="clear"/>
            <w:vAlign w:val="center"/>
          </w:tcPr>
          <w:p>
            <w:pPr>
              <w:pStyle w:val="TableContents"/>
              <w:bidi w:val="0"/>
              <w:spacing w:before="0" w:after="0"/>
              <w:ind w:left="0" w:right="0" w:hanging="0"/>
              <w:jc w:val="left"/>
              <w:rPr/>
            </w:pPr>
            <w:r>
              <w:rPr/>
              <w:t>​</w:t>
            </w:r>
          </w:p>
        </w:tc>
        <w:tc>
          <w:tcPr>
            <w:tcW w:w="193" w:type="dxa"/>
            <w:tcBorders/>
            <w:shd w:fill="CCEEFF" w:val="clear"/>
            <w:vAlign w:val="center"/>
          </w:tcPr>
          <w:p>
            <w:pPr>
              <w:pStyle w:val="TableContents"/>
              <w:bidi w:val="0"/>
              <w:spacing w:before="0" w:after="0"/>
              <w:ind w:left="0" w:right="0" w:hanging="0"/>
              <w:jc w:val="left"/>
              <w:rPr/>
            </w:pPr>
            <w:r>
              <w:rPr/>
              <w:t>​</w:t>
            </w:r>
          </w:p>
        </w:tc>
      </w:tr>
      <w:tr>
        <w:trPr/>
        <w:tc>
          <w:tcPr>
            <w:tcW w:w="6840" w:type="dxa"/>
            <w:tcBorders/>
            <w:vAlign w:val="center"/>
          </w:tcPr>
          <w:p>
            <w:pPr>
              <w:pStyle w:val="TableContents"/>
              <w:bidi w:val="0"/>
              <w:spacing w:before="0" w:after="0"/>
              <w:ind w:left="0" w:right="0" w:hanging="0"/>
              <w:jc w:val="left"/>
              <w:rPr>
                <w:rFonts w:ascii="Helvetica" w:hAnsi="Helvetica"/>
                <w:sz w:val="18"/>
              </w:rPr>
            </w:pPr>
            <w:r>
              <w:rPr>
                <w:rFonts w:ascii="Helvetica" w:hAnsi="Helvetica"/>
                <w:sz w:val="18"/>
              </w:rPr>
              <w:t>Other assets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56" w:type="dxa"/>
            <w:tcBorders>
              <w:bottom w:val="single" w:sz="2" w:space="0" w:color="000000"/>
            </w:tcBorders>
            <w:tcMar>
              <w:bottom w:w="28" w:type="dxa"/>
            </w:tcMar>
            <w:vAlign w:val="center"/>
          </w:tcPr>
          <w:p>
            <w:pPr>
              <w:pStyle w:val="TableContents"/>
              <w:bidi w:val="0"/>
              <w:spacing w:before="0" w:after="0"/>
              <w:ind w:left="0" w:right="0" w:hanging="0"/>
              <w:jc w:val="right"/>
              <w:rPr>
                <w:rFonts w:ascii="Helvetica" w:hAnsi="Helvetica"/>
                <w:sz w:val="18"/>
              </w:rPr>
            </w:pPr>
            <w:r>
              <w:rPr>
                <w:rFonts w:ascii="Helvetica" w:hAnsi="Helvetica"/>
                <w:sz w:val="18"/>
              </w:rPr>
              <w:t>2,174</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56" w:type="dxa"/>
            <w:tcBorders>
              <w:bottom w:val="single" w:sz="2" w:space="0" w:color="000000"/>
            </w:tcBorders>
            <w:tcMar>
              <w:bottom w:w="28" w:type="dxa"/>
            </w:tcMar>
            <w:vAlign w:val="center"/>
          </w:tcPr>
          <w:p>
            <w:pPr>
              <w:pStyle w:val="TableContents"/>
              <w:bidi w:val="0"/>
              <w:spacing w:before="0" w:after="0"/>
              <w:ind w:left="0" w:right="0" w:hanging="0"/>
              <w:jc w:val="right"/>
              <w:rPr>
                <w:rFonts w:ascii="Helvetica" w:hAnsi="Helvetica"/>
                <w:sz w:val="18"/>
              </w:rPr>
            </w:pPr>
            <w:r>
              <w:rPr>
                <w:rFonts w:ascii="Helvetica" w:hAnsi="Helvetica"/>
                <w:sz w:val="18"/>
              </w:rPr>
              <w:t>1,964</w:t>
            </w:r>
          </w:p>
        </w:tc>
        <w:tc>
          <w:tcPr>
            <w:tcW w:w="346" w:type="dxa"/>
            <w:tcBorders/>
            <w:vAlign w:val="center"/>
          </w:tcPr>
          <w:p>
            <w:pPr>
              <w:pStyle w:val="TableContents"/>
              <w:bidi w:val="0"/>
              <w:spacing w:before="0" w:after="0"/>
              <w:ind w:left="0" w:right="0" w:hanging="0"/>
              <w:jc w:val="left"/>
              <w:rPr/>
            </w:pPr>
            <w:r>
              <w:rPr/>
              <w:t>​</w:t>
            </w:r>
          </w:p>
        </w:tc>
        <w:tc>
          <w:tcPr>
            <w:tcW w:w="193" w:type="dxa"/>
            <w:tcBorders/>
            <w:vAlign w:val="center"/>
          </w:tcPr>
          <w:p>
            <w:pPr>
              <w:pStyle w:val="TableContents"/>
              <w:bidi w:val="0"/>
              <w:spacing w:before="0" w:after="0"/>
              <w:ind w:left="0" w:right="0" w:hanging="0"/>
              <w:jc w:val="left"/>
              <w:rPr/>
            </w:pPr>
            <w:r>
              <w:rPr/>
              <w:t>​</w:t>
            </w:r>
          </w:p>
        </w:tc>
      </w:tr>
      <w:tr>
        <w:trPr/>
        <w:tc>
          <w:tcPr>
            <w:tcW w:w="6840" w:type="dxa"/>
            <w:tcBorders/>
            <w:shd w:fill="CCEEFF" w:val="clear"/>
            <w:vAlign w:val="center"/>
          </w:tcPr>
          <w:p>
            <w:pPr>
              <w:pStyle w:val="TableContents"/>
              <w:bidi w:val="0"/>
              <w:spacing w:before="0" w:after="0"/>
              <w:ind w:left="0" w:right="0" w:hanging="0"/>
              <w:jc w:val="left"/>
              <w:rPr>
                <w:rFonts w:ascii="Helvetica" w:hAnsi="Helvetica"/>
                <w:sz w:val="18"/>
              </w:rPr>
            </w:pPr>
            <w:r>
              <w:rPr>
                <w:rFonts w:ascii="Helvetica" w:hAnsi="Helvetica"/>
                <w:sz w:val="18"/>
              </w:rPr>
              <w:t>Total assets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Helvetica" w:hAnsi="Helvetica"/>
                <w:sz w:val="18"/>
              </w:rPr>
            </w:pPr>
            <w:r>
              <w:rPr>
                <w:rFonts w:ascii="Helvetica" w:hAnsi="Helvetica"/>
                <w:sz w:val="18"/>
              </w:rPr>
              <w:t>$</w:t>
            </w:r>
          </w:p>
        </w:tc>
        <w:tc>
          <w:tcPr>
            <w:tcW w:w="85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Helvetica" w:hAnsi="Helvetica"/>
                <w:sz w:val="18"/>
              </w:rPr>
            </w:pPr>
            <w:r>
              <w:rPr>
                <w:rFonts w:ascii="Helvetica" w:hAnsi="Helvetica"/>
                <w:sz w:val="18"/>
              </w:rPr>
              <w:t>487,008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Helvetica" w:hAnsi="Helvetica"/>
                <w:sz w:val="18"/>
              </w:rPr>
            </w:pPr>
            <w:r>
              <w:rPr>
                <w:rFonts w:ascii="Helvetica" w:hAnsi="Helvetica"/>
                <w:sz w:val="18"/>
              </w:rPr>
              <w:t>$</w:t>
            </w:r>
          </w:p>
        </w:tc>
        <w:tc>
          <w:tcPr>
            <w:tcW w:w="85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Helvetica" w:hAnsi="Helvetica"/>
                <w:sz w:val="18"/>
              </w:rPr>
            </w:pPr>
            <w:r>
              <w:rPr>
                <w:rFonts w:ascii="Helvetica" w:hAnsi="Helvetica"/>
                <w:sz w:val="18"/>
              </w:rPr>
              <w:t>471,171</w:t>
            </w:r>
          </w:p>
        </w:tc>
        <w:tc>
          <w:tcPr>
            <w:tcW w:w="346" w:type="dxa"/>
            <w:tcBorders/>
            <w:shd w:fill="CCEEFF" w:val="clear"/>
            <w:vAlign w:val="center"/>
          </w:tcPr>
          <w:p>
            <w:pPr>
              <w:pStyle w:val="TableContents"/>
              <w:bidi w:val="0"/>
              <w:spacing w:before="0" w:after="0"/>
              <w:ind w:left="0" w:right="0" w:hanging="0"/>
              <w:jc w:val="left"/>
              <w:rPr/>
            </w:pPr>
            <w:r>
              <w:rPr/>
              <w:t>​</w:t>
            </w:r>
          </w:p>
        </w:tc>
        <w:tc>
          <w:tcPr>
            <w:tcW w:w="193" w:type="dxa"/>
            <w:tcBorders/>
            <w:shd w:fill="CCEEFF" w:val="clear"/>
            <w:vAlign w:val="center"/>
          </w:tcPr>
          <w:p>
            <w:pPr>
              <w:pStyle w:val="TableContents"/>
              <w:bidi w:val="0"/>
              <w:spacing w:before="0" w:after="0"/>
              <w:ind w:left="0" w:right="0" w:hanging="0"/>
              <w:jc w:val="left"/>
              <w:rPr/>
            </w:pPr>
            <w:r>
              <w:rPr/>
              <w:t>​</w:t>
            </w:r>
          </w:p>
        </w:tc>
      </w:tr>
      <w:tr>
        <w:trPr/>
        <w:tc>
          <w:tcPr>
            <w:tcW w:w="6840"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5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5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3" w:type="dxa"/>
            <w:tcBorders/>
            <w:vAlign w:val="center"/>
          </w:tcPr>
          <w:p>
            <w:pPr>
              <w:pStyle w:val="TableContents"/>
              <w:bidi w:val="0"/>
              <w:spacing w:before="0" w:after="0"/>
              <w:ind w:left="0" w:right="0" w:hanging="0"/>
              <w:jc w:val="left"/>
              <w:rPr/>
            </w:pPr>
            <w:r>
              <w:rPr/>
              <w:t>​</w:t>
            </w:r>
          </w:p>
        </w:tc>
      </w:tr>
      <w:tr>
        <w:trPr/>
        <w:tc>
          <w:tcPr>
            <w:tcW w:w="6840" w:type="dxa"/>
            <w:tcBorders/>
            <w:shd w:fill="CCEEFF" w:val="clear"/>
            <w:vAlign w:val="center"/>
          </w:tcPr>
          <w:p>
            <w:pPr>
              <w:pStyle w:val="TableContents"/>
              <w:bidi w:val="0"/>
              <w:spacing w:before="0" w:after="0"/>
              <w:ind w:left="0" w:right="0" w:hanging="0"/>
              <w:jc w:val="center"/>
              <w:rPr>
                <w:rFonts w:ascii="Helvetica" w:hAnsi="Helvetica"/>
                <w:b/>
                <w:sz w:val="18"/>
              </w:rPr>
            </w:pPr>
            <w:r>
              <w:rPr>
                <w:rFonts w:ascii="Helvetica" w:hAnsi="Helvetica"/>
                <w:b/>
                <w:sz w:val="18"/>
              </w:rPr>
              <w:t>Liabilities and Stockholders’ Equity</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5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5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3" w:type="dxa"/>
            <w:tcBorders/>
            <w:shd w:fill="CCEEFF" w:val="clear"/>
            <w:vAlign w:val="center"/>
          </w:tcPr>
          <w:p>
            <w:pPr>
              <w:pStyle w:val="TableContents"/>
              <w:bidi w:val="0"/>
              <w:spacing w:before="0" w:after="0"/>
              <w:ind w:left="0" w:right="0" w:hanging="0"/>
              <w:jc w:val="left"/>
              <w:rPr/>
            </w:pPr>
            <w:r>
              <w:rPr/>
              <w:t>​</w:t>
            </w:r>
          </w:p>
        </w:tc>
      </w:tr>
      <w:tr>
        <w:trPr/>
        <w:tc>
          <w:tcPr>
            <w:tcW w:w="6840" w:type="dxa"/>
            <w:tcBorders/>
            <w:vAlign w:val="center"/>
          </w:tcPr>
          <w:p>
            <w:pPr>
              <w:pStyle w:val="TableContents"/>
              <w:bidi w:val="0"/>
              <w:spacing w:before="0" w:after="0"/>
              <w:ind w:left="0" w:right="0" w:hanging="0"/>
              <w:jc w:val="left"/>
              <w:rPr>
                <w:rFonts w:ascii="Helvetica" w:hAnsi="Helvetica"/>
                <w:sz w:val="18"/>
              </w:rPr>
            </w:pPr>
            <w:r>
              <w:rPr>
                <w:rFonts w:ascii="Helvetica" w:hAnsi="Helvetica"/>
                <w:sz w:val="18"/>
              </w:rPr>
              <w:t>Current liabilities: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5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5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3" w:type="dxa"/>
            <w:tcBorders/>
            <w:vAlign w:val="center"/>
          </w:tcPr>
          <w:p>
            <w:pPr>
              <w:pStyle w:val="TableContents"/>
              <w:bidi w:val="0"/>
              <w:spacing w:before="0" w:after="0"/>
              <w:ind w:left="0" w:right="0" w:hanging="0"/>
              <w:jc w:val="left"/>
              <w:rPr/>
            </w:pPr>
            <w:r>
              <w:rPr/>
              <w:t>​</w:t>
            </w:r>
          </w:p>
        </w:tc>
      </w:tr>
      <w:tr>
        <w:trPr/>
        <w:tc>
          <w:tcPr>
            <w:tcW w:w="6840" w:type="dxa"/>
            <w:tcBorders/>
            <w:shd w:fill="CCEEFF" w:val="clear"/>
            <w:vAlign w:val="center"/>
          </w:tcPr>
          <w:p>
            <w:pPr>
              <w:pStyle w:val="TableContents"/>
              <w:bidi w:val="0"/>
              <w:spacing w:before="0" w:after="0"/>
              <w:ind w:left="0" w:right="0" w:hanging="0"/>
              <w:jc w:val="left"/>
              <w:rPr>
                <w:rFonts w:ascii="Helvetica" w:hAnsi="Helvetica"/>
                <w:sz w:val="18"/>
              </w:rPr>
            </w:pPr>
            <w:r>
              <w:rPr>
                <w:rFonts w:ascii="Helvetica" w:hAnsi="Helvetica"/>
                <w:sz w:val="18"/>
              </w:rPr>
              <w:t>Accounts payable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Helvetica" w:hAnsi="Helvetica"/>
                <w:sz w:val="18"/>
              </w:rPr>
            </w:pPr>
            <w:r>
              <w:rPr>
                <w:rFonts w:ascii="Helvetica" w:hAnsi="Helvetica"/>
                <w:sz w:val="18"/>
              </w:rPr>
              <w:t>$</w:t>
            </w:r>
          </w:p>
        </w:tc>
        <w:tc>
          <w:tcPr>
            <w:tcW w:w="856" w:type="dxa"/>
            <w:tcBorders/>
            <w:shd w:fill="CCEEFF" w:val="clear"/>
            <w:vAlign w:val="center"/>
          </w:tcPr>
          <w:p>
            <w:pPr>
              <w:pStyle w:val="TableContents"/>
              <w:bidi w:val="0"/>
              <w:spacing w:before="0" w:after="0"/>
              <w:ind w:left="0" w:right="0" w:hanging="0"/>
              <w:jc w:val="right"/>
              <w:rPr>
                <w:rFonts w:ascii="Helvetica" w:hAnsi="Helvetica"/>
                <w:sz w:val="18"/>
              </w:rPr>
            </w:pPr>
            <w:r>
              <w:rPr>
                <w:rFonts w:ascii="Helvetica" w:hAnsi="Helvetica"/>
                <w:sz w:val="18"/>
              </w:rPr>
              <w:t>106,205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Helvetica" w:hAnsi="Helvetica"/>
                <w:sz w:val="18"/>
              </w:rPr>
            </w:pPr>
            <w:r>
              <w:rPr>
                <w:rFonts w:ascii="Helvetica" w:hAnsi="Helvetica"/>
                <w:sz w:val="18"/>
              </w:rPr>
              <w:t>$</w:t>
            </w:r>
          </w:p>
        </w:tc>
        <w:tc>
          <w:tcPr>
            <w:tcW w:w="856" w:type="dxa"/>
            <w:tcBorders/>
            <w:shd w:fill="CCEEFF" w:val="clear"/>
            <w:vAlign w:val="center"/>
          </w:tcPr>
          <w:p>
            <w:pPr>
              <w:pStyle w:val="TableContents"/>
              <w:bidi w:val="0"/>
              <w:spacing w:before="0" w:after="0"/>
              <w:ind w:left="0" w:right="0" w:hanging="0"/>
              <w:jc w:val="right"/>
              <w:rPr>
                <w:rFonts w:ascii="Helvetica" w:hAnsi="Helvetica"/>
                <w:sz w:val="18"/>
              </w:rPr>
            </w:pPr>
            <w:r>
              <w:rPr>
                <w:rFonts w:ascii="Helvetica" w:hAnsi="Helvetica"/>
                <w:sz w:val="18"/>
              </w:rPr>
              <w:t>100,693</w:t>
            </w:r>
          </w:p>
        </w:tc>
        <w:tc>
          <w:tcPr>
            <w:tcW w:w="346" w:type="dxa"/>
            <w:tcBorders/>
            <w:shd w:fill="CCEEFF" w:val="clear"/>
            <w:vAlign w:val="center"/>
          </w:tcPr>
          <w:p>
            <w:pPr>
              <w:pStyle w:val="TableContents"/>
              <w:bidi w:val="0"/>
              <w:spacing w:before="0" w:after="0"/>
              <w:ind w:left="0" w:right="0" w:hanging="0"/>
              <w:jc w:val="left"/>
              <w:rPr/>
            </w:pPr>
            <w:r>
              <w:rPr/>
              <w:t>​</w:t>
            </w:r>
          </w:p>
        </w:tc>
        <w:tc>
          <w:tcPr>
            <w:tcW w:w="193" w:type="dxa"/>
            <w:tcBorders/>
            <w:shd w:fill="CCEEFF" w:val="clear"/>
            <w:vAlign w:val="center"/>
          </w:tcPr>
          <w:p>
            <w:pPr>
              <w:pStyle w:val="TableContents"/>
              <w:bidi w:val="0"/>
              <w:spacing w:before="0" w:after="0"/>
              <w:ind w:left="0" w:right="0" w:hanging="0"/>
              <w:jc w:val="left"/>
              <w:rPr/>
            </w:pPr>
            <w:r>
              <w:rPr/>
              <w:t>​</w:t>
            </w:r>
          </w:p>
        </w:tc>
      </w:tr>
      <w:tr>
        <w:trPr/>
        <w:tc>
          <w:tcPr>
            <w:tcW w:w="6840" w:type="dxa"/>
            <w:tcBorders/>
            <w:vAlign w:val="center"/>
          </w:tcPr>
          <w:p>
            <w:pPr>
              <w:pStyle w:val="TableContents"/>
              <w:bidi w:val="0"/>
              <w:spacing w:before="0" w:after="0"/>
              <w:ind w:left="0" w:right="0" w:hanging="0"/>
              <w:jc w:val="left"/>
              <w:rPr>
                <w:rFonts w:ascii="Helvetica" w:hAnsi="Helvetica"/>
                <w:sz w:val="18"/>
              </w:rPr>
            </w:pPr>
            <w:r>
              <w:rPr>
                <w:rFonts w:ascii="Helvetica" w:hAnsi="Helvetica"/>
                <w:sz w:val="18"/>
              </w:rPr>
              <w:t>Operating lease liabilities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56" w:type="dxa"/>
            <w:tcBorders/>
            <w:vAlign w:val="center"/>
          </w:tcPr>
          <w:p>
            <w:pPr>
              <w:pStyle w:val="TableContents"/>
              <w:bidi w:val="0"/>
              <w:spacing w:before="0" w:after="0"/>
              <w:ind w:left="0" w:right="0" w:hanging="0"/>
              <w:jc w:val="right"/>
              <w:rPr>
                <w:rFonts w:ascii="Helvetica" w:hAnsi="Helvetica"/>
                <w:sz w:val="18"/>
              </w:rPr>
            </w:pPr>
            <w:r>
              <w:rPr>
                <w:rFonts w:ascii="Helvetica" w:hAnsi="Helvetica"/>
                <w:sz w:val="18"/>
              </w:rPr>
              <w:t>44,466</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56" w:type="dxa"/>
            <w:tcBorders/>
            <w:vAlign w:val="center"/>
          </w:tcPr>
          <w:p>
            <w:pPr>
              <w:pStyle w:val="TableContents"/>
              <w:bidi w:val="0"/>
              <w:spacing w:before="0" w:after="0"/>
              <w:ind w:left="0" w:right="0" w:hanging="0"/>
              <w:jc w:val="right"/>
              <w:rPr>
                <w:rFonts w:ascii="Helvetica" w:hAnsi="Helvetica"/>
                <w:sz w:val="18"/>
              </w:rPr>
            </w:pPr>
            <w:r>
              <w:rPr>
                <w:rFonts w:ascii="Helvetica" w:hAnsi="Helvetica"/>
                <w:sz w:val="18"/>
              </w:rPr>
              <w:t>44,397</w:t>
            </w:r>
          </w:p>
        </w:tc>
        <w:tc>
          <w:tcPr>
            <w:tcW w:w="346" w:type="dxa"/>
            <w:tcBorders/>
            <w:vAlign w:val="center"/>
          </w:tcPr>
          <w:p>
            <w:pPr>
              <w:pStyle w:val="TableContents"/>
              <w:bidi w:val="0"/>
              <w:spacing w:before="0" w:after="0"/>
              <w:ind w:left="0" w:right="0" w:hanging="0"/>
              <w:jc w:val="left"/>
              <w:rPr/>
            </w:pPr>
            <w:r>
              <w:rPr/>
              <w:t>​</w:t>
            </w:r>
          </w:p>
        </w:tc>
        <w:tc>
          <w:tcPr>
            <w:tcW w:w="193" w:type="dxa"/>
            <w:tcBorders/>
            <w:vAlign w:val="center"/>
          </w:tcPr>
          <w:p>
            <w:pPr>
              <w:pStyle w:val="TableContents"/>
              <w:bidi w:val="0"/>
              <w:spacing w:before="0" w:after="0"/>
              <w:ind w:left="0" w:right="0" w:hanging="0"/>
              <w:jc w:val="left"/>
              <w:rPr/>
            </w:pPr>
            <w:r>
              <w:rPr/>
              <w:t>​</w:t>
            </w:r>
          </w:p>
        </w:tc>
      </w:tr>
      <w:tr>
        <w:trPr/>
        <w:tc>
          <w:tcPr>
            <w:tcW w:w="6840" w:type="dxa"/>
            <w:tcBorders/>
            <w:shd w:fill="CCEEFF" w:val="clear"/>
            <w:vAlign w:val="center"/>
          </w:tcPr>
          <w:p>
            <w:pPr>
              <w:pStyle w:val="TableContents"/>
              <w:bidi w:val="0"/>
              <w:spacing w:before="0" w:after="0"/>
              <w:ind w:left="0" w:right="0" w:hanging="0"/>
              <w:jc w:val="left"/>
              <w:rPr>
                <w:rFonts w:ascii="Helvetica" w:hAnsi="Helvetica"/>
                <w:sz w:val="18"/>
              </w:rPr>
            </w:pPr>
            <w:r>
              <w:rPr>
                <w:rFonts w:ascii="Helvetica" w:hAnsi="Helvetica"/>
                <w:sz w:val="18"/>
              </w:rPr>
              <w:t>Accrued expenses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56" w:type="dxa"/>
            <w:tcBorders/>
            <w:shd w:fill="CCEEFF" w:val="clear"/>
            <w:vAlign w:val="center"/>
          </w:tcPr>
          <w:p>
            <w:pPr>
              <w:pStyle w:val="TableContents"/>
              <w:bidi w:val="0"/>
              <w:spacing w:before="0" w:after="0"/>
              <w:ind w:left="0" w:right="0" w:hanging="0"/>
              <w:jc w:val="right"/>
              <w:rPr>
                <w:rFonts w:ascii="Helvetica" w:hAnsi="Helvetica"/>
                <w:sz w:val="18"/>
              </w:rPr>
            </w:pPr>
            <w:r>
              <w:rPr>
                <w:rFonts w:ascii="Helvetica" w:hAnsi="Helvetica"/>
                <w:sz w:val="18"/>
              </w:rPr>
              <w:t>17,328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56" w:type="dxa"/>
            <w:tcBorders/>
            <w:shd w:fill="CCEEFF" w:val="clear"/>
            <w:vAlign w:val="center"/>
          </w:tcPr>
          <w:p>
            <w:pPr>
              <w:pStyle w:val="TableContents"/>
              <w:bidi w:val="0"/>
              <w:spacing w:before="0" w:after="0"/>
              <w:ind w:left="0" w:right="0" w:hanging="0"/>
              <w:jc w:val="right"/>
              <w:rPr>
                <w:rFonts w:ascii="Helvetica" w:hAnsi="Helvetica"/>
                <w:sz w:val="18"/>
              </w:rPr>
            </w:pPr>
            <w:r>
              <w:rPr>
                <w:rFonts w:ascii="Helvetica" w:hAnsi="Helvetica"/>
                <w:sz w:val="18"/>
              </w:rPr>
              <w:t>15,134</w:t>
            </w:r>
          </w:p>
        </w:tc>
        <w:tc>
          <w:tcPr>
            <w:tcW w:w="346" w:type="dxa"/>
            <w:tcBorders/>
            <w:shd w:fill="CCEEFF" w:val="clear"/>
            <w:vAlign w:val="center"/>
          </w:tcPr>
          <w:p>
            <w:pPr>
              <w:pStyle w:val="TableContents"/>
              <w:bidi w:val="0"/>
              <w:spacing w:before="0" w:after="0"/>
              <w:ind w:left="0" w:right="0" w:hanging="0"/>
              <w:jc w:val="left"/>
              <w:rPr/>
            </w:pPr>
            <w:r>
              <w:rPr/>
              <w:t>​</w:t>
            </w:r>
          </w:p>
        </w:tc>
        <w:tc>
          <w:tcPr>
            <w:tcW w:w="193" w:type="dxa"/>
            <w:tcBorders/>
            <w:shd w:fill="CCEEFF" w:val="clear"/>
            <w:vAlign w:val="center"/>
          </w:tcPr>
          <w:p>
            <w:pPr>
              <w:pStyle w:val="TableContents"/>
              <w:bidi w:val="0"/>
              <w:spacing w:before="0" w:after="0"/>
              <w:ind w:left="0" w:right="0" w:hanging="0"/>
              <w:jc w:val="left"/>
              <w:rPr/>
            </w:pPr>
            <w:r>
              <w:rPr/>
              <w:t>​</w:t>
            </w:r>
          </w:p>
        </w:tc>
      </w:tr>
      <w:tr>
        <w:trPr/>
        <w:tc>
          <w:tcPr>
            <w:tcW w:w="6840" w:type="dxa"/>
            <w:tcBorders/>
            <w:vAlign w:val="center"/>
          </w:tcPr>
          <w:p>
            <w:pPr>
              <w:pStyle w:val="TableContents"/>
              <w:bidi w:val="0"/>
              <w:spacing w:before="0" w:after="0"/>
              <w:ind w:left="0" w:right="0" w:hanging="0"/>
              <w:jc w:val="left"/>
              <w:rPr>
                <w:rFonts w:ascii="Helvetica" w:hAnsi="Helvetica"/>
                <w:sz w:val="18"/>
              </w:rPr>
            </w:pPr>
            <w:r>
              <w:rPr>
                <w:rFonts w:ascii="Helvetica" w:hAnsi="Helvetica"/>
                <w:sz w:val="18"/>
              </w:rPr>
              <w:t>Accrued compensation</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56" w:type="dxa"/>
            <w:tcBorders/>
            <w:vAlign w:val="center"/>
          </w:tcPr>
          <w:p>
            <w:pPr>
              <w:pStyle w:val="TableContents"/>
              <w:bidi w:val="0"/>
              <w:spacing w:before="0" w:after="0"/>
              <w:ind w:left="0" w:right="0" w:hanging="0"/>
              <w:jc w:val="right"/>
              <w:rPr>
                <w:rFonts w:ascii="Helvetica" w:hAnsi="Helvetica"/>
                <w:sz w:val="18"/>
              </w:rPr>
            </w:pPr>
            <w:r>
              <w:rPr>
                <w:rFonts w:ascii="Helvetica" w:hAnsi="Helvetica"/>
                <w:sz w:val="18"/>
              </w:rPr>
              <w:t>9,970</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56" w:type="dxa"/>
            <w:tcBorders/>
            <w:vAlign w:val="center"/>
          </w:tcPr>
          <w:p>
            <w:pPr>
              <w:pStyle w:val="TableContents"/>
              <w:bidi w:val="0"/>
              <w:spacing w:before="0" w:after="0"/>
              <w:ind w:left="0" w:right="0" w:hanging="0"/>
              <w:jc w:val="right"/>
              <w:rPr>
                <w:rFonts w:ascii="Helvetica" w:hAnsi="Helvetica"/>
                <w:sz w:val="18"/>
              </w:rPr>
            </w:pPr>
            <w:r>
              <w:rPr>
                <w:rFonts w:ascii="Helvetica" w:hAnsi="Helvetica"/>
                <w:sz w:val="18"/>
              </w:rPr>
              <w:t>12,800</w:t>
            </w:r>
          </w:p>
        </w:tc>
        <w:tc>
          <w:tcPr>
            <w:tcW w:w="346" w:type="dxa"/>
            <w:tcBorders/>
            <w:vAlign w:val="center"/>
          </w:tcPr>
          <w:p>
            <w:pPr>
              <w:pStyle w:val="TableContents"/>
              <w:bidi w:val="0"/>
              <w:spacing w:before="0" w:after="0"/>
              <w:ind w:left="0" w:right="0" w:hanging="0"/>
              <w:jc w:val="left"/>
              <w:rPr/>
            </w:pPr>
            <w:r>
              <w:rPr/>
              <w:t>​</w:t>
            </w:r>
          </w:p>
        </w:tc>
        <w:tc>
          <w:tcPr>
            <w:tcW w:w="193" w:type="dxa"/>
            <w:tcBorders/>
            <w:vAlign w:val="center"/>
          </w:tcPr>
          <w:p>
            <w:pPr>
              <w:pStyle w:val="TableContents"/>
              <w:bidi w:val="0"/>
              <w:spacing w:before="0" w:after="0"/>
              <w:ind w:left="0" w:right="0" w:hanging="0"/>
              <w:jc w:val="left"/>
              <w:rPr/>
            </w:pPr>
            <w:r>
              <w:rPr/>
              <w:t>​</w:t>
            </w:r>
          </w:p>
        </w:tc>
      </w:tr>
      <w:tr>
        <w:trPr/>
        <w:tc>
          <w:tcPr>
            <w:tcW w:w="6840" w:type="dxa"/>
            <w:tcBorders/>
            <w:shd w:fill="CCEEFF" w:val="clear"/>
            <w:vAlign w:val="center"/>
          </w:tcPr>
          <w:p>
            <w:pPr>
              <w:pStyle w:val="TableContents"/>
              <w:bidi w:val="0"/>
              <w:spacing w:before="0" w:after="0"/>
              <w:ind w:left="0" w:right="0" w:hanging="0"/>
              <w:jc w:val="left"/>
              <w:rPr>
                <w:rFonts w:ascii="Helvetica" w:hAnsi="Helvetica"/>
                <w:sz w:val="18"/>
              </w:rPr>
            </w:pPr>
            <w:r>
              <w:rPr>
                <w:rFonts w:ascii="Helvetica" w:hAnsi="Helvetica"/>
                <w:sz w:val="18"/>
              </w:rPr>
              <w:t>Layaway deposits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5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Helvetica" w:hAnsi="Helvetica"/>
                <w:sz w:val="18"/>
              </w:rPr>
            </w:pPr>
            <w:r>
              <w:rPr>
                <w:rFonts w:ascii="Helvetica" w:hAnsi="Helvetica"/>
                <w:sz w:val="18"/>
              </w:rPr>
              <w:t>1,510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5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Helvetica" w:hAnsi="Helvetica"/>
                <w:sz w:val="18"/>
              </w:rPr>
            </w:pPr>
            <w:r>
              <w:rPr>
                <w:rFonts w:ascii="Helvetica" w:hAnsi="Helvetica"/>
                <w:sz w:val="18"/>
              </w:rPr>
              <w:t>383</w:t>
            </w:r>
          </w:p>
        </w:tc>
        <w:tc>
          <w:tcPr>
            <w:tcW w:w="346" w:type="dxa"/>
            <w:tcBorders/>
            <w:shd w:fill="CCEEFF" w:val="clear"/>
            <w:vAlign w:val="center"/>
          </w:tcPr>
          <w:p>
            <w:pPr>
              <w:pStyle w:val="TableContents"/>
              <w:bidi w:val="0"/>
              <w:spacing w:before="0" w:after="0"/>
              <w:ind w:left="0" w:right="0" w:hanging="0"/>
              <w:jc w:val="left"/>
              <w:rPr/>
            </w:pPr>
            <w:r>
              <w:rPr/>
              <w:t>​</w:t>
            </w:r>
          </w:p>
        </w:tc>
        <w:tc>
          <w:tcPr>
            <w:tcW w:w="193" w:type="dxa"/>
            <w:tcBorders/>
            <w:shd w:fill="CCEEFF" w:val="clear"/>
            <w:vAlign w:val="center"/>
          </w:tcPr>
          <w:p>
            <w:pPr>
              <w:pStyle w:val="TableContents"/>
              <w:bidi w:val="0"/>
              <w:spacing w:before="0" w:after="0"/>
              <w:ind w:left="0" w:right="0" w:hanging="0"/>
              <w:jc w:val="left"/>
              <w:rPr/>
            </w:pPr>
            <w:r>
              <w:rPr/>
              <w:t>​</w:t>
            </w:r>
          </w:p>
        </w:tc>
      </w:tr>
      <w:tr>
        <w:trPr/>
        <w:tc>
          <w:tcPr>
            <w:tcW w:w="6840" w:type="dxa"/>
            <w:tcBorders/>
            <w:vAlign w:val="center"/>
          </w:tcPr>
          <w:p>
            <w:pPr>
              <w:pStyle w:val="TableContents"/>
              <w:bidi w:val="0"/>
              <w:spacing w:before="0" w:after="0"/>
              <w:ind w:left="0" w:right="0" w:hanging="0"/>
              <w:jc w:val="left"/>
              <w:rPr>
                <w:rFonts w:ascii="Helvetica" w:hAnsi="Helvetica"/>
                <w:sz w:val="18"/>
              </w:rPr>
            </w:pPr>
            <w:r>
              <w:rPr>
                <w:rFonts w:ascii="Helvetica" w:hAnsi="Helvetica"/>
                <w:sz w:val="18"/>
              </w:rPr>
              <w:t>Total current liabilities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56" w:type="dxa"/>
            <w:tcBorders/>
            <w:vAlign w:val="center"/>
          </w:tcPr>
          <w:p>
            <w:pPr>
              <w:pStyle w:val="TableContents"/>
              <w:bidi w:val="0"/>
              <w:spacing w:before="0" w:after="0"/>
              <w:ind w:left="0" w:right="0" w:hanging="0"/>
              <w:jc w:val="right"/>
              <w:rPr>
                <w:rFonts w:ascii="Helvetica" w:hAnsi="Helvetica"/>
                <w:sz w:val="18"/>
              </w:rPr>
            </w:pPr>
            <w:r>
              <w:rPr>
                <w:rFonts w:ascii="Helvetica" w:hAnsi="Helvetica"/>
                <w:sz w:val="18"/>
              </w:rPr>
              <w:t>179,479</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56" w:type="dxa"/>
            <w:tcBorders/>
            <w:vAlign w:val="center"/>
          </w:tcPr>
          <w:p>
            <w:pPr>
              <w:pStyle w:val="TableContents"/>
              <w:bidi w:val="0"/>
              <w:spacing w:before="0" w:after="0"/>
              <w:ind w:left="0" w:right="0" w:hanging="0"/>
              <w:jc w:val="right"/>
              <w:rPr>
                <w:rFonts w:ascii="Helvetica" w:hAnsi="Helvetica"/>
                <w:sz w:val="18"/>
              </w:rPr>
            </w:pPr>
            <w:r>
              <w:rPr>
                <w:rFonts w:ascii="Helvetica" w:hAnsi="Helvetica"/>
                <w:sz w:val="18"/>
              </w:rPr>
              <w:t>173,407</w:t>
            </w:r>
          </w:p>
        </w:tc>
        <w:tc>
          <w:tcPr>
            <w:tcW w:w="346" w:type="dxa"/>
            <w:tcBorders/>
            <w:vAlign w:val="center"/>
          </w:tcPr>
          <w:p>
            <w:pPr>
              <w:pStyle w:val="TableContents"/>
              <w:bidi w:val="0"/>
              <w:spacing w:before="0" w:after="0"/>
              <w:ind w:left="0" w:right="0" w:hanging="0"/>
              <w:jc w:val="left"/>
              <w:rPr/>
            </w:pPr>
            <w:r>
              <w:rPr/>
              <w:t>​</w:t>
            </w:r>
          </w:p>
        </w:tc>
        <w:tc>
          <w:tcPr>
            <w:tcW w:w="193" w:type="dxa"/>
            <w:tcBorders/>
            <w:vAlign w:val="center"/>
          </w:tcPr>
          <w:p>
            <w:pPr>
              <w:pStyle w:val="TableContents"/>
              <w:bidi w:val="0"/>
              <w:spacing w:before="0" w:after="0"/>
              <w:ind w:left="0" w:right="0" w:hanging="0"/>
              <w:jc w:val="left"/>
              <w:rPr/>
            </w:pPr>
            <w:r>
              <w:rPr/>
              <w:t>​</w:t>
            </w:r>
          </w:p>
        </w:tc>
      </w:tr>
      <w:tr>
        <w:trPr/>
        <w:tc>
          <w:tcPr>
            <w:tcW w:w="6840" w:type="dxa"/>
            <w:tcBorders/>
            <w:shd w:fill="CCEEFF" w:val="clear"/>
            <w:vAlign w:val="center"/>
          </w:tcPr>
          <w:p>
            <w:pPr>
              <w:pStyle w:val="TableContents"/>
              <w:bidi w:val="0"/>
              <w:spacing w:before="0" w:after="0"/>
              <w:ind w:left="0" w:right="0" w:hanging="0"/>
              <w:jc w:val="left"/>
              <w:rPr>
                <w:rFonts w:ascii="Helvetica" w:hAnsi="Helvetica"/>
                <w:sz w:val="18"/>
              </w:rPr>
            </w:pPr>
            <w:r>
              <w:rPr>
                <w:rFonts w:ascii="Helvetica" w:hAnsi="Helvetica"/>
                <w:sz w:val="18"/>
              </w:rPr>
              <w:t>Noncurrent operating lease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56" w:type="dxa"/>
            <w:tcBorders/>
            <w:shd w:fill="CCEEFF" w:val="clear"/>
            <w:vAlign w:val="center"/>
          </w:tcPr>
          <w:p>
            <w:pPr>
              <w:pStyle w:val="TableContents"/>
              <w:bidi w:val="0"/>
              <w:spacing w:before="0" w:after="0"/>
              <w:ind w:left="0" w:right="0" w:hanging="0"/>
              <w:jc w:val="right"/>
              <w:rPr>
                <w:rFonts w:ascii="Helvetica" w:hAnsi="Helvetica"/>
                <w:sz w:val="18"/>
              </w:rPr>
            </w:pPr>
            <w:r>
              <w:rPr>
                <w:rFonts w:ascii="Helvetica" w:hAnsi="Helvetica"/>
                <w:sz w:val="18"/>
              </w:rPr>
              <w:t>180,383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56" w:type="dxa"/>
            <w:tcBorders/>
            <w:shd w:fill="CCEEFF" w:val="clear"/>
            <w:vAlign w:val="center"/>
          </w:tcPr>
          <w:p>
            <w:pPr>
              <w:pStyle w:val="TableContents"/>
              <w:bidi w:val="0"/>
              <w:spacing w:before="0" w:after="0"/>
              <w:ind w:left="0" w:right="0" w:hanging="0"/>
              <w:jc w:val="right"/>
              <w:rPr>
                <w:rFonts w:ascii="Helvetica" w:hAnsi="Helvetica"/>
                <w:sz w:val="18"/>
              </w:rPr>
            </w:pPr>
            <w:r>
              <w:rPr>
                <w:rFonts w:ascii="Helvetica" w:hAnsi="Helvetica"/>
                <w:sz w:val="18"/>
              </w:rPr>
              <w:t>178,921</w:t>
            </w:r>
          </w:p>
        </w:tc>
        <w:tc>
          <w:tcPr>
            <w:tcW w:w="346" w:type="dxa"/>
            <w:tcBorders/>
            <w:shd w:fill="CCEEFF" w:val="clear"/>
            <w:vAlign w:val="center"/>
          </w:tcPr>
          <w:p>
            <w:pPr>
              <w:pStyle w:val="TableContents"/>
              <w:bidi w:val="0"/>
              <w:spacing w:before="0" w:after="0"/>
              <w:ind w:left="0" w:right="0" w:hanging="0"/>
              <w:jc w:val="left"/>
              <w:rPr/>
            </w:pPr>
            <w:r>
              <w:rPr/>
              <w:t>​</w:t>
            </w:r>
          </w:p>
        </w:tc>
        <w:tc>
          <w:tcPr>
            <w:tcW w:w="193" w:type="dxa"/>
            <w:tcBorders/>
            <w:shd w:fill="CCEEFF" w:val="clear"/>
            <w:vAlign w:val="center"/>
          </w:tcPr>
          <w:p>
            <w:pPr>
              <w:pStyle w:val="TableContents"/>
              <w:bidi w:val="0"/>
              <w:spacing w:before="0" w:after="0"/>
              <w:ind w:left="0" w:right="0" w:hanging="0"/>
              <w:jc w:val="left"/>
              <w:rPr/>
            </w:pPr>
            <w:r>
              <w:rPr/>
              <w:t>​</w:t>
            </w:r>
          </w:p>
        </w:tc>
      </w:tr>
      <w:tr>
        <w:trPr/>
        <w:tc>
          <w:tcPr>
            <w:tcW w:w="6840" w:type="dxa"/>
            <w:tcBorders/>
            <w:vAlign w:val="center"/>
          </w:tcPr>
          <w:p>
            <w:pPr>
              <w:pStyle w:val="TableContents"/>
              <w:bidi w:val="0"/>
              <w:spacing w:before="0" w:after="0"/>
              <w:ind w:left="0" w:right="0" w:hanging="0"/>
              <w:jc w:val="left"/>
              <w:rPr>
                <w:rFonts w:ascii="Helvetica" w:hAnsi="Helvetica"/>
                <w:sz w:val="18"/>
              </w:rPr>
            </w:pPr>
            <w:r>
              <w:rPr>
                <w:rFonts w:ascii="Helvetica" w:hAnsi="Helvetica"/>
                <w:sz w:val="18"/>
              </w:rPr>
              <w:t>Deferred Tax Liability</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56" w:type="dxa"/>
            <w:tcBorders/>
            <w:vAlign w:val="center"/>
          </w:tcPr>
          <w:p>
            <w:pPr>
              <w:pStyle w:val="TableContents"/>
              <w:bidi w:val="0"/>
              <w:spacing w:before="0" w:after="0"/>
              <w:ind w:left="0" w:right="0" w:hanging="0"/>
              <w:jc w:val="right"/>
              <w:rPr>
                <w:rFonts w:ascii="Helvetica" w:hAnsi="Helvetica"/>
                <w:sz w:val="18"/>
              </w:rPr>
            </w:pPr>
            <w:r>
              <w:rPr>
                <w:rFonts w:ascii="Helvetica" w:hAnsi="Helvetica"/>
                <w:sz w:val="18"/>
              </w:rPr>
              <w:t>287</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56" w:type="dxa"/>
            <w:tcBorders/>
            <w:vAlign w:val="center"/>
          </w:tcPr>
          <w:p>
            <w:pPr>
              <w:pStyle w:val="TableContents"/>
              <w:bidi w:val="0"/>
              <w:spacing w:before="0" w:after="0"/>
              <w:ind w:left="0" w:right="0" w:hanging="0"/>
              <w:jc w:val="right"/>
              <w:rPr>
                <w:rFonts w:ascii="Helvetica" w:hAnsi="Helvetica"/>
                <w:sz w:val="18"/>
              </w:rPr>
            </w:pPr>
            <w:r>
              <w:rPr>
                <w:rFonts w:ascii="Helvetica" w:hAnsi="Helvetica"/>
                <w:sz w:val="18"/>
              </w:rPr>
              <w:t>245</w:t>
            </w:r>
          </w:p>
        </w:tc>
        <w:tc>
          <w:tcPr>
            <w:tcW w:w="346" w:type="dxa"/>
            <w:tcBorders/>
            <w:vAlign w:val="center"/>
          </w:tcPr>
          <w:p>
            <w:pPr>
              <w:pStyle w:val="TableContents"/>
              <w:bidi w:val="0"/>
              <w:spacing w:before="0" w:after="0"/>
              <w:ind w:left="0" w:right="0" w:hanging="0"/>
              <w:jc w:val="left"/>
              <w:rPr/>
            </w:pPr>
            <w:r>
              <w:rPr/>
              <w:t>​</w:t>
            </w:r>
          </w:p>
        </w:tc>
        <w:tc>
          <w:tcPr>
            <w:tcW w:w="193" w:type="dxa"/>
            <w:tcBorders/>
            <w:vAlign w:val="center"/>
          </w:tcPr>
          <w:p>
            <w:pPr>
              <w:pStyle w:val="TableContents"/>
              <w:bidi w:val="0"/>
              <w:spacing w:before="0" w:after="0"/>
              <w:ind w:left="0" w:right="0" w:hanging="0"/>
              <w:jc w:val="left"/>
              <w:rPr/>
            </w:pPr>
            <w:r>
              <w:rPr/>
              <w:t>​</w:t>
            </w:r>
          </w:p>
        </w:tc>
      </w:tr>
      <w:tr>
        <w:trPr/>
        <w:tc>
          <w:tcPr>
            <w:tcW w:w="6840" w:type="dxa"/>
            <w:tcBorders/>
            <w:shd w:fill="CCEEFF" w:val="clear"/>
            <w:vAlign w:val="center"/>
          </w:tcPr>
          <w:p>
            <w:pPr>
              <w:pStyle w:val="TableContents"/>
              <w:bidi w:val="0"/>
              <w:spacing w:before="0" w:after="0"/>
              <w:ind w:left="0" w:right="0" w:hanging="0"/>
              <w:jc w:val="left"/>
              <w:rPr>
                <w:rFonts w:ascii="Helvetica" w:hAnsi="Helvetica"/>
                <w:sz w:val="18"/>
              </w:rPr>
            </w:pPr>
            <w:r>
              <w:rPr>
                <w:rFonts w:ascii="Helvetica" w:hAnsi="Helvetica"/>
                <w:sz w:val="18"/>
              </w:rPr>
              <w:t>Other long-term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5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Helvetica" w:hAnsi="Helvetica"/>
                <w:sz w:val="18"/>
              </w:rPr>
            </w:pPr>
            <w:r>
              <w:rPr>
                <w:rFonts w:ascii="Helvetica" w:hAnsi="Helvetica"/>
                <w:sz w:val="18"/>
              </w:rPr>
              <w:t>2,213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5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Helvetica" w:hAnsi="Helvetica"/>
                <w:sz w:val="18"/>
              </w:rPr>
            </w:pPr>
            <w:r>
              <w:rPr>
                <w:rFonts w:ascii="Helvetica" w:hAnsi="Helvetica"/>
                <w:sz w:val="18"/>
              </w:rPr>
              <w:t>2,278</w:t>
            </w:r>
          </w:p>
        </w:tc>
        <w:tc>
          <w:tcPr>
            <w:tcW w:w="346" w:type="dxa"/>
            <w:tcBorders/>
            <w:shd w:fill="CCEEFF" w:val="clear"/>
            <w:vAlign w:val="center"/>
          </w:tcPr>
          <w:p>
            <w:pPr>
              <w:pStyle w:val="TableContents"/>
              <w:bidi w:val="0"/>
              <w:spacing w:before="0" w:after="0"/>
              <w:ind w:left="0" w:right="0" w:hanging="0"/>
              <w:jc w:val="left"/>
              <w:rPr/>
            </w:pPr>
            <w:r>
              <w:rPr/>
              <w:t>​</w:t>
            </w:r>
          </w:p>
        </w:tc>
        <w:tc>
          <w:tcPr>
            <w:tcW w:w="193" w:type="dxa"/>
            <w:tcBorders/>
            <w:shd w:fill="CCEEFF" w:val="clear"/>
            <w:vAlign w:val="center"/>
          </w:tcPr>
          <w:p>
            <w:pPr>
              <w:pStyle w:val="TableContents"/>
              <w:bidi w:val="0"/>
              <w:spacing w:before="0" w:after="0"/>
              <w:ind w:left="0" w:right="0" w:hanging="0"/>
              <w:jc w:val="left"/>
              <w:rPr/>
            </w:pPr>
            <w:r>
              <w:rPr/>
              <w:t>​</w:t>
            </w:r>
          </w:p>
        </w:tc>
      </w:tr>
      <w:tr>
        <w:trPr/>
        <w:tc>
          <w:tcPr>
            <w:tcW w:w="6840" w:type="dxa"/>
            <w:tcBorders/>
            <w:vAlign w:val="center"/>
          </w:tcPr>
          <w:p>
            <w:pPr>
              <w:pStyle w:val="TableContents"/>
              <w:bidi w:val="0"/>
              <w:spacing w:before="0" w:after="0"/>
              <w:ind w:left="0" w:right="0" w:hanging="0"/>
              <w:jc w:val="left"/>
              <w:rPr>
                <w:rFonts w:ascii="Helvetica" w:hAnsi="Helvetica"/>
                <w:sz w:val="18"/>
              </w:rPr>
            </w:pPr>
            <w:r>
              <w:rPr>
                <w:rFonts w:ascii="Helvetica" w:hAnsi="Helvetica"/>
                <w:sz w:val="18"/>
              </w:rPr>
              <w:t>Total liabilities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56" w:type="dxa"/>
            <w:tcBorders>
              <w:bottom w:val="single" w:sz="2" w:space="0" w:color="000000"/>
            </w:tcBorders>
            <w:tcMar>
              <w:bottom w:w="28" w:type="dxa"/>
            </w:tcMar>
            <w:vAlign w:val="center"/>
          </w:tcPr>
          <w:p>
            <w:pPr>
              <w:pStyle w:val="TableContents"/>
              <w:bidi w:val="0"/>
              <w:spacing w:before="0" w:after="0"/>
              <w:ind w:left="0" w:right="0" w:hanging="0"/>
              <w:jc w:val="right"/>
              <w:rPr>
                <w:rFonts w:ascii="Helvetica" w:hAnsi="Helvetica"/>
                <w:sz w:val="18"/>
              </w:rPr>
            </w:pPr>
            <w:r>
              <w:rPr>
                <w:rFonts w:ascii="Helvetica" w:hAnsi="Helvetica"/>
                <w:sz w:val="18"/>
              </w:rPr>
              <w:t>362,362</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56" w:type="dxa"/>
            <w:tcBorders>
              <w:bottom w:val="single" w:sz="2" w:space="0" w:color="000000"/>
            </w:tcBorders>
            <w:tcMar>
              <w:bottom w:w="28" w:type="dxa"/>
            </w:tcMar>
            <w:vAlign w:val="center"/>
          </w:tcPr>
          <w:p>
            <w:pPr>
              <w:pStyle w:val="TableContents"/>
              <w:bidi w:val="0"/>
              <w:spacing w:before="0" w:after="0"/>
              <w:ind w:left="0" w:right="0" w:hanging="0"/>
              <w:jc w:val="right"/>
              <w:rPr>
                <w:rFonts w:ascii="Helvetica" w:hAnsi="Helvetica"/>
                <w:sz w:val="18"/>
              </w:rPr>
            </w:pPr>
            <w:r>
              <w:rPr>
                <w:rFonts w:ascii="Helvetica" w:hAnsi="Helvetica"/>
                <w:sz w:val="18"/>
              </w:rPr>
              <w:t>354,851</w:t>
            </w:r>
          </w:p>
        </w:tc>
        <w:tc>
          <w:tcPr>
            <w:tcW w:w="346" w:type="dxa"/>
            <w:tcBorders/>
            <w:vAlign w:val="center"/>
          </w:tcPr>
          <w:p>
            <w:pPr>
              <w:pStyle w:val="TableContents"/>
              <w:bidi w:val="0"/>
              <w:spacing w:before="0" w:after="0"/>
              <w:ind w:left="0" w:right="0" w:hanging="0"/>
              <w:jc w:val="left"/>
              <w:rPr/>
            </w:pPr>
            <w:r>
              <w:rPr/>
              <w:t>​</w:t>
            </w:r>
          </w:p>
        </w:tc>
        <w:tc>
          <w:tcPr>
            <w:tcW w:w="193" w:type="dxa"/>
            <w:tcBorders/>
            <w:vAlign w:val="center"/>
          </w:tcPr>
          <w:p>
            <w:pPr>
              <w:pStyle w:val="TableContents"/>
              <w:bidi w:val="0"/>
              <w:spacing w:before="0" w:after="0"/>
              <w:ind w:left="0" w:right="0" w:hanging="0"/>
              <w:jc w:val="left"/>
              <w:rPr/>
            </w:pPr>
            <w:r>
              <w:rPr/>
              <w:t>​</w:t>
            </w:r>
          </w:p>
        </w:tc>
      </w:tr>
      <w:tr>
        <w:trPr/>
        <w:tc>
          <w:tcPr>
            <w:tcW w:w="6840"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5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5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3" w:type="dxa"/>
            <w:tcBorders/>
            <w:shd w:fill="CCEEFF" w:val="clear"/>
            <w:vAlign w:val="center"/>
          </w:tcPr>
          <w:p>
            <w:pPr>
              <w:pStyle w:val="TableContents"/>
              <w:bidi w:val="0"/>
              <w:spacing w:before="0" w:after="0"/>
              <w:ind w:left="0" w:right="0" w:hanging="0"/>
              <w:jc w:val="left"/>
              <w:rPr/>
            </w:pPr>
            <w:r>
              <w:rPr/>
              <w:t>​</w:t>
            </w:r>
          </w:p>
        </w:tc>
      </w:tr>
      <w:tr>
        <w:trPr/>
        <w:tc>
          <w:tcPr>
            <w:tcW w:w="6840" w:type="dxa"/>
            <w:tcBorders/>
            <w:vAlign w:val="center"/>
          </w:tcPr>
          <w:p>
            <w:pPr>
              <w:pStyle w:val="TableContents"/>
              <w:bidi w:val="0"/>
              <w:spacing w:before="0" w:after="0"/>
              <w:ind w:left="0" w:right="0" w:hanging="0"/>
              <w:jc w:val="left"/>
              <w:rPr>
                <w:rFonts w:ascii="Helvetica" w:hAnsi="Helvetica"/>
                <w:sz w:val="18"/>
              </w:rPr>
            </w:pPr>
            <w:r>
              <w:rPr>
                <w:rFonts w:ascii="Helvetica" w:hAnsi="Helvetica"/>
                <w:sz w:val="18"/>
              </w:rPr>
              <w:t>Stockholders’ equity:</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5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5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3" w:type="dxa"/>
            <w:tcBorders/>
            <w:vAlign w:val="center"/>
          </w:tcPr>
          <w:p>
            <w:pPr>
              <w:pStyle w:val="TableContents"/>
              <w:bidi w:val="0"/>
              <w:spacing w:before="0" w:after="0"/>
              <w:ind w:left="0" w:right="0" w:hanging="0"/>
              <w:jc w:val="left"/>
              <w:rPr/>
            </w:pPr>
            <w:r>
              <w:rPr/>
              <w:t>​</w:t>
            </w:r>
          </w:p>
        </w:tc>
      </w:tr>
      <w:tr>
        <w:trPr/>
        <w:tc>
          <w:tcPr>
            <w:tcW w:w="6840"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Helvetica" w:hAnsi="Helvetica"/>
                <w:sz w:val="18"/>
              </w:rPr>
              <w:t>Common stock, $0.01</w:t>
            </w:r>
            <w:r>
              <w:rPr>
                <w:rFonts w:ascii="Times New Roman;Times;serif" w:hAnsi="Times New Roman;Times;serif"/>
                <w:sz w:val="18"/>
              </w:rPr>
              <w:t xml:space="preserve"> </w:t>
            </w:r>
            <w:r>
              <w:rPr>
                <w:rFonts w:ascii="Helvetica" w:hAnsi="Helvetica"/>
                <w:sz w:val="18"/>
              </w:rPr>
              <w:t>par value. Authorized 32,000,000</w:t>
            </w:r>
            <w:r>
              <w:rPr>
                <w:rFonts w:ascii="Times New Roman;Times;serif" w:hAnsi="Times New Roman;Times;serif"/>
                <w:sz w:val="18"/>
              </w:rPr>
              <w:t xml:space="preserve"> </w:t>
            </w:r>
            <w:r>
              <w:rPr>
                <w:rFonts w:ascii="Helvetica" w:hAnsi="Helvetica"/>
                <w:sz w:val="18"/>
              </w:rPr>
              <w:t>shares; 16,527,405</w:t>
            </w:r>
            <w:r>
              <w:rPr>
                <w:rFonts w:ascii="Times New Roman;Times;serif" w:hAnsi="Times New Roman;Times;serif"/>
                <w:sz w:val="18"/>
              </w:rPr>
              <w:t xml:space="preserve"> </w:t>
            </w:r>
            <w:r>
              <w:rPr>
                <w:rFonts w:ascii="Helvetica" w:hAnsi="Helvetica"/>
                <w:sz w:val="18"/>
              </w:rPr>
              <w:t>shares issued as of August 1, 2026 and 16,545,723</w:t>
            </w:r>
            <w:r>
              <w:rPr>
                <w:rFonts w:ascii="Times New Roman;Times;serif" w:hAnsi="Times New Roman;Times;serif"/>
                <w:sz w:val="18"/>
              </w:rPr>
              <w:t xml:space="preserve"> </w:t>
            </w:r>
            <w:r>
              <w:rPr>
                <w:rFonts w:ascii="Helvetica" w:hAnsi="Helvetica"/>
                <w:sz w:val="18"/>
              </w:rPr>
              <w:t>shares issued as of January 31, 2026; 8,327,599</w:t>
            </w:r>
            <w:r>
              <w:rPr>
                <w:rFonts w:ascii="Times New Roman;Times;serif" w:hAnsi="Times New Roman;Times;serif"/>
                <w:sz w:val="18"/>
              </w:rPr>
              <w:t xml:space="preserve"> </w:t>
            </w:r>
            <w:r>
              <w:rPr>
                <w:rFonts w:ascii="Helvetica" w:hAnsi="Helvetica"/>
                <w:sz w:val="18"/>
              </w:rPr>
              <w:t>shares outstanding as of August 1, 2026 and 8,345,917</w:t>
            </w:r>
            <w:r>
              <w:rPr>
                <w:rFonts w:ascii="Times New Roman;Times;serif" w:hAnsi="Times New Roman;Times;serif"/>
                <w:sz w:val="18"/>
              </w:rPr>
              <w:t xml:space="preserve"> </w:t>
            </w:r>
            <w:r>
              <w:rPr>
                <w:rFonts w:ascii="Helvetica" w:hAnsi="Helvetica"/>
                <w:sz w:val="18"/>
              </w:rPr>
              <w:t>shares outstanding as of January 31, 2026.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56" w:type="dxa"/>
            <w:tcBorders/>
            <w:shd w:fill="CCEEFF" w:val="clear"/>
            <w:vAlign w:val="center"/>
          </w:tcPr>
          <w:p>
            <w:pPr>
              <w:pStyle w:val="TableContents"/>
              <w:bidi w:val="0"/>
              <w:spacing w:before="0" w:after="0"/>
              <w:ind w:left="0" w:right="0" w:hanging="0"/>
              <w:jc w:val="right"/>
              <w:rPr>
                <w:rFonts w:ascii="Helvetica" w:hAnsi="Helvetica"/>
                <w:sz w:val="18"/>
              </w:rPr>
            </w:pPr>
            <w:r>
              <w:rPr>
                <w:rFonts w:ascii="Helvetica" w:hAnsi="Helvetica"/>
                <w:sz w:val="18"/>
              </w:rPr>
              <w:t>164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56" w:type="dxa"/>
            <w:tcBorders/>
            <w:shd w:fill="CCEEFF" w:val="clear"/>
            <w:vAlign w:val="center"/>
          </w:tcPr>
          <w:p>
            <w:pPr>
              <w:pStyle w:val="TableContents"/>
              <w:bidi w:val="0"/>
              <w:spacing w:before="0" w:after="0"/>
              <w:ind w:left="0" w:right="0" w:hanging="0"/>
              <w:jc w:val="right"/>
              <w:rPr>
                <w:rFonts w:ascii="Helvetica" w:hAnsi="Helvetica"/>
                <w:sz w:val="18"/>
              </w:rPr>
            </w:pPr>
            <w:r>
              <w:rPr>
                <w:rFonts w:ascii="Helvetica" w:hAnsi="Helvetica"/>
                <w:sz w:val="18"/>
              </w:rPr>
              <w:t>163</w:t>
            </w:r>
          </w:p>
        </w:tc>
        <w:tc>
          <w:tcPr>
            <w:tcW w:w="346" w:type="dxa"/>
            <w:tcBorders/>
            <w:shd w:fill="CCEEFF" w:val="clear"/>
            <w:vAlign w:val="center"/>
          </w:tcPr>
          <w:p>
            <w:pPr>
              <w:pStyle w:val="TableContents"/>
              <w:bidi w:val="0"/>
              <w:spacing w:before="0" w:after="0"/>
              <w:ind w:left="0" w:right="0" w:hanging="0"/>
              <w:jc w:val="left"/>
              <w:rPr/>
            </w:pPr>
            <w:r>
              <w:rPr/>
              <w:t>​</w:t>
            </w:r>
          </w:p>
        </w:tc>
        <w:tc>
          <w:tcPr>
            <w:tcW w:w="193" w:type="dxa"/>
            <w:tcBorders/>
            <w:shd w:fill="CCEEFF" w:val="clear"/>
            <w:vAlign w:val="center"/>
          </w:tcPr>
          <w:p>
            <w:pPr>
              <w:pStyle w:val="TableContents"/>
              <w:bidi w:val="0"/>
              <w:spacing w:before="0" w:after="0"/>
              <w:ind w:left="0" w:right="0" w:hanging="0"/>
              <w:jc w:val="left"/>
              <w:rPr/>
            </w:pPr>
            <w:r>
              <w:rPr/>
              <w:t>​</w:t>
            </w:r>
          </w:p>
        </w:tc>
      </w:tr>
      <w:tr>
        <w:trPr/>
        <w:tc>
          <w:tcPr>
            <w:tcW w:w="6840" w:type="dxa"/>
            <w:tcBorders/>
            <w:vAlign w:val="center"/>
          </w:tcPr>
          <w:p>
            <w:pPr>
              <w:pStyle w:val="TableContents"/>
              <w:bidi w:val="0"/>
              <w:spacing w:before="0" w:after="0"/>
              <w:ind w:left="0" w:right="0" w:hanging="0"/>
              <w:jc w:val="left"/>
              <w:rPr>
                <w:rFonts w:ascii="Helvetica" w:hAnsi="Helvetica"/>
                <w:sz w:val="18"/>
              </w:rPr>
            </w:pPr>
            <w:r>
              <w:rPr>
                <w:rFonts w:ascii="Helvetica" w:hAnsi="Helvetica"/>
                <w:sz w:val="18"/>
              </w:rPr>
              <w:t>Paid in capital</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56" w:type="dxa"/>
            <w:tcBorders/>
            <w:vAlign w:val="center"/>
          </w:tcPr>
          <w:p>
            <w:pPr>
              <w:pStyle w:val="TableContents"/>
              <w:bidi w:val="0"/>
              <w:spacing w:before="0" w:after="0"/>
              <w:ind w:left="0" w:right="0" w:hanging="0"/>
              <w:jc w:val="right"/>
              <w:rPr>
                <w:rFonts w:ascii="Helvetica" w:hAnsi="Helvetica"/>
                <w:sz w:val="18"/>
              </w:rPr>
            </w:pPr>
            <w:r>
              <w:rPr>
                <w:rFonts w:ascii="Helvetica" w:hAnsi="Helvetica"/>
                <w:sz w:val="18"/>
              </w:rPr>
              <w:t>113,854</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56" w:type="dxa"/>
            <w:tcBorders/>
            <w:vAlign w:val="center"/>
          </w:tcPr>
          <w:p>
            <w:pPr>
              <w:pStyle w:val="TableContents"/>
              <w:bidi w:val="0"/>
              <w:spacing w:before="0" w:after="0"/>
              <w:ind w:left="0" w:right="0" w:hanging="0"/>
              <w:jc w:val="right"/>
              <w:rPr>
                <w:rFonts w:ascii="Helvetica" w:hAnsi="Helvetica"/>
                <w:sz w:val="18"/>
              </w:rPr>
            </w:pPr>
            <w:r>
              <w:rPr>
                <w:rFonts w:ascii="Helvetica" w:hAnsi="Helvetica"/>
                <w:sz w:val="18"/>
              </w:rPr>
              <w:t>112,352</w:t>
            </w:r>
          </w:p>
        </w:tc>
        <w:tc>
          <w:tcPr>
            <w:tcW w:w="346" w:type="dxa"/>
            <w:tcBorders/>
            <w:vAlign w:val="center"/>
          </w:tcPr>
          <w:p>
            <w:pPr>
              <w:pStyle w:val="TableContents"/>
              <w:bidi w:val="0"/>
              <w:spacing w:before="0" w:after="0"/>
              <w:ind w:left="0" w:right="0" w:hanging="0"/>
              <w:jc w:val="left"/>
              <w:rPr/>
            </w:pPr>
            <w:r>
              <w:rPr/>
              <w:t>​</w:t>
            </w:r>
          </w:p>
        </w:tc>
        <w:tc>
          <w:tcPr>
            <w:tcW w:w="193" w:type="dxa"/>
            <w:tcBorders/>
            <w:vAlign w:val="center"/>
          </w:tcPr>
          <w:p>
            <w:pPr>
              <w:pStyle w:val="TableContents"/>
              <w:bidi w:val="0"/>
              <w:spacing w:before="0" w:after="0"/>
              <w:ind w:left="0" w:right="0" w:hanging="0"/>
              <w:jc w:val="left"/>
              <w:rPr/>
            </w:pPr>
            <w:r>
              <w:rPr/>
              <w:t>​</w:t>
            </w:r>
          </w:p>
        </w:tc>
      </w:tr>
      <w:tr>
        <w:trPr/>
        <w:tc>
          <w:tcPr>
            <w:tcW w:w="6840" w:type="dxa"/>
            <w:tcBorders/>
            <w:shd w:fill="CCEEFF" w:val="clear"/>
            <w:vAlign w:val="center"/>
          </w:tcPr>
          <w:p>
            <w:pPr>
              <w:pStyle w:val="TableContents"/>
              <w:bidi w:val="0"/>
              <w:spacing w:before="0" w:after="0"/>
              <w:ind w:left="0" w:right="0" w:hanging="0"/>
              <w:jc w:val="left"/>
              <w:rPr>
                <w:rFonts w:ascii="Helvetica" w:hAnsi="Helvetica"/>
                <w:sz w:val="18"/>
              </w:rPr>
            </w:pPr>
            <w:r>
              <w:rPr>
                <w:rFonts w:ascii="Helvetica" w:hAnsi="Helvetica"/>
                <w:sz w:val="18"/>
              </w:rPr>
              <w:t>Retained earnings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56" w:type="dxa"/>
            <w:tcBorders/>
            <w:shd w:fill="CCEEFF" w:val="clear"/>
            <w:vAlign w:val="center"/>
          </w:tcPr>
          <w:p>
            <w:pPr>
              <w:pStyle w:val="TableContents"/>
              <w:bidi w:val="0"/>
              <w:spacing w:before="0" w:after="0"/>
              <w:ind w:left="0" w:right="0" w:hanging="0"/>
              <w:jc w:val="right"/>
              <w:rPr>
                <w:rFonts w:ascii="Helvetica" w:hAnsi="Helvetica"/>
                <w:sz w:val="18"/>
              </w:rPr>
            </w:pPr>
            <w:r>
              <w:rPr>
                <w:rFonts w:ascii="Helvetica" w:hAnsi="Helvetica"/>
                <w:sz w:val="18"/>
              </w:rPr>
              <w:t>287,931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56" w:type="dxa"/>
            <w:tcBorders/>
            <w:shd w:fill="CCEEFF" w:val="clear"/>
            <w:vAlign w:val="center"/>
          </w:tcPr>
          <w:p>
            <w:pPr>
              <w:pStyle w:val="TableContents"/>
              <w:bidi w:val="0"/>
              <w:spacing w:before="0" w:after="0"/>
              <w:ind w:left="0" w:right="0" w:hanging="0"/>
              <w:jc w:val="right"/>
              <w:rPr>
                <w:rFonts w:ascii="Helvetica" w:hAnsi="Helvetica"/>
                <w:sz w:val="18"/>
              </w:rPr>
            </w:pPr>
            <w:r>
              <w:rPr>
                <w:rFonts w:ascii="Helvetica" w:hAnsi="Helvetica"/>
                <w:sz w:val="18"/>
              </w:rPr>
              <w:t>281,108</w:t>
            </w:r>
          </w:p>
        </w:tc>
        <w:tc>
          <w:tcPr>
            <w:tcW w:w="346" w:type="dxa"/>
            <w:tcBorders/>
            <w:shd w:fill="CCEEFF" w:val="clear"/>
            <w:vAlign w:val="center"/>
          </w:tcPr>
          <w:p>
            <w:pPr>
              <w:pStyle w:val="TableContents"/>
              <w:bidi w:val="0"/>
              <w:spacing w:before="0" w:after="0"/>
              <w:ind w:left="0" w:right="0" w:hanging="0"/>
              <w:jc w:val="left"/>
              <w:rPr/>
            </w:pPr>
            <w:r>
              <w:rPr/>
              <w:t>​</w:t>
            </w:r>
          </w:p>
        </w:tc>
        <w:tc>
          <w:tcPr>
            <w:tcW w:w="193" w:type="dxa"/>
            <w:tcBorders/>
            <w:shd w:fill="CCEEFF" w:val="clear"/>
            <w:vAlign w:val="center"/>
          </w:tcPr>
          <w:p>
            <w:pPr>
              <w:pStyle w:val="TableContents"/>
              <w:bidi w:val="0"/>
              <w:spacing w:before="0" w:after="0"/>
              <w:ind w:left="0" w:right="0" w:hanging="0"/>
              <w:jc w:val="left"/>
              <w:rPr/>
            </w:pPr>
            <w:r>
              <w:rPr/>
              <w:t>​</w:t>
            </w:r>
          </w:p>
        </w:tc>
      </w:tr>
      <w:tr>
        <w:trPr/>
        <w:tc>
          <w:tcPr>
            <w:tcW w:w="6840"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Helvetica" w:hAnsi="Helvetica"/>
                <w:sz w:val="18"/>
              </w:rPr>
              <w:t>Treasury stock, at cost; 8,199,806</w:t>
            </w:r>
            <w:r>
              <w:rPr>
                <w:rFonts w:ascii="Times New Roman;Times;serif" w:hAnsi="Times New Roman;Times;serif"/>
                <w:sz w:val="18"/>
              </w:rPr>
              <w:t xml:space="preserve"> </w:t>
            </w:r>
            <w:r>
              <w:rPr>
                <w:rFonts w:ascii="Helvetica" w:hAnsi="Helvetica"/>
                <w:sz w:val="18"/>
              </w:rPr>
              <w:t>shares held as of August 1, 2026 and January 31, 2026</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56" w:type="dxa"/>
            <w:tcBorders>
              <w:bottom w:val="single" w:sz="2" w:space="0" w:color="000000"/>
            </w:tcBorders>
            <w:tcMar>
              <w:bottom w:w="28" w:type="dxa"/>
            </w:tcMar>
            <w:vAlign w:val="center"/>
          </w:tcPr>
          <w:p>
            <w:pPr>
              <w:pStyle w:val="TableContents"/>
              <w:bidi w:val="0"/>
              <w:spacing w:before="0" w:after="0"/>
              <w:ind w:left="0" w:right="0" w:hanging="0"/>
              <w:jc w:val="right"/>
              <w:rPr>
                <w:rFonts w:ascii="Helvetica" w:hAnsi="Helvetica"/>
                <w:sz w:val="18"/>
              </w:rPr>
            </w:pPr>
            <w:r>
              <w:rPr>
                <w:rFonts w:ascii="Helvetica" w:hAnsi="Helvetica"/>
                <w:sz w:val="18"/>
              </w:rPr>
              <w:t>(277,303)</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56" w:type="dxa"/>
            <w:tcBorders>
              <w:bottom w:val="single" w:sz="2" w:space="0" w:color="000000"/>
            </w:tcBorders>
            <w:tcMar>
              <w:bottom w:w="28" w:type="dxa"/>
            </w:tcMar>
            <w:vAlign w:val="center"/>
          </w:tcPr>
          <w:p>
            <w:pPr>
              <w:pStyle w:val="TableContents"/>
              <w:bidi w:val="0"/>
              <w:spacing w:before="0" w:after="0"/>
              <w:ind w:left="0" w:right="0" w:hanging="0"/>
              <w:jc w:val="right"/>
              <w:rPr>
                <w:rFonts w:ascii="Helvetica" w:hAnsi="Helvetica"/>
                <w:sz w:val="18"/>
              </w:rPr>
            </w:pPr>
            <w:r>
              <w:rPr>
                <w:rFonts w:ascii="Helvetica" w:hAnsi="Helvetica"/>
                <w:sz w:val="18"/>
              </w:rPr>
              <w:t>(277,303)</w:t>
            </w:r>
          </w:p>
        </w:tc>
        <w:tc>
          <w:tcPr>
            <w:tcW w:w="346" w:type="dxa"/>
            <w:tcBorders/>
            <w:vAlign w:val="center"/>
          </w:tcPr>
          <w:p>
            <w:pPr>
              <w:pStyle w:val="TableContents"/>
              <w:bidi w:val="0"/>
              <w:spacing w:before="0" w:after="0"/>
              <w:ind w:left="0" w:right="0" w:hanging="0"/>
              <w:jc w:val="left"/>
              <w:rPr/>
            </w:pPr>
            <w:r>
              <w:rPr/>
              <w:t>​</w:t>
            </w:r>
          </w:p>
        </w:tc>
        <w:tc>
          <w:tcPr>
            <w:tcW w:w="193" w:type="dxa"/>
            <w:tcBorders/>
            <w:vAlign w:val="center"/>
          </w:tcPr>
          <w:p>
            <w:pPr>
              <w:pStyle w:val="TableContents"/>
              <w:bidi w:val="0"/>
              <w:spacing w:before="0" w:after="0"/>
              <w:ind w:left="0" w:right="0" w:hanging="0"/>
              <w:jc w:val="left"/>
              <w:rPr/>
            </w:pPr>
            <w:r>
              <w:rPr/>
              <w:t>​</w:t>
            </w:r>
          </w:p>
        </w:tc>
      </w:tr>
      <w:tr>
        <w:trPr/>
        <w:tc>
          <w:tcPr>
            <w:tcW w:w="6840" w:type="dxa"/>
            <w:tcBorders/>
            <w:shd w:fill="CCEEFF" w:val="clear"/>
            <w:vAlign w:val="center"/>
          </w:tcPr>
          <w:p>
            <w:pPr>
              <w:pStyle w:val="TableContents"/>
              <w:bidi w:val="0"/>
              <w:spacing w:before="0" w:after="0"/>
              <w:ind w:left="0" w:right="0" w:hanging="0"/>
              <w:jc w:val="left"/>
              <w:rPr>
                <w:rFonts w:ascii="Helvetica" w:hAnsi="Helvetica"/>
                <w:sz w:val="18"/>
              </w:rPr>
            </w:pPr>
            <w:r>
              <w:rPr>
                <w:rFonts w:ascii="Helvetica" w:hAnsi="Helvetica"/>
                <w:sz w:val="18"/>
              </w:rPr>
              <w:t>Total stockholders’ equity</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5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Helvetica" w:hAnsi="Helvetica"/>
                <w:sz w:val="18"/>
              </w:rPr>
            </w:pPr>
            <w:r>
              <w:rPr>
                <w:rFonts w:ascii="Helvetica" w:hAnsi="Helvetica"/>
                <w:sz w:val="18"/>
              </w:rPr>
              <w:t>124,646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5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Helvetica" w:hAnsi="Helvetica"/>
                <w:sz w:val="18"/>
              </w:rPr>
            </w:pPr>
            <w:r>
              <w:rPr>
                <w:rFonts w:ascii="Helvetica" w:hAnsi="Helvetica"/>
                <w:sz w:val="18"/>
              </w:rPr>
              <w:t>116,320</w:t>
            </w:r>
          </w:p>
        </w:tc>
        <w:tc>
          <w:tcPr>
            <w:tcW w:w="346" w:type="dxa"/>
            <w:tcBorders/>
            <w:shd w:fill="CCEEFF" w:val="clear"/>
            <w:vAlign w:val="center"/>
          </w:tcPr>
          <w:p>
            <w:pPr>
              <w:pStyle w:val="TableContents"/>
              <w:bidi w:val="0"/>
              <w:spacing w:before="0" w:after="0"/>
              <w:ind w:left="0" w:right="0" w:hanging="0"/>
              <w:jc w:val="left"/>
              <w:rPr/>
            </w:pPr>
            <w:r>
              <w:rPr/>
              <w:t>​</w:t>
            </w:r>
          </w:p>
        </w:tc>
        <w:tc>
          <w:tcPr>
            <w:tcW w:w="193" w:type="dxa"/>
            <w:tcBorders/>
            <w:shd w:fill="CCEEFF" w:val="clear"/>
            <w:vAlign w:val="center"/>
          </w:tcPr>
          <w:p>
            <w:pPr>
              <w:pStyle w:val="TableContents"/>
              <w:bidi w:val="0"/>
              <w:spacing w:before="0" w:after="0"/>
              <w:ind w:left="0" w:right="0" w:hanging="0"/>
              <w:jc w:val="left"/>
              <w:rPr/>
            </w:pPr>
            <w:r>
              <w:rPr/>
              <w:t>​</w:t>
            </w:r>
          </w:p>
        </w:tc>
      </w:tr>
      <w:tr>
        <w:trPr/>
        <w:tc>
          <w:tcPr>
            <w:tcW w:w="6840"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5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5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3" w:type="dxa"/>
            <w:tcBorders/>
            <w:vAlign w:val="center"/>
          </w:tcPr>
          <w:p>
            <w:pPr>
              <w:pStyle w:val="TableContents"/>
              <w:bidi w:val="0"/>
              <w:spacing w:before="0" w:after="0"/>
              <w:ind w:left="0" w:right="0" w:hanging="0"/>
              <w:jc w:val="left"/>
              <w:rPr/>
            </w:pPr>
            <w:r>
              <w:rPr/>
              <w:t>​</w:t>
            </w:r>
          </w:p>
        </w:tc>
      </w:tr>
      <w:tr>
        <w:trPr/>
        <w:tc>
          <w:tcPr>
            <w:tcW w:w="6840" w:type="dxa"/>
            <w:tcBorders/>
            <w:shd w:fill="CCEEFF" w:val="clear"/>
            <w:vAlign w:val="center"/>
          </w:tcPr>
          <w:p>
            <w:pPr>
              <w:pStyle w:val="TableContents"/>
              <w:bidi w:val="0"/>
              <w:spacing w:before="0" w:after="0"/>
              <w:ind w:left="0" w:right="0" w:hanging="0"/>
              <w:jc w:val="left"/>
              <w:rPr>
                <w:rFonts w:ascii="Helvetica" w:hAnsi="Helvetica"/>
                <w:sz w:val="18"/>
              </w:rPr>
            </w:pPr>
            <w:r>
              <w:rPr>
                <w:rFonts w:ascii="Helvetica" w:hAnsi="Helvetica"/>
                <w:sz w:val="18"/>
              </w:rPr>
              <w:t>Commitments and contingencies (Note 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5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5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3" w:type="dxa"/>
            <w:tcBorders/>
            <w:shd w:fill="CCEEFF" w:val="clear"/>
            <w:vAlign w:val="center"/>
          </w:tcPr>
          <w:p>
            <w:pPr>
              <w:pStyle w:val="TableContents"/>
              <w:bidi w:val="0"/>
              <w:spacing w:before="0" w:after="0"/>
              <w:ind w:left="0" w:right="0" w:hanging="0"/>
              <w:jc w:val="left"/>
              <w:rPr/>
            </w:pPr>
            <w:r>
              <w:rPr/>
              <w:t>​</w:t>
            </w:r>
          </w:p>
        </w:tc>
      </w:tr>
      <w:tr>
        <w:trPr/>
        <w:tc>
          <w:tcPr>
            <w:tcW w:w="6840" w:type="dxa"/>
            <w:tcBorders/>
            <w:vAlign w:val="center"/>
          </w:tcPr>
          <w:p>
            <w:pPr>
              <w:pStyle w:val="TableContents"/>
              <w:bidi w:val="0"/>
              <w:spacing w:before="0" w:after="0"/>
              <w:ind w:left="0" w:right="0" w:hanging="0"/>
              <w:jc w:val="left"/>
              <w:rPr>
                <w:rFonts w:ascii="Helvetica" w:hAnsi="Helvetica"/>
                <w:sz w:val="18"/>
              </w:rPr>
            </w:pPr>
            <w:r>
              <w:rPr>
                <w:rFonts w:ascii="Helvetica" w:hAnsi="Helvetica"/>
                <w:sz w:val="18"/>
              </w:rPr>
              <w:t>Total liabilities and stockholders’ equity</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Helvetica" w:hAnsi="Helvetica"/>
                <w:sz w:val="18"/>
              </w:rPr>
            </w:pPr>
            <w:r>
              <w:rPr>
                <w:rFonts w:ascii="Helvetica" w:hAnsi="Helvetica"/>
                <w:sz w:val="18"/>
              </w:rPr>
              <w:t>$</w:t>
            </w:r>
          </w:p>
        </w:tc>
        <w:tc>
          <w:tcPr>
            <w:tcW w:w="856" w:type="dxa"/>
            <w:tcBorders>
              <w:bottom w:val="double" w:sz="6" w:space="0" w:color="000000"/>
            </w:tcBorders>
            <w:tcMar>
              <w:bottom w:w="28" w:type="dxa"/>
            </w:tcMar>
            <w:vAlign w:val="center"/>
          </w:tcPr>
          <w:p>
            <w:pPr>
              <w:pStyle w:val="TableContents"/>
              <w:bidi w:val="0"/>
              <w:spacing w:before="0" w:after="0"/>
              <w:ind w:left="0" w:right="0" w:hanging="0"/>
              <w:jc w:val="right"/>
              <w:rPr>
                <w:rFonts w:ascii="Helvetica" w:hAnsi="Helvetica"/>
                <w:sz w:val="18"/>
              </w:rPr>
            </w:pPr>
            <w:r>
              <w:rPr>
                <w:rFonts w:ascii="Helvetica" w:hAnsi="Helvetica"/>
                <w:sz w:val="18"/>
              </w:rPr>
              <w:t>487,008</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Helvetica" w:hAnsi="Helvetica"/>
                <w:sz w:val="18"/>
              </w:rPr>
            </w:pPr>
            <w:r>
              <w:rPr>
                <w:rFonts w:ascii="Helvetica" w:hAnsi="Helvetica"/>
                <w:sz w:val="18"/>
              </w:rPr>
              <w:t>$</w:t>
            </w:r>
          </w:p>
        </w:tc>
        <w:tc>
          <w:tcPr>
            <w:tcW w:w="856" w:type="dxa"/>
            <w:tcBorders>
              <w:bottom w:val="double" w:sz="6" w:space="0" w:color="000000"/>
            </w:tcBorders>
            <w:tcMar>
              <w:bottom w:w="28" w:type="dxa"/>
            </w:tcMar>
            <w:vAlign w:val="center"/>
          </w:tcPr>
          <w:p>
            <w:pPr>
              <w:pStyle w:val="TableContents"/>
              <w:bidi w:val="0"/>
              <w:spacing w:before="0" w:after="0"/>
              <w:ind w:left="0" w:right="0" w:hanging="0"/>
              <w:jc w:val="right"/>
              <w:rPr>
                <w:rFonts w:ascii="Helvetica" w:hAnsi="Helvetica"/>
                <w:sz w:val="18"/>
              </w:rPr>
            </w:pPr>
            <w:r>
              <w:rPr>
                <w:rFonts w:ascii="Helvetica" w:hAnsi="Helvetica"/>
                <w:sz w:val="18"/>
              </w:rPr>
              <w:t>471,171</w:t>
            </w:r>
          </w:p>
        </w:tc>
        <w:tc>
          <w:tcPr>
            <w:tcW w:w="346" w:type="dxa"/>
            <w:tcBorders/>
            <w:vAlign w:val="center"/>
          </w:tcPr>
          <w:p>
            <w:pPr>
              <w:pStyle w:val="TableContents"/>
              <w:bidi w:val="0"/>
              <w:spacing w:before="0" w:after="0"/>
              <w:ind w:left="0" w:right="0" w:hanging="0"/>
              <w:jc w:val="left"/>
              <w:rPr/>
            </w:pPr>
            <w:r>
              <w:rPr/>
              <w:t>​</w:t>
            </w:r>
          </w:p>
        </w:tc>
        <w:tc>
          <w:tcPr>
            <w:tcW w:w="193"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Helvetica" w:hAnsi="Helvetica"/>
          <w:sz w:val="18"/>
        </w:rPr>
      </w:pPr>
      <w:r>
        <w:rPr>
          <w:rFonts w:ascii="Helvetica" w:hAnsi="Helvetica"/>
          <w:sz w:val="18"/>
        </w:rPr>
        <w:t>See accompanying notes to the condensed consolidated financial statements (unaudited).</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Helvetica" w:hAnsi="Helvetica"/>
          <w:sz w:val="18"/>
        </w:rPr>
      </w:pPr>
      <w:r>
        <w:rPr>
          <w:rFonts w:ascii="Helvetica" w:hAnsi="Helvetica"/>
          <w:sz w:val="18"/>
        </w:rPr>
        <w:t>3</w:t>
      </w:r>
    </w:p>
    <w:p>
      <w:pPr>
        <w:pStyle w:val="TextBody"/>
        <w:bidi w:val="0"/>
        <w:spacing w:before="0" w:after="6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0"/>
        <w:ind w:left="0" w:right="0" w:hanging="0"/>
        <w:jc w:val="center"/>
        <w:rPr>
          <w:rFonts w:ascii="Helvetica" w:hAnsi="Helvetica"/>
          <w:b/>
          <w:sz w:val="18"/>
        </w:rPr>
      </w:pPr>
      <w:bookmarkStart w:id="129" w:name="_77e03fc8_4a91_44b9_b3d4_1d9b75264a15"/>
      <w:bookmarkEnd w:id="129"/>
      <w:r>
        <w:rPr>
          <w:rFonts w:ascii="Helvetica" w:hAnsi="Helvetica"/>
          <w:b/>
          <w:sz w:val="18"/>
        </w:rPr>
        <w:t>Citi Trends, Inc.</w:t>
      </w:r>
    </w:p>
    <w:p>
      <w:pPr>
        <w:pStyle w:val="TextBody"/>
        <w:bidi w:val="0"/>
        <w:spacing w:before="0" w:after="0"/>
        <w:ind w:left="0" w:right="0" w:hanging="0"/>
        <w:jc w:val="center"/>
        <w:rPr>
          <w:rFonts w:ascii="Helvetica" w:hAnsi="Helvetica"/>
          <w:b/>
          <w:sz w:val="18"/>
        </w:rPr>
      </w:pPr>
      <w:bookmarkStart w:id="130" w:name="Operations_264272"/>
      <w:bookmarkEnd w:id="130"/>
      <w:r>
        <w:rPr>
          <w:rFonts w:ascii="Helvetica" w:hAnsi="Helvetica"/>
          <w:b/>
          <w:sz w:val="18"/>
        </w:rPr>
        <w:t>Condensed Consolidated Statements of Operations</w:t>
      </w:r>
    </w:p>
    <w:p>
      <w:pPr>
        <w:pStyle w:val="TextBody"/>
        <w:bidi w:val="0"/>
        <w:spacing w:before="0" w:after="0"/>
        <w:ind w:left="0" w:right="0" w:hanging="0"/>
        <w:jc w:val="center"/>
        <w:rPr>
          <w:rFonts w:ascii="Helvetica" w:hAnsi="Helvetica"/>
          <w:b/>
          <w:sz w:val="18"/>
        </w:rPr>
      </w:pPr>
      <w:r>
        <w:rPr>
          <w:rFonts w:ascii="Helvetica" w:hAnsi="Helvetica"/>
          <w:b/>
          <w:sz w:val="18"/>
        </w:rPr>
        <w:t>(Unaudited)</w:t>
      </w:r>
    </w:p>
    <w:p>
      <w:pPr>
        <w:pStyle w:val="TextBody"/>
        <w:bidi w:val="0"/>
        <w:spacing w:before="0" w:after="0"/>
        <w:ind w:left="0" w:right="0" w:hanging="0"/>
        <w:jc w:val="center"/>
        <w:rPr>
          <w:rFonts w:ascii="Helvetica" w:hAnsi="Helvetica"/>
          <w:b/>
          <w:sz w:val="18"/>
        </w:rPr>
      </w:pPr>
      <w:r>
        <w:rPr>
          <w:rFonts w:ascii="Helvetica" w:hAnsi="Helvetica"/>
          <w:b/>
          <w:sz w:val="18"/>
        </w:rPr>
        <w:t>(in thousands, except per share amounts)</w:t>
      </w:r>
    </w:p>
    <w:p>
      <w:pPr>
        <w:pStyle w:val="TextBody"/>
        <w:bidi w:val="0"/>
        <w:spacing w:before="0" w:after="0"/>
        <w:ind w:left="0" w:right="0" w:hanging="0"/>
        <w:jc w:val="center"/>
        <w:rPr/>
      </w:pPr>
      <w:r>
        <w:rPr/>
        <w:t>​</w:t>
      </w:r>
    </w:p>
    <w:p>
      <w:pPr>
        <w:pStyle w:val="Normal"/>
        <w:bidi w:val="0"/>
        <w:spacing w:before="0" w:after="0"/>
        <w:jc w:val="left"/>
        <w:rPr>
          <w:sz w:val="4"/>
          <w:szCs w:val="4"/>
        </w:rPr>
      </w:pPr>
      <w:r>
        <w:rPr>
          <w:sz w:val="4"/>
          <w:szCs w:val="4"/>
        </w:rPr>
      </w:r>
      <w:bookmarkStart w:id="131" w:name="Tc_ncYXoQpLYku1evXXYxCOOQ_24_0"/>
      <w:bookmarkStart w:id="132" w:name="Tc_qVrnIytsXkqV1wGPpz8kgQ_23_0"/>
      <w:bookmarkStart w:id="133" w:name="Tc_84lknqBSCkCm29ujg9_XwA_22_0"/>
      <w:bookmarkStart w:id="134" w:name="Tc_koh7OgMHekaFdEtANSgMVA_20_5"/>
      <w:bookmarkStart w:id="135" w:name="Tc_Bg9vEUoesESTEYA42-t3wQ_20_2"/>
      <w:bookmarkStart w:id="136" w:name="Tc_91pNLiSu5UiKhu_AkskOPQ_20_0"/>
      <w:bookmarkStart w:id="137" w:name="Tc_3-WXdIGdOke72VUC9xsjyg_19_5"/>
      <w:bookmarkStart w:id="138" w:name="Tc_1nJRo-WUWEywpy_hhyM04w_19_2"/>
      <w:bookmarkStart w:id="139" w:name="Tc_xhIhLC1NC06dOnZyCzvsiQ_19_0"/>
      <w:bookmarkStart w:id="140" w:name="Tc_vwy44T3qaEmNLVCGiVFV3w_17_5"/>
      <w:bookmarkStart w:id="141" w:name="Tc_EMLDLMjrK0e08OrPkNQWXg_17_2"/>
      <w:bookmarkStart w:id="142" w:name="Tc_oZzDC6O28UmL3VVbeRSwqw_17_0"/>
      <w:bookmarkStart w:id="143" w:name="Tc_L0o7vk1ILEW5qKbLL4R0ew_16_6"/>
      <w:bookmarkStart w:id="144" w:name="Tc_IfN4jCq72k6JowUZr8_SHA_16_0"/>
      <w:bookmarkStart w:id="145" w:name="Tc_-MdeC0YmEEuWempANm0dEQ_15_0"/>
      <w:bookmarkStart w:id="146" w:name="Tc_7VLJY4tdPUOza7xoLeVrZg_14_0"/>
      <w:bookmarkStart w:id="147" w:name="Tc_4wwngsfvwk6M0J1iCNjd4Q_13_0"/>
      <w:bookmarkStart w:id="148" w:name="Tc__7UVGyfaJUe-nJcwWDB6JQ_12_0"/>
      <w:bookmarkStart w:id="149" w:name="Tc_B6gpm5bG50arJBGSR4NSew_11_6"/>
      <w:bookmarkStart w:id="150" w:name="Tc_9inYT7Z0KkeBF62v_DTFQQ_11_0"/>
      <w:bookmarkStart w:id="151" w:name="Tc_A68C7mHQb06cTQ0SI1Bk7w_10_3"/>
      <w:bookmarkStart w:id="152" w:name="Tc_Tf2gWyJ_uUOAVYSgQBBRWg_10_0"/>
      <w:bookmarkStart w:id="153" w:name="Tc_NSydY32qZUyWeH7hA9Qm1g_9_3"/>
      <w:bookmarkStart w:id="154" w:name="Tc_poC4aEXdDEKe7F7F0db_0Q_9_0"/>
      <w:bookmarkStart w:id="155" w:name="Tc_kN_tSPWIMUe4k5PUIsheoQ_8_0"/>
      <w:bookmarkStart w:id="156" w:name="Tc_hg9WIk9im0SojIWYw6jiVg_7_0"/>
      <w:bookmarkStart w:id="157" w:name="Tc_cMBFDir9DE2DAnkahKDgBQ_6_0"/>
      <w:bookmarkStart w:id="158" w:name="Tc_5yfl_UG880y2UAitrDUxOw_4_5"/>
      <w:bookmarkStart w:id="159" w:name="Tc_ql6TLb1bYUaPN_I_vFVrqg_4_2"/>
      <w:bookmarkStart w:id="160" w:name="Tc_ZqbM24q4YEum-_EjT6wI5A_3_5"/>
      <w:bookmarkStart w:id="161" w:name="Tc_rv947diipU2bCxeSkomcRA_3_2"/>
      <w:bookmarkStart w:id="162" w:name="Tc_koAxgDIjRkqpR5WgEc4VbA_2_5"/>
      <w:bookmarkStart w:id="163" w:name="Tc_DCejR6XaZUaUUy4JDxpiAg_2_2"/>
      <w:bookmarkStart w:id="164" w:name="Tc_DTtVLtoX50aczXeosZFrKQ_1_2"/>
      <w:bookmarkStart w:id="165" w:name="_1c49a65b_36f2_4c93_9400_9ceaf93e7b12"/>
      <w:bookmarkStart w:id="166" w:name="Tc_ncYXoQpLYku1evXXYxCOOQ_24_0"/>
      <w:bookmarkStart w:id="167" w:name="Tc_qVrnIytsXkqV1wGPpz8kgQ_23_0"/>
      <w:bookmarkStart w:id="168" w:name="Tc_84lknqBSCkCm29ujg9_XwA_22_0"/>
      <w:bookmarkStart w:id="169" w:name="Tc_koh7OgMHekaFdEtANSgMVA_20_5"/>
      <w:bookmarkStart w:id="170" w:name="Tc_Bg9vEUoesESTEYA42-t3wQ_20_2"/>
      <w:bookmarkStart w:id="171" w:name="Tc_91pNLiSu5UiKhu_AkskOPQ_20_0"/>
      <w:bookmarkStart w:id="172" w:name="Tc_3-WXdIGdOke72VUC9xsjyg_19_5"/>
      <w:bookmarkStart w:id="173" w:name="Tc_1nJRo-WUWEywpy_hhyM04w_19_2"/>
      <w:bookmarkStart w:id="174" w:name="Tc_xhIhLC1NC06dOnZyCzvsiQ_19_0"/>
      <w:bookmarkStart w:id="175" w:name="Tc_vwy44T3qaEmNLVCGiVFV3w_17_5"/>
      <w:bookmarkStart w:id="176" w:name="Tc_EMLDLMjrK0e08OrPkNQWXg_17_2"/>
      <w:bookmarkStart w:id="177" w:name="Tc_oZzDC6O28UmL3VVbeRSwqw_17_0"/>
      <w:bookmarkStart w:id="178" w:name="Tc_L0o7vk1ILEW5qKbLL4R0ew_16_6"/>
      <w:bookmarkStart w:id="179" w:name="Tc_IfN4jCq72k6JowUZr8_SHA_16_0"/>
      <w:bookmarkStart w:id="180" w:name="Tc_-MdeC0YmEEuWempANm0dEQ_15_0"/>
      <w:bookmarkStart w:id="181" w:name="Tc_7VLJY4tdPUOza7xoLeVrZg_14_0"/>
      <w:bookmarkStart w:id="182" w:name="Tc_4wwngsfvwk6M0J1iCNjd4Q_13_0"/>
      <w:bookmarkStart w:id="183" w:name="Tc__7UVGyfaJUe-nJcwWDB6JQ_12_0"/>
      <w:bookmarkStart w:id="184" w:name="Tc_B6gpm5bG50arJBGSR4NSew_11_6"/>
      <w:bookmarkStart w:id="185" w:name="Tc_9inYT7Z0KkeBF62v_DTFQQ_11_0"/>
      <w:bookmarkStart w:id="186" w:name="Tc_A68C7mHQb06cTQ0SI1Bk7w_10_3"/>
      <w:bookmarkStart w:id="187" w:name="Tc_Tf2gWyJ_uUOAVYSgQBBRWg_10_0"/>
      <w:bookmarkStart w:id="188" w:name="Tc_NSydY32qZUyWeH7hA9Qm1g_9_3"/>
      <w:bookmarkStart w:id="189" w:name="Tc_poC4aEXdDEKe7F7F0db_0Q_9_0"/>
      <w:bookmarkStart w:id="190" w:name="Tc_kN_tSPWIMUe4k5PUIsheoQ_8_0"/>
      <w:bookmarkStart w:id="191" w:name="Tc_hg9WIk9im0SojIWYw6jiVg_7_0"/>
      <w:bookmarkStart w:id="192" w:name="Tc_cMBFDir9DE2DAnkahKDgBQ_6_0"/>
      <w:bookmarkStart w:id="193" w:name="Tc_5yfl_UG880y2UAitrDUxOw_4_5"/>
      <w:bookmarkStart w:id="194" w:name="Tc_ql6TLb1bYUaPN_I_vFVrqg_4_2"/>
      <w:bookmarkStart w:id="195" w:name="Tc_ZqbM24q4YEum-_EjT6wI5A_3_5"/>
      <w:bookmarkStart w:id="196" w:name="Tc_rv947diipU2bCxeSkomcRA_3_2"/>
      <w:bookmarkStart w:id="197" w:name="Tc_koAxgDIjRkqpR5WgEc4VbA_2_5"/>
      <w:bookmarkStart w:id="198" w:name="Tc_DCejR6XaZUaUUy4JDxpiAg_2_2"/>
      <w:bookmarkStart w:id="199" w:name="Tc_DTtVLtoX50aczXeosZFrKQ_1_2"/>
      <w:bookmarkStart w:id="200" w:name="_1c49a65b_36f2_4c93_9400_9ceaf93e7b12"/>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p>
    <w:tbl>
      <w:tblPr>
        <w:tblW w:w="7203" w:type="dxa"/>
        <w:jc w:val="left"/>
        <w:tblInd w:w="0" w:type="dxa"/>
        <w:tblLayout w:type="fixed"/>
        <w:tblCellMar>
          <w:top w:w="0" w:type="dxa"/>
          <w:left w:w="0" w:type="dxa"/>
          <w:bottom w:w="0" w:type="dxa"/>
          <w:right w:w="0" w:type="dxa"/>
        </w:tblCellMar>
      </w:tblPr>
      <w:tblGrid>
        <w:gridCol w:w="4096"/>
        <w:gridCol w:w="346"/>
        <w:gridCol w:w="211"/>
        <w:gridCol w:w="901"/>
        <w:gridCol w:w="346"/>
        <w:gridCol w:w="211"/>
        <w:gridCol w:w="901"/>
        <w:gridCol w:w="191"/>
      </w:tblGrid>
      <w:tr>
        <w:trPr/>
        <w:tc>
          <w:tcPr>
            <w:tcW w:w="40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2600960" cy="175260"/>
                      <wp:effectExtent l="0" t="0" r="0" b="0"/>
                      <wp:wrapNone/>
                      <wp:docPr id="14" name="Frame14"/>
                      <a:graphic xmlns:a="http://schemas.openxmlformats.org/drawingml/2006/main">
                        <a:graphicData uri="http://schemas.microsoft.com/office/word/2010/wordprocessingShape">
                          <wps:wsp>
                            <wps:cNvSpPr txBox="1"/>
                            <wps:spPr>
                              <a:xfrm>
                                <a:off x="0" y="0"/>
                                <a:ext cx="26009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219710" cy="175260"/>
                      <wp:effectExtent l="0" t="0" r="0" b="0"/>
                      <wp:wrapNone/>
                      <wp:docPr id="15" name="Frame1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133985" cy="175260"/>
                      <wp:effectExtent l="0" t="0" r="0" b="0"/>
                      <wp:wrapNone/>
                      <wp:docPr id="16" name="Frame1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572135" cy="175260"/>
                      <wp:effectExtent l="0" t="0" r="0" b="0"/>
                      <wp:wrapNone/>
                      <wp:docPr id="17" name="Frame17"/>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219710" cy="175260"/>
                      <wp:effectExtent l="0" t="0" r="0" b="0"/>
                      <wp:wrapNone/>
                      <wp:docPr id="18" name="Frame1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133985" cy="175260"/>
                      <wp:effectExtent l="0" t="0" r="0" b="0"/>
                      <wp:wrapNone/>
                      <wp:docPr id="19" name="Frame1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572135" cy="175260"/>
                      <wp:effectExtent l="0" t="0" r="0" b="0"/>
                      <wp:wrapNone/>
                      <wp:docPr id="20" name="Frame20"/>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121285" cy="175260"/>
                      <wp:effectExtent l="0" t="0" r="0" b="0"/>
                      <wp:wrapNone/>
                      <wp:docPr id="21" name="Frame21"/>
                      <a:graphic xmlns:a="http://schemas.openxmlformats.org/drawingml/2006/main">
                        <a:graphicData uri="http://schemas.microsoft.com/office/word/2010/wordprocessingShape">
                          <wps:wsp>
                            <wps:cNvSpPr txBox="1"/>
                            <wps:spPr>
                              <a:xfrm>
                                <a:off x="0" y="0"/>
                                <a:ext cx="121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0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57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Thirteen Weeks Ended</w:t>
            </w:r>
          </w:p>
        </w:tc>
        <w:tc>
          <w:tcPr>
            <w:tcW w:w="191" w:type="dxa"/>
            <w:tcBorders/>
            <w:vAlign w:val="center"/>
          </w:tcPr>
          <w:p>
            <w:pPr>
              <w:pStyle w:val="TableContents"/>
              <w:bidi w:val="0"/>
              <w:spacing w:before="0" w:after="0"/>
              <w:ind w:left="0" w:right="0" w:hanging="0"/>
              <w:jc w:val="center"/>
              <w:rPr/>
            </w:pPr>
            <w:r>
              <w:rPr/>
              <w:t>​</w:t>
            </w:r>
          </w:p>
        </w:tc>
      </w:tr>
      <w:tr>
        <w:trPr/>
        <w:tc>
          <w:tcPr>
            <w:tcW w:w="40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112" w:type="dxa"/>
            <w:gridSpan w:val="2"/>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August 1,</w:t>
            </w:r>
          </w:p>
        </w:tc>
        <w:tc>
          <w:tcPr>
            <w:tcW w:w="346" w:type="dxa"/>
            <w:tcBorders/>
            <w:vAlign w:val="center"/>
          </w:tcPr>
          <w:p>
            <w:pPr>
              <w:pStyle w:val="TableContents"/>
              <w:bidi w:val="0"/>
              <w:spacing w:before="0" w:after="0"/>
              <w:ind w:left="0" w:right="0" w:hanging="0"/>
              <w:jc w:val="center"/>
              <w:rPr/>
            </w:pPr>
            <w:r>
              <w:rPr/>
              <w:t>​</w:t>
            </w:r>
          </w:p>
        </w:tc>
        <w:tc>
          <w:tcPr>
            <w:tcW w:w="1112" w:type="dxa"/>
            <w:gridSpan w:val="2"/>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August 2,</w:t>
            </w:r>
          </w:p>
        </w:tc>
        <w:tc>
          <w:tcPr>
            <w:tcW w:w="191" w:type="dxa"/>
            <w:tcBorders/>
            <w:vAlign w:val="center"/>
          </w:tcPr>
          <w:p>
            <w:pPr>
              <w:pStyle w:val="TableContents"/>
              <w:bidi w:val="0"/>
              <w:spacing w:before="0" w:after="0"/>
              <w:ind w:left="0" w:right="0" w:hanging="0"/>
              <w:jc w:val="center"/>
              <w:rPr/>
            </w:pPr>
            <w:r>
              <w:rPr/>
              <w:t>​</w:t>
            </w:r>
          </w:p>
        </w:tc>
      </w:tr>
      <w:tr>
        <w:trPr/>
        <w:tc>
          <w:tcPr>
            <w:tcW w:w="40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111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2026</w:t>
            </w:r>
          </w:p>
        </w:tc>
        <w:tc>
          <w:tcPr>
            <w:tcW w:w="346" w:type="dxa"/>
            <w:tcBorders/>
            <w:vAlign w:val="center"/>
          </w:tcPr>
          <w:p>
            <w:pPr>
              <w:pStyle w:val="TableContents"/>
              <w:bidi w:val="0"/>
              <w:spacing w:before="0" w:after="0"/>
              <w:ind w:left="0" w:right="0" w:hanging="0"/>
              <w:jc w:val="center"/>
              <w:rPr/>
            </w:pPr>
            <w:r>
              <w:rPr/>
              <w:t>  ​ ​ ​</w:t>
            </w:r>
          </w:p>
        </w:tc>
        <w:tc>
          <w:tcPr>
            <w:tcW w:w="111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2025</w:t>
            </w:r>
          </w:p>
        </w:tc>
        <w:tc>
          <w:tcPr>
            <w:tcW w:w="191" w:type="dxa"/>
            <w:tcBorders/>
            <w:vAlign w:val="center"/>
          </w:tcPr>
          <w:p>
            <w:pPr>
              <w:pStyle w:val="TableContents"/>
              <w:bidi w:val="0"/>
              <w:spacing w:before="0" w:after="0"/>
              <w:ind w:left="0" w:right="0" w:hanging="0"/>
              <w:jc w:val="center"/>
              <w:rPr/>
            </w:pPr>
            <w:r>
              <w:rPr/>
              <w:t> </w:t>
            </w:r>
          </w:p>
        </w:tc>
      </w:tr>
      <w:tr>
        <w:trPr/>
        <w:tc>
          <w:tcPr>
            <w:tcW w:w="4096" w:type="dxa"/>
            <w:tcBorders/>
            <w:shd w:fill="CCEEFF" w:val="clear"/>
            <w:vAlign w:val="center"/>
          </w:tcPr>
          <w:p>
            <w:pPr>
              <w:pStyle w:val="TableContents"/>
              <w:bidi w:val="0"/>
              <w:spacing w:before="0" w:after="0"/>
              <w:ind w:left="0" w:right="0" w:hanging="0"/>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Net sales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901"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211,632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901"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190,750</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40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pPr>
            <w:r>
              <w:rPr/>
              <w:t>​</w:t>
            </w:r>
          </w:p>
        </w:tc>
        <w:tc>
          <w:tcPr>
            <w:tcW w:w="191" w:type="dxa"/>
            <w:tcBorders/>
            <w:vAlign w:val="center"/>
          </w:tcPr>
          <w:p>
            <w:pPr>
              <w:pStyle w:val="TableContents"/>
              <w:bidi w:val="0"/>
              <w:spacing w:before="0" w:after="0"/>
              <w:ind w:left="0" w:right="0" w:hanging="0"/>
              <w:jc w:val="left"/>
              <w:rPr/>
            </w:pPr>
            <w:r>
              <w:rPr/>
              <w:t>​</w:t>
            </w:r>
          </w:p>
        </w:tc>
      </w:tr>
      <w:tr>
        <w:trPr/>
        <w:tc>
          <w:tcPr>
            <w:tcW w:w="4096"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Cost of sales (exclusive of depreciation)</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901"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(125,743)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901"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(114,477)</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4096"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Selling, general and administrative expenses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90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(82,296)</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90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(78,905)</w:t>
            </w:r>
          </w:p>
        </w:tc>
        <w:tc>
          <w:tcPr>
            <w:tcW w:w="191" w:type="dxa"/>
            <w:tcBorders/>
            <w:vAlign w:val="center"/>
          </w:tcPr>
          <w:p>
            <w:pPr>
              <w:pStyle w:val="TableContents"/>
              <w:bidi w:val="0"/>
              <w:spacing w:before="0" w:after="0"/>
              <w:ind w:left="0" w:right="0" w:hanging="0"/>
              <w:jc w:val="left"/>
              <w:rPr/>
            </w:pPr>
            <w:r>
              <w:rPr/>
              <w:t>​</w:t>
            </w:r>
          </w:p>
        </w:tc>
      </w:tr>
      <w:tr>
        <w:trPr/>
        <w:tc>
          <w:tcPr>
            <w:tcW w:w="4096"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Depreciation</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901"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(5,446)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901"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(4,548)</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4096"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Asset impairment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90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90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(263)</w:t>
            </w:r>
          </w:p>
        </w:tc>
        <w:tc>
          <w:tcPr>
            <w:tcW w:w="191" w:type="dxa"/>
            <w:tcBorders/>
            <w:vAlign w:val="center"/>
          </w:tcPr>
          <w:p>
            <w:pPr>
              <w:pStyle w:val="TableContents"/>
              <w:bidi w:val="0"/>
              <w:spacing w:before="0" w:after="0"/>
              <w:ind w:left="0" w:right="0" w:hanging="0"/>
              <w:jc w:val="left"/>
              <w:rPr/>
            </w:pPr>
            <w:r>
              <w:rPr/>
              <w:t>​</w:t>
            </w:r>
          </w:p>
        </w:tc>
      </w:tr>
      <w:tr>
        <w:trPr/>
        <w:tc>
          <w:tcPr>
            <w:tcW w:w="4096"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Gain on sale of building</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90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901"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10,960</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4096"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Gain on insurance related to operating activities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146</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91" w:type="dxa"/>
            <w:tcBorders/>
            <w:vAlign w:val="center"/>
          </w:tcPr>
          <w:p>
            <w:pPr>
              <w:pStyle w:val="TableContents"/>
              <w:bidi w:val="0"/>
              <w:spacing w:before="0" w:after="0"/>
              <w:ind w:left="0" w:right="0" w:hanging="0"/>
              <w:jc w:val="left"/>
              <w:rPr/>
            </w:pPr>
            <w:r>
              <w:rPr/>
              <w:t>​</w:t>
            </w:r>
          </w:p>
        </w:tc>
      </w:tr>
      <w:tr>
        <w:trPr/>
        <w:tc>
          <w:tcPr>
            <w:tcW w:w="4096"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Income (loss) from operations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901"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(1,707)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901"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3,517</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4096"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Interest income</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90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541</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90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389</w:t>
            </w:r>
          </w:p>
        </w:tc>
        <w:tc>
          <w:tcPr>
            <w:tcW w:w="191" w:type="dxa"/>
            <w:tcBorders/>
            <w:vAlign w:val="center"/>
          </w:tcPr>
          <w:p>
            <w:pPr>
              <w:pStyle w:val="TableContents"/>
              <w:bidi w:val="0"/>
              <w:spacing w:before="0" w:after="0"/>
              <w:ind w:left="0" w:right="0" w:hanging="0"/>
              <w:jc w:val="left"/>
              <w:rPr/>
            </w:pPr>
            <w:r>
              <w:rPr/>
              <w:t>​</w:t>
            </w:r>
          </w:p>
        </w:tc>
      </w:tr>
      <w:tr>
        <w:trPr/>
        <w:tc>
          <w:tcPr>
            <w:tcW w:w="4096"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Interest expense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9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(89)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(88)</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4096"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Income (loss) before income taxes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90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(1,255)</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90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3,818</w:t>
            </w:r>
          </w:p>
        </w:tc>
        <w:tc>
          <w:tcPr>
            <w:tcW w:w="191" w:type="dxa"/>
            <w:tcBorders/>
            <w:vAlign w:val="center"/>
          </w:tcPr>
          <w:p>
            <w:pPr>
              <w:pStyle w:val="TableContents"/>
              <w:bidi w:val="0"/>
              <w:spacing w:before="0" w:after="0"/>
              <w:ind w:left="0" w:right="0" w:hanging="0"/>
              <w:jc w:val="left"/>
              <w:rPr/>
            </w:pPr>
            <w:r>
              <w:rPr/>
              <w:t>​</w:t>
            </w:r>
          </w:p>
        </w:tc>
      </w:tr>
      <w:tr>
        <w:trPr/>
        <w:tc>
          <w:tcPr>
            <w:tcW w:w="4096"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Income tax benefit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9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324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9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4096"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Net income (loss)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901"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(931)</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901"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3,818</w:t>
            </w:r>
          </w:p>
        </w:tc>
        <w:tc>
          <w:tcPr>
            <w:tcW w:w="191" w:type="dxa"/>
            <w:tcBorders/>
            <w:vAlign w:val="center"/>
          </w:tcPr>
          <w:p>
            <w:pPr>
              <w:pStyle w:val="TableContents"/>
              <w:bidi w:val="0"/>
              <w:spacing w:before="0" w:after="0"/>
              <w:ind w:left="0" w:right="0" w:hanging="0"/>
              <w:jc w:val="left"/>
              <w:rPr/>
            </w:pPr>
            <w:r>
              <w:rPr/>
              <w:t>​</w:t>
            </w:r>
          </w:p>
        </w:tc>
      </w:tr>
      <w:tr>
        <w:trPr/>
        <w:tc>
          <w:tcPr>
            <w:tcW w:w="409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90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901" w:type="dxa"/>
            <w:tcBorders/>
            <w:shd w:fill="CCEEFF" w:val="clear"/>
            <w:vAlign w:val="center"/>
          </w:tcPr>
          <w:p>
            <w:pPr>
              <w:pStyle w:val="TableContents"/>
              <w:bidi w:val="0"/>
              <w:spacing w:before="0" w:after="0"/>
              <w:ind w:left="0" w:right="0" w:hanging="0"/>
              <w:jc w:val="right"/>
              <w:rPr/>
            </w:pPr>
            <w:r>
              <w:rPr/>
              <w:t>​</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4096"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Basic net earnings (loss) per common share</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901"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(0.11)</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901"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0.48</w:t>
            </w:r>
          </w:p>
        </w:tc>
        <w:tc>
          <w:tcPr>
            <w:tcW w:w="191" w:type="dxa"/>
            <w:tcBorders/>
            <w:vAlign w:val="center"/>
          </w:tcPr>
          <w:p>
            <w:pPr>
              <w:pStyle w:val="TableContents"/>
              <w:bidi w:val="0"/>
              <w:spacing w:before="0" w:after="0"/>
              <w:ind w:left="0" w:right="0" w:hanging="0"/>
              <w:jc w:val="left"/>
              <w:rPr/>
            </w:pPr>
            <w:r>
              <w:rPr/>
              <w:t>​</w:t>
            </w:r>
          </w:p>
        </w:tc>
      </w:tr>
      <w:tr>
        <w:trPr/>
        <w:tc>
          <w:tcPr>
            <w:tcW w:w="4096"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Diluted net earnings (loss) per common share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90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(0.11)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90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0.46</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40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90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901" w:type="dxa"/>
            <w:tcBorders/>
            <w:vAlign w:val="center"/>
          </w:tcPr>
          <w:p>
            <w:pPr>
              <w:pStyle w:val="TableContents"/>
              <w:bidi w:val="0"/>
              <w:spacing w:before="0" w:after="0"/>
              <w:ind w:left="0" w:right="0" w:hanging="0"/>
              <w:jc w:val="right"/>
              <w:rPr/>
            </w:pPr>
            <w:r>
              <w:rPr/>
              <w:t>​</w:t>
            </w:r>
          </w:p>
        </w:tc>
        <w:tc>
          <w:tcPr>
            <w:tcW w:w="191" w:type="dxa"/>
            <w:tcBorders/>
            <w:vAlign w:val="center"/>
          </w:tcPr>
          <w:p>
            <w:pPr>
              <w:pStyle w:val="TableContents"/>
              <w:bidi w:val="0"/>
              <w:spacing w:before="0" w:after="0"/>
              <w:ind w:left="0" w:right="0" w:hanging="0"/>
              <w:jc w:val="left"/>
              <w:rPr/>
            </w:pPr>
            <w:r>
              <w:rPr/>
              <w:t>​</w:t>
            </w:r>
          </w:p>
        </w:tc>
      </w:tr>
      <w:tr>
        <w:trPr/>
        <w:tc>
          <w:tcPr>
            <w:tcW w:w="4096"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Weighted average number of shares outstanding</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90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901" w:type="dxa"/>
            <w:tcBorders/>
            <w:shd w:fill="CCEEFF" w:val="clear"/>
            <w:vAlign w:val="center"/>
          </w:tcPr>
          <w:p>
            <w:pPr>
              <w:pStyle w:val="TableContents"/>
              <w:bidi w:val="0"/>
              <w:spacing w:before="0" w:after="0"/>
              <w:ind w:left="0" w:right="0" w:hanging="0"/>
              <w:jc w:val="right"/>
              <w:rPr/>
            </w:pPr>
            <w:r>
              <w:rPr/>
              <w:t>​</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4096"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Basic</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c>
          <w:tcPr>
            <w:tcW w:w="901"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8,183</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c>
          <w:tcPr>
            <w:tcW w:w="901"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8,033</w:t>
            </w:r>
          </w:p>
        </w:tc>
        <w:tc>
          <w:tcPr>
            <w:tcW w:w="191" w:type="dxa"/>
            <w:tcBorders/>
            <w:vAlign w:val="center"/>
          </w:tcPr>
          <w:p>
            <w:pPr>
              <w:pStyle w:val="TableContents"/>
              <w:bidi w:val="0"/>
              <w:spacing w:before="0" w:after="0"/>
              <w:ind w:left="0" w:right="0" w:hanging="0"/>
              <w:jc w:val="left"/>
              <w:rPr/>
            </w:pPr>
            <w:r>
              <w:rPr/>
              <w:t>​</w:t>
            </w:r>
          </w:p>
        </w:tc>
      </w:tr>
      <w:tr>
        <w:trPr/>
        <w:tc>
          <w:tcPr>
            <w:tcW w:w="4096"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Diluted</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90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8,183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90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8,314</w:t>
            </w:r>
          </w:p>
        </w:tc>
        <w:tc>
          <w:tcPr>
            <w:tcW w:w="191" w:type="dxa"/>
            <w:tcBorders/>
            <w:shd w:fill="CCEEFF" w:val="cle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Helvetica" w:hAnsi="Helvetica"/>
          <w:sz w:val="18"/>
        </w:rPr>
      </w:pPr>
      <w:r>
        <w:rPr>
          <w:rFonts w:ascii="Helvetica" w:hAnsi="Helvetica"/>
          <w:sz w:val="18"/>
        </w:rPr>
        <w:t>4</w:t>
      </w:r>
    </w:p>
    <w:p>
      <w:pPr>
        <w:pStyle w:val="TextBody"/>
        <w:bidi w:val="0"/>
        <w:spacing w:before="0" w:after="6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0"/>
        <w:ind w:left="0" w:right="0" w:hanging="0"/>
        <w:jc w:val="center"/>
        <w:rPr>
          <w:rFonts w:ascii="Helvetica" w:hAnsi="Helvetica"/>
          <w:b/>
          <w:sz w:val="18"/>
        </w:rPr>
      </w:pPr>
      <w:r>
        <w:rPr>
          <w:rFonts w:ascii="Helvetica" w:hAnsi="Helvetica"/>
          <w:b/>
          <w:sz w:val="18"/>
        </w:rPr>
        <w:t>Citi Trends, Inc.</w:t>
      </w:r>
    </w:p>
    <w:p>
      <w:pPr>
        <w:pStyle w:val="TextBody"/>
        <w:bidi w:val="0"/>
        <w:spacing w:before="0" w:after="0"/>
        <w:ind w:left="0" w:right="0" w:hanging="0"/>
        <w:jc w:val="center"/>
        <w:rPr>
          <w:rFonts w:ascii="Helvetica" w:hAnsi="Helvetica"/>
          <w:b/>
          <w:sz w:val="18"/>
        </w:rPr>
      </w:pPr>
      <w:bookmarkStart w:id="201" w:name="Operations_ThirteenWeeks"/>
      <w:bookmarkEnd w:id="201"/>
      <w:r>
        <w:rPr>
          <w:rFonts w:ascii="Helvetica" w:hAnsi="Helvetica"/>
          <w:b/>
          <w:sz w:val="18"/>
        </w:rPr>
        <w:t>Condensed Consolidated Statements of Operations</w:t>
      </w:r>
    </w:p>
    <w:p>
      <w:pPr>
        <w:pStyle w:val="TextBody"/>
        <w:bidi w:val="0"/>
        <w:spacing w:before="0" w:after="0"/>
        <w:ind w:left="0" w:right="0" w:hanging="0"/>
        <w:jc w:val="center"/>
        <w:rPr>
          <w:rFonts w:ascii="Helvetica" w:hAnsi="Helvetica"/>
          <w:b/>
          <w:sz w:val="18"/>
        </w:rPr>
      </w:pPr>
      <w:r>
        <w:rPr>
          <w:rFonts w:ascii="Helvetica" w:hAnsi="Helvetica"/>
          <w:b/>
          <w:sz w:val="18"/>
        </w:rPr>
        <w:t>(Unaudited)</w:t>
      </w:r>
    </w:p>
    <w:p>
      <w:pPr>
        <w:pStyle w:val="TextBody"/>
        <w:bidi w:val="0"/>
        <w:spacing w:before="0" w:after="0"/>
        <w:ind w:left="0" w:right="0" w:hanging="0"/>
        <w:jc w:val="center"/>
        <w:rPr>
          <w:rFonts w:ascii="Helvetica" w:hAnsi="Helvetica"/>
          <w:b/>
          <w:sz w:val="18"/>
        </w:rPr>
      </w:pPr>
      <w:r>
        <w:rPr>
          <w:rFonts w:ascii="Helvetica" w:hAnsi="Helvetica"/>
          <w:b/>
          <w:sz w:val="18"/>
        </w:rPr>
        <w:t>(in thousands, except per share amounts)</w:t>
      </w:r>
    </w:p>
    <w:p>
      <w:pPr>
        <w:pStyle w:val="TextBody"/>
        <w:bidi w:val="0"/>
        <w:spacing w:before="0" w:after="0"/>
        <w:ind w:left="0" w:right="0" w:hanging="0"/>
        <w:jc w:val="center"/>
        <w:rPr/>
      </w:pPr>
      <w:r>
        <w:rPr/>
        <w:t>​</w:t>
      </w:r>
    </w:p>
    <w:p>
      <w:pPr>
        <w:pStyle w:val="Normal"/>
        <w:bidi w:val="0"/>
        <w:spacing w:before="0" w:after="0"/>
        <w:jc w:val="left"/>
        <w:rPr>
          <w:sz w:val="4"/>
          <w:szCs w:val="4"/>
        </w:rPr>
      </w:pPr>
      <w:r>
        <w:rPr>
          <w:sz w:val="4"/>
          <w:szCs w:val="4"/>
        </w:rPr>
      </w:r>
      <w:bookmarkStart w:id="202" w:name="Tc_HbuHxYOnK0Ky3ZPByg8deQ_24_0"/>
      <w:bookmarkStart w:id="203" w:name="Tc_SzgKv5FGAkuwRjbgJXrgnA_23_0"/>
      <w:bookmarkStart w:id="204" w:name="Tc_8iiD1UK25U-1rWp03z4uLg_22_0"/>
      <w:bookmarkStart w:id="205" w:name="Tc_lymM4_u2b0O8d87RVNVq8A_20_5"/>
      <w:bookmarkStart w:id="206" w:name="Tc_iUTDH3OxU0GvSdjDHRN3Sw_20_2"/>
      <w:bookmarkStart w:id="207" w:name="Tc_okeIAMC9CU-NQGvlI-y-xQ_20_0"/>
      <w:bookmarkStart w:id="208" w:name="Tc_z3bfqTSeCkK83g78598hjw_19_5"/>
      <w:bookmarkStart w:id="209" w:name="Tc_DZkXFf9Esk6xRYGQtqntmQ_19_2"/>
      <w:bookmarkStart w:id="210" w:name="Tc_7Hu609BarU29nGZ6jHpc9g_19_0"/>
      <w:bookmarkStart w:id="211" w:name="Tc_e4iK9qkGOE-kMA4Tg2N-4g_17_5"/>
      <w:bookmarkStart w:id="212" w:name="Tc_ygIe3HcDrE6FJI2L6ZJzGA_17_2"/>
      <w:bookmarkStart w:id="213" w:name="Tc_OdwxyoVhQkSmm_xihf4_GA_17_0"/>
      <w:bookmarkStart w:id="214" w:name="Tc_2PXHR_XZe0yi54OIXMJrhA_16_6"/>
      <w:bookmarkStart w:id="215" w:name="Tc_WL3R8xr90UGP7KxsixWKFw_16_0"/>
      <w:bookmarkStart w:id="216" w:name="Tc_9mGtu_gARkKwHx46M1fYwg_15_0"/>
      <w:bookmarkStart w:id="217" w:name="Tc_xIm2hktZx02gb0hdPmQFsQ_14_0"/>
      <w:bookmarkStart w:id="218" w:name="Tc_KNn8DEEM5EOAM2QyeL6aSQ_13_0"/>
      <w:bookmarkStart w:id="219" w:name="Tc_o-gucN25l0KqsjCYl9dV0w_12_0"/>
      <w:bookmarkStart w:id="220" w:name="Tc_p_qmxRiXkUSeJj7x_V-5JQ_11_6"/>
      <w:bookmarkStart w:id="221" w:name="Tc_jDVN1NivHUqcGEQyC530SQ_11_0"/>
      <w:bookmarkStart w:id="222" w:name="Tc_i0RYVKJbZUagZ64uKFkZxQ_10_3"/>
      <w:bookmarkStart w:id="223" w:name="Tc_Hhl4x97ZD0qNYQ1NiA60EQ_10_0"/>
      <w:bookmarkStart w:id="224" w:name="Tc_XqTo4raRZ0ue_R2YQgoV5w_9_3"/>
      <w:bookmarkStart w:id="225" w:name="Tc_g90nUA7WckWVt59UzES4gw_9_0"/>
      <w:bookmarkStart w:id="226" w:name="Tc_-KYJw2hoakiD8EbpGPjAGA_8_0"/>
      <w:bookmarkStart w:id="227" w:name="Tc_XD5NPtydW0yM9KvjfCIWDg_7_0"/>
      <w:bookmarkStart w:id="228" w:name="Tc_MrJzKZS1l0647Tf-phu0WQ_6_0"/>
      <w:bookmarkStart w:id="229" w:name="Tc_aKo2hRYmFkO_2Bm9QpCBug_4_5"/>
      <w:bookmarkStart w:id="230" w:name="Tc_Xmt_oBpRAUOC6Rg4EM4VFQ_4_2"/>
      <w:bookmarkStart w:id="231" w:name="Tc_AVatgi6ppUawa2bDRJxVfg_3_5"/>
      <w:bookmarkStart w:id="232" w:name="Tc_ks5OfCFzB0iGWZsPo3lF_Q_3_2"/>
      <w:bookmarkStart w:id="233" w:name="Tc_e_yG4TPF5UaV0xEU_2wbTg_2_5"/>
      <w:bookmarkStart w:id="234" w:name="Tc_M9lqu0V_9ECYFGudZWo47g_2_2"/>
      <w:bookmarkStart w:id="235" w:name="Tc_cA0OGUGUlEiCJreko-Yp-Q_1_2"/>
      <w:bookmarkStart w:id="236" w:name="_366e4d6f_c943_435a_a7b6_85b69d268732"/>
      <w:bookmarkStart w:id="237" w:name="Tc_HbuHxYOnK0Ky3ZPByg8deQ_24_0"/>
      <w:bookmarkStart w:id="238" w:name="Tc_SzgKv5FGAkuwRjbgJXrgnA_23_0"/>
      <w:bookmarkStart w:id="239" w:name="Tc_8iiD1UK25U-1rWp03z4uLg_22_0"/>
      <w:bookmarkStart w:id="240" w:name="Tc_lymM4_u2b0O8d87RVNVq8A_20_5"/>
      <w:bookmarkStart w:id="241" w:name="Tc_iUTDH3OxU0GvSdjDHRN3Sw_20_2"/>
      <w:bookmarkStart w:id="242" w:name="Tc_okeIAMC9CU-NQGvlI-y-xQ_20_0"/>
      <w:bookmarkStart w:id="243" w:name="Tc_z3bfqTSeCkK83g78598hjw_19_5"/>
      <w:bookmarkStart w:id="244" w:name="Tc_DZkXFf9Esk6xRYGQtqntmQ_19_2"/>
      <w:bookmarkStart w:id="245" w:name="Tc_7Hu609BarU29nGZ6jHpc9g_19_0"/>
      <w:bookmarkStart w:id="246" w:name="Tc_e4iK9qkGOE-kMA4Tg2N-4g_17_5"/>
      <w:bookmarkStart w:id="247" w:name="Tc_ygIe3HcDrE6FJI2L6ZJzGA_17_2"/>
      <w:bookmarkStart w:id="248" w:name="Tc_OdwxyoVhQkSmm_xihf4_GA_17_0"/>
      <w:bookmarkStart w:id="249" w:name="Tc_2PXHR_XZe0yi54OIXMJrhA_16_6"/>
      <w:bookmarkStart w:id="250" w:name="Tc_WL3R8xr90UGP7KxsixWKFw_16_0"/>
      <w:bookmarkStart w:id="251" w:name="Tc_9mGtu_gARkKwHx46M1fYwg_15_0"/>
      <w:bookmarkStart w:id="252" w:name="Tc_xIm2hktZx02gb0hdPmQFsQ_14_0"/>
      <w:bookmarkStart w:id="253" w:name="Tc_KNn8DEEM5EOAM2QyeL6aSQ_13_0"/>
      <w:bookmarkStart w:id="254" w:name="Tc_o-gucN25l0KqsjCYl9dV0w_12_0"/>
      <w:bookmarkStart w:id="255" w:name="Tc_p_qmxRiXkUSeJj7x_V-5JQ_11_6"/>
      <w:bookmarkStart w:id="256" w:name="Tc_jDVN1NivHUqcGEQyC530SQ_11_0"/>
      <w:bookmarkStart w:id="257" w:name="Tc_i0RYVKJbZUagZ64uKFkZxQ_10_3"/>
      <w:bookmarkStart w:id="258" w:name="Tc_Hhl4x97ZD0qNYQ1NiA60EQ_10_0"/>
      <w:bookmarkStart w:id="259" w:name="Tc_XqTo4raRZ0ue_R2YQgoV5w_9_3"/>
      <w:bookmarkStart w:id="260" w:name="Tc_g90nUA7WckWVt59UzES4gw_9_0"/>
      <w:bookmarkStart w:id="261" w:name="Tc_-KYJw2hoakiD8EbpGPjAGA_8_0"/>
      <w:bookmarkStart w:id="262" w:name="Tc_XD5NPtydW0yM9KvjfCIWDg_7_0"/>
      <w:bookmarkStart w:id="263" w:name="Tc_MrJzKZS1l0647Tf-phu0WQ_6_0"/>
      <w:bookmarkStart w:id="264" w:name="Tc_aKo2hRYmFkO_2Bm9QpCBug_4_5"/>
      <w:bookmarkStart w:id="265" w:name="Tc_Xmt_oBpRAUOC6Rg4EM4VFQ_4_2"/>
      <w:bookmarkStart w:id="266" w:name="Tc_AVatgi6ppUawa2bDRJxVfg_3_5"/>
      <w:bookmarkStart w:id="267" w:name="Tc_ks5OfCFzB0iGWZsPo3lF_Q_3_2"/>
      <w:bookmarkStart w:id="268" w:name="Tc_e_yG4TPF5UaV0xEU_2wbTg_2_5"/>
      <w:bookmarkStart w:id="269" w:name="Tc_M9lqu0V_9ECYFGudZWo47g_2_2"/>
      <w:bookmarkStart w:id="270" w:name="Tc_cA0OGUGUlEiCJreko-Yp-Q_1_2"/>
      <w:bookmarkStart w:id="271" w:name="_366e4d6f_c943_435a_a7b6_85b69d268732"/>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p>
    <w:tbl>
      <w:tblPr>
        <w:tblW w:w="7057" w:type="dxa"/>
        <w:jc w:val="left"/>
        <w:tblInd w:w="0" w:type="dxa"/>
        <w:tblLayout w:type="fixed"/>
        <w:tblCellMar>
          <w:top w:w="0" w:type="dxa"/>
          <w:left w:w="0" w:type="dxa"/>
          <w:bottom w:w="0" w:type="dxa"/>
          <w:right w:w="0" w:type="dxa"/>
        </w:tblCellMar>
      </w:tblPr>
      <w:tblGrid>
        <w:gridCol w:w="4096"/>
        <w:gridCol w:w="346"/>
        <w:gridCol w:w="211"/>
        <w:gridCol w:w="901"/>
        <w:gridCol w:w="346"/>
        <w:gridCol w:w="211"/>
        <w:gridCol w:w="946"/>
      </w:tblGrid>
      <w:tr>
        <w:trPr/>
        <w:tc>
          <w:tcPr>
            <w:tcW w:w="40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2600960" cy="175260"/>
                      <wp:effectExtent l="0" t="0" r="0" b="0"/>
                      <wp:wrapNone/>
                      <wp:docPr id="22" name="Frame22"/>
                      <a:graphic xmlns:a="http://schemas.openxmlformats.org/drawingml/2006/main">
                        <a:graphicData uri="http://schemas.microsoft.com/office/word/2010/wordprocessingShape">
                          <wps:wsp>
                            <wps:cNvSpPr txBox="1"/>
                            <wps:spPr>
                              <a:xfrm>
                                <a:off x="0" y="0"/>
                                <a:ext cx="26009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219710" cy="175260"/>
                      <wp:effectExtent l="0" t="0" r="0" b="0"/>
                      <wp:wrapNone/>
                      <wp:docPr id="23" name="Frame2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133985" cy="175260"/>
                      <wp:effectExtent l="0" t="0" r="0" b="0"/>
                      <wp:wrapNone/>
                      <wp:docPr id="24" name="Frame2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572135" cy="175260"/>
                      <wp:effectExtent l="0" t="0" r="0" b="0"/>
                      <wp:wrapNone/>
                      <wp:docPr id="25" name="Frame25"/>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219710" cy="175260"/>
                      <wp:effectExtent l="0" t="0" r="0" b="0"/>
                      <wp:wrapNone/>
                      <wp:docPr id="26" name="Frame2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133985" cy="175260"/>
                      <wp:effectExtent l="0" t="0" r="0" b="0"/>
                      <wp:wrapNone/>
                      <wp:docPr id="27" name="Frame2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00710" cy="175260"/>
                      <wp:effectExtent l="0" t="0" r="0" b="0"/>
                      <wp:wrapNone/>
                      <wp:docPr id="28" name="Frame28"/>
                      <a:graphic xmlns:a="http://schemas.openxmlformats.org/drawingml/2006/main">
                        <a:graphicData uri="http://schemas.microsoft.com/office/word/2010/wordprocessingShape">
                          <wps:wsp>
                            <wps:cNvSpPr txBox="1"/>
                            <wps:spPr>
                              <a:xfrm>
                                <a:off x="0" y="0"/>
                                <a:ext cx="600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0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61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Twenty-Six Weeks Ended</w:t>
            </w:r>
          </w:p>
        </w:tc>
      </w:tr>
      <w:tr>
        <w:trPr/>
        <w:tc>
          <w:tcPr>
            <w:tcW w:w="40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112" w:type="dxa"/>
            <w:gridSpan w:val="2"/>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August 1,</w:t>
            </w:r>
          </w:p>
        </w:tc>
        <w:tc>
          <w:tcPr>
            <w:tcW w:w="346" w:type="dxa"/>
            <w:tcBorders/>
            <w:vAlign w:val="center"/>
          </w:tcPr>
          <w:p>
            <w:pPr>
              <w:pStyle w:val="TableContents"/>
              <w:bidi w:val="0"/>
              <w:spacing w:before="0" w:after="0"/>
              <w:ind w:left="0" w:right="0" w:hanging="0"/>
              <w:jc w:val="center"/>
              <w:rPr/>
            </w:pPr>
            <w:r>
              <w:rPr/>
              <w:t>​</w:t>
            </w:r>
          </w:p>
        </w:tc>
        <w:tc>
          <w:tcPr>
            <w:tcW w:w="1157" w:type="dxa"/>
            <w:gridSpan w:val="2"/>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August 2,</w:t>
            </w:r>
          </w:p>
        </w:tc>
      </w:tr>
      <w:tr>
        <w:trPr/>
        <w:tc>
          <w:tcPr>
            <w:tcW w:w="40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111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2026</w:t>
            </w:r>
          </w:p>
        </w:tc>
        <w:tc>
          <w:tcPr>
            <w:tcW w:w="346" w:type="dxa"/>
            <w:tcBorders/>
            <w:vAlign w:val="center"/>
          </w:tcPr>
          <w:p>
            <w:pPr>
              <w:pStyle w:val="TableContents"/>
              <w:bidi w:val="0"/>
              <w:spacing w:before="0" w:after="0"/>
              <w:ind w:left="0" w:right="0" w:hanging="0"/>
              <w:jc w:val="center"/>
              <w:rPr/>
            </w:pPr>
            <w:r>
              <w:rPr/>
              <w:t>  ​ ​ ​</w:t>
            </w:r>
          </w:p>
        </w:tc>
        <w:tc>
          <w:tcPr>
            <w:tcW w:w="115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2025</w:t>
            </w:r>
          </w:p>
        </w:tc>
      </w:tr>
      <w:tr>
        <w:trPr/>
        <w:tc>
          <w:tcPr>
            <w:tcW w:w="4096" w:type="dxa"/>
            <w:tcBorders/>
            <w:shd w:fill="CCEEFF" w:val="clear"/>
            <w:vAlign w:val="center"/>
          </w:tcPr>
          <w:p>
            <w:pPr>
              <w:pStyle w:val="TableContents"/>
              <w:bidi w:val="0"/>
              <w:spacing w:before="0" w:after="0"/>
              <w:ind w:left="0" w:right="0" w:hanging="0"/>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Net sales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901"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442,490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946"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392,478</w:t>
            </w:r>
          </w:p>
        </w:tc>
      </w:tr>
      <w:tr>
        <w:trPr/>
        <w:tc>
          <w:tcPr>
            <w:tcW w:w="40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right"/>
              <w:rPr/>
            </w:pPr>
            <w:r>
              <w:rPr/>
              <w:t>​</w:t>
            </w:r>
          </w:p>
        </w:tc>
      </w:tr>
      <w:tr>
        <w:trPr/>
        <w:tc>
          <w:tcPr>
            <w:tcW w:w="4096"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Cost of sales (exclusive of depreciation)</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901"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(264,373)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946"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(236,395)</w:t>
            </w:r>
          </w:p>
        </w:tc>
      </w:tr>
      <w:tr>
        <w:trPr/>
        <w:tc>
          <w:tcPr>
            <w:tcW w:w="4096"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Selling, general and administrative expenses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90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(162,041)</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946"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(153,792)</w:t>
            </w:r>
          </w:p>
        </w:tc>
      </w:tr>
      <w:tr>
        <w:trPr/>
        <w:tc>
          <w:tcPr>
            <w:tcW w:w="4096"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Depreciation</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901"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(10,554)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946"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(8,918)</w:t>
            </w:r>
          </w:p>
        </w:tc>
      </w:tr>
      <w:tr>
        <w:trPr/>
        <w:tc>
          <w:tcPr>
            <w:tcW w:w="4096"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Asset impairment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90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946"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(327)</w:t>
            </w:r>
          </w:p>
        </w:tc>
      </w:tr>
      <w:tr>
        <w:trPr/>
        <w:tc>
          <w:tcPr>
            <w:tcW w:w="4096"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Gain on sale of building</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90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946"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10,960</w:t>
            </w:r>
          </w:p>
        </w:tc>
      </w:tr>
      <w:tr>
        <w:trPr/>
        <w:tc>
          <w:tcPr>
            <w:tcW w:w="4096"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Gain on insurance related to operating activities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146</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94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4096"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Income (loss) from operations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901"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5,668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946"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4,006</w:t>
            </w:r>
          </w:p>
        </w:tc>
      </w:tr>
      <w:tr>
        <w:trPr/>
        <w:tc>
          <w:tcPr>
            <w:tcW w:w="4096"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Interest income</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90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1,188</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46"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847</w:t>
            </w:r>
          </w:p>
        </w:tc>
      </w:tr>
      <w:tr>
        <w:trPr/>
        <w:tc>
          <w:tcPr>
            <w:tcW w:w="4096"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Interest expense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9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(175)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(164)</w:t>
            </w:r>
          </w:p>
        </w:tc>
      </w:tr>
      <w:tr>
        <w:trPr/>
        <w:tc>
          <w:tcPr>
            <w:tcW w:w="4096"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Income (loss) before income taxes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90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6,681</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946"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4,689</w:t>
            </w:r>
          </w:p>
        </w:tc>
      </w:tr>
      <w:tr>
        <w:trPr/>
        <w:tc>
          <w:tcPr>
            <w:tcW w:w="4096"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Income tax benefit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9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142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4096"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Net income (loss)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901"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6,823</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946"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4,689</w:t>
            </w:r>
          </w:p>
        </w:tc>
      </w:tr>
      <w:tr>
        <w:trPr/>
        <w:tc>
          <w:tcPr>
            <w:tcW w:w="409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90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946" w:type="dxa"/>
            <w:tcBorders/>
            <w:shd w:fill="CCEEFF" w:val="clear"/>
            <w:vAlign w:val="center"/>
          </w:tcPr>
          <w:p>
            <w:pPr>
              <w:pStyle w:val="TableContents"/>
              <w:bidi w:val="0"/>
              <w:spacing w:before="0" w:after="0"/>
              <w:ind w:left="0" w:right="0" w:hanging="0"/>
              <w:jc w:val="right"/>
              <w:rPr/>
            </w:pPr>
            <w:r>
              <w:rPr/>
              <w:t>​</w:t>
            </w:r>
          </w:p>
        </w:tc>
      </w:tr>
      <w:tr>
        <w:trPr/>
        <w:tc>
          <w:tcPr>
            <w:tcW w:w="4096"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Basic net earnings (loss) per common share</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901"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0.84</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946"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0.58</w:t>
            </w:r>
          </w:p>
        </w:tc>
      </w:tr>
      <w:tr>
        <w:trPr/>
        <w:tc>
          <w:tcPr>
            <w:tcW w:w="4096"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Diluted net earnings (loss) per common share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90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0.80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94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0.57</w:t>
            </w:r>
          </w:p>
        </w:tc>
      </w:tr>
      <w:tr>
        <w:trPr/>
        <w:tc>
          <w:tcPr>
            <w:tcW w:w="40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90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946" w:type="dxa"/>
            <w:tcBorders/>
            <w:vAlign w:val="center"/>
          </w:tcPr>
          <w:p>
            <w:pPr>
              <w:pStyle w:val="TableContents"/>
              <w:bidi w:val="0"/>
              <w:spacing w:before="0" w:after="0"/>
              <w:ind w:left="0" w:right="0" w:hanging="0"/>
              <w:jc w:val="right"/>
              <w:rPr/>
            </w:pPr>
            <w:r>
              <w:rPr/>
              <w:t>​</w:t>
            </w:r>
          </w:p>
        </w:tc>
      </w:tr>
      <w:tr>
        <w:trPr/>
        <w:tc>
          <w:tcPr>
            <w:tcW w:w="4096"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Weighted average number of shares outstanding</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90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946" w:type="dxa"/>
            <w:tcBorders/>
            <w:shd w:fill="CCEEFF" w:val="clear"/>
            <w:vAlign w:val="center"/>
          </w:tcPr>
          <w:p>
            <w:pPr>
              <w:pStyle w:val="TableContents"/>
              <w:bidi w:val="0"/>
              <w:spacing w:before="0" w:after="0"/>
              <w:ind w:left="0" w:right="0" w:hanging="0"/>
              <w:jc w:val="right"/>
              <w:rPr/>
            </w:pPr>
            <w:r>
              <w:rPr/>
              <w:t>​</w:t>
            </w:r>
          </w:p>
        </w:tc>
      </w:tr>
      <w:tr>
        <w:trPr/>
        <w:tc>
          <w:tcPr>
            <w:tcW w:w="4096"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Basic</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c>
          <w:tcPr>
            <w:tcW w:w="901"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8,155</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c>
          <w:tcPr>
            <w:tcW w:w="946"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8,033</w:t>
            </w:r>
          </w:p>
        </w:tc>
      </w:tr>
      <w:tr>
        <w:trPr/>
        <w:tc>
          <w:tcPr>
            <w:tcW w:w="4096"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Diluted</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90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8,477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94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Arial;Helvetica;sans-serif" w:hAnsi="Arial;Helvetica;sans-serif"/>
                <w:sz w:val="18"/>
              </w:rPr>
            </w:pPr>
            <w:r>
              <w:rPr>
                <w:rFonts w:ascii="Arial;Helvetica;sans-serif" w:hAnsi="Arial;Helvetica;sans-serif"/>
                <w:sz w:val="18"/>
              </w:rPr>
              <w:t>8,242</w:t>
            </w:r>
          </w:p>
        </w:tc>
      </w:tr>
    </w:tbl>
    <w:p>
      <w:pPr>
        <w:pStyle w:val="TextBody"/>
        <w:bidi w:val="0"/>
        <w:spacing w:before="0" w:after="0"/>
        <w:ind w:left="0" w:right="0" w:hanging="0"/>
        <w:jc w:val="center"/>
        <w:rPr/>
      </w:pPr>
      <w:r>
        <w:rPr/>
        <w:t>​</w:t>
      </w:r>
    </w:p>
    <w:p>
      <w:pPr>
        <w:pStyle w:val="TextBody"/>
        <w:bidi w:val="0"/>
        <w:spacing w:before="0" w:after="0"/>
        <w:ind w:left="0" w:right="0" w:hanging="0"/>
        <w:jc w:val="left"/>
        <w:rPr>
          <w:rFonts w:ascii="Helvetica" w:hAnsi="Helvetica"/>
          <w:sz w:val="18"/>
        </w:rPr>
      </w:pPr>
      <w:r>
        <w:rPr>
          <w:rFonts w:ascii="Helvetica" w:hAnsi="Helvetica"/>
          <w:sz w:val="18"/>
        </w:rPr>
        <w:t>See accompanying notes to the condensed consolidated financial statements (unaudited).</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Helvetica" w:hAnsi="Helvetica"/>
          <w:sz w:val="18"/>
        </w:rPr>
      </w:pPr>
      <w:r>
        <w:rPr>
          <w:rFonts w:ascii="Helvetica" w:hAnsi="Helvetica"/>
          <w:sz w:val="18"/>
        </w:rPr>
        <w:t>5</w:t>
      </w:r>
    </w:p>
    <w:p>
      <w:pPr>
        <w:pStyle w:val="TextBody"/>
        <w:bidi w:val="0"/>
        <w:spacing w:before="0" w:after="6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0"/>
        <w:ind w:left="0" w:right="0" w:hanging="0"/>
        <w:jc w:val="center"/>
        <w:rPr>
          <w:rFonts w:ascii="Helvetica" w:hAnsi="Helvetica"/>
          <w:b/>
          <w:sz w:val="18"/>
        </w:rPr>
      </w:pPr>
      <w:bookmarkStart w:id="272" w:name="_0b425b93_929c_41a1_b35a_1c9548e4056a"/>
      <w:bookmarkEnd w:id="272"/>
      <w:r>
        <w:rPr>
          <w:rFonts w:ascii="Helvetica" w:hAnsi="Helvetica"/>
          <w:b/>
          <w:sz w:val="18"/>
        </w:rPr>
        <w:t>Citi Trends, Inc.</w:t>
      </w:r>
    </w:p>
    <w:p>
      <w:pPr>
        <w:pStyle w:val="TextBody"/>
        <w:bidi w:val="0"/>
        <w:spacing w:before="0" w:after="0"/>
        <w:ind w:left="0" w:right="0" w:hanging="0"/>
        <w:jc w:val="center"/>
        <w:rPr>
          <w:rFonts w:ascii="Helvetica" w:hAnsi="Helvetica"/>
          <w:b/>
          <w:sz w:val="18"/>
        </w:rPr>
      </w:pPr>
      <w:bookmarkStart w:id="273" w:name="CashFlows_340602"/>
      <w:bookmarkEnd w:id="273"/>
      <w:r>
        <w:rPr>
          <w:rFonts w:ascii="Helvetica" w:hAnsi="Helvetica"/>
          <w:b/>
          <w:sz w:val="18"/>
        </w:rPr>
        <w:t>Condensed Consolidated Statements of Cash Flows</w:t>
      </w:r>
    </w:p>
    <w:p>
      <w:pPr>
        <w:pStyle w:val="TextBody"/>
        <w:bidi w:val="0"/>
        <w:spacing w:before="0" w:after="0"/>
        <w:ind w:left="0" w:right="0" w:hanging="0"/>
        <w:jc w:val="center"/>
        <w:rPr>
          <w:rFonts w:ascii="Helvetica" w:hAnsi="Helvetica"/>
          <w:b/>
          <w:sz w:val="18"/>
        </w:rPr>
      </w:pPr>
      <w:r>
        <w:rPr>
          <w:rFonts w:ascii="Helvetica" w:hAnsi="Helvetica"/>
          <w:b/>
          <w:sz w:val="18"/>
        </w:rPr>
        <w:t>(Unaudited)</w:t>
      </w:r>
    </w:p>
    <w:p>
      <w:pPr>
        <w:pStyle w:val="TextBody"/>
        <w:bidi w:val="0"/>
        <w:spacing w:before="0" w:after="0"/>
        <w:ind w:left="0" w:right="0" w:hanging="0"/>
        <w:jc w:val="center"/>
        <w:rPr>
          <w:rFonts w:ascii="Helvetica" w:hAnsi="Helvetica"/>
          <w:b/>
          <w:sz w:val="18"/>
        </w:rPr>
      </w:pPr>
      <w:r>
        <w:rPr>
          <w:rFonts w:ascii="Helvetica" w:hAnsi="Helvetica"/>
          <w:b/>
          <w:sz w:val="18"/>
        </w:rPr>
        <w:t>(in thousands)</w:t>
      </w:r>
    </w:p>
    <w:p>
      <w:pPr>
        <w:pStyle w:val="TextBody"/>
        <w:bidi w:val="0"/>
        <w:spacing w:before="0" w:after="0"/>
        <w:ind w:left="0" w:right="0" w:hanging="0"/>
        <w:jc w:val="center"/>
        <w:rPr/>
      </w:pPr>
      <w:r>
        <w:rPr/>
        <w:t>​</w:t>
      </w:r>
    </w:p>
    <w:p>
      <w:pPr>
        <w:pStyle w:val="Normal"/>
        <w:bidi w:val="0"/>
        <w:spacing w:before="0" w:after="0"/>
        <w:jc w:val="left"/>
        <w:rPr>
          <w:sz w:val="4"/>
          <w:szCs w:val="4"/>
        </w:rPr>
      </w:pPr>
      <w:r>
        <w:rPr>
          <w:sz w:val="4"/>
          <w:szCs w:val="4"/>
        </w:rPr>
      </w:r>
      <w:bookmarkStart w:id="274" w:name="Tc_q8TSXYxNOEKpX-pEt1lqCA_43_5"/>
      <w:bookmarkStart w:id="275" w:name="Tc_MADpyVdw6kmrC1A7FyUeBg_43_2"/>
      <w:bookmarkStart w:id="276" w:name="Tc_XdFqlyp2J0OlCoX7ofomnA_43_0"/>
      <w:bookmarkStart w:id="277" w:name="Tc_6mmxWo_CbESoFsaK7n4Kig_42_0"/>
      <w:bookmarkStart w:id="278" w:name="Tc_ZiBhX6Eu3EmPch1dco6LUQ_41_5"/>
      <w:bookmarkStart w:id="279" w:name="Tc_DD_FRuSB2U2XGUqni_8Wkg_41_2"/>
      <w:bookmarkStart w:id="280" w:name="Tc_60IjZ0x810SOS9qElABh8w_41_0"/>
      <w:bookmarkStart w:id="281" w:name="Tc_bTnM2BtTz0-HZk9usnzsjQ_40_5"/>
      <w:bookmarkStart w:id="282" w:name="Tc_jMKoUMBSgUibkB8p3Beygw_40_2"/>
      <w:bookmarkStart w:id="283" w:name="Tc_yH0NUZYXtEyo3h03HynW1w_40_0"/>
      <w:bookmarkStart w:id="284" w:name="Tc_uP5fE4YGK0ynL514K3kmgA_39_0"/>
      <w:bookmarkStart w:id="285" w:name="Tc_3AIl4KRmJk2ctGYj2OAu4g_37_5"/>
      <w:bookmarkStart w:id="286" w:name="Tc_7F8sBD1N3kGku0ls4HVwAA_37_2"/>
      <w:bookmarkStart w:id="287" w:name="Tc_0jRhVYMdOEG5oTTV4friUQ_37_0"/>
      <w:bookmarkStart w:id="288" w:name="Tc_i0a6paoqHE6xxKxCPVbx2w_36_0"/>
      <w:bookmarkStart w:id="289" w:name="Tc_9D-p2V4u3E-dvyYwTk26wQ_35_0"/>
      <w:bookmarkStart w:id="290" w:name="Tc_c7gklAvB0ka_KVCLm9nHag_34_0"/>
      <w:bookmarkStart w:id="291" w:name="Tc_fjmQ8tEKj0Wg4wzc-jAL7w_33_0"/>
      <w:bookmarkStart w:id="292" w:name="Tc_t50M8Z8BfkCJIG2uv8LgdA_32_3"/>
      <w:bookmarkStart w:id="293" w:name="Tc_PApb8-3rtU2zED5-iu1mJQ_32_0"/>
      <w:bookmarkStart w:id="294" w:name="Tc_PxvuXI9MGUSRUpkVKh0gxw_31_0"/>
      <w:bookmarkStart w:id="295" w:name="Tc_uNc7ZvJ9x02baOlXdGRs0Q_30_0"/>
      <w:bookmarkStart w:id="296" w:name="Tc_4SnXN4mVK0uwnbbtgTbd4w_29_0"/>
      <w:bookmarkStart w:id="297" w:name="Tc_EL7t3iJ-6kKPITSLL-pJRg_28_3"/>
      <w:bookmarkStart w:id="298" w:name="Tc_F-L5505gU02bgKlG0l-aPw_28_0"/>
      <w:bookmarkStart w:id="299" w:name="Tc_HIU9ZCBS1ku1NoMb4rzw7A_27_0"/>
      <w:bookmarkStart w:id="300" w:name="Tc_rXU9Xh-hfUG-s5sSGcjo3A_26_0"/>
      <w:bookmarkStart w:id="301" w:name="Tc_Hg9pe5QXdki9yJ_hH5QoOQ_25_0"/>
      <w:bookmarkStart w:id="302" w:name="Tc_2NSVYNYO_U6FhOAkj8wC9Q_24_0"/>
      <w:bookmarkStart w:id="303" w:name="Tc_9c6OOCqtq0yFncqT_6gelw_23_0"/>
      <w:bookmarkStart w:id="304" w:name="Tc_714y5Ih4hki5chqgEPt6YQ_22_0"/>
      <w:bookmarkStart w:id="305" w:name="Tc_8PnGuVt3iUOSG-XAjDqY1Q_21_0"/>
      <w:bookmarkStart w:id="306" w:name="Tc_cc39AWx8xE2JtUPvbyFrow_20_0"/>
      <w:bookmarkStart w:id="307" w:name="Tc_3itnE5VfPkCDZFU3a1nJug_19_0"/>
      <w:bookmarkStart w:id="308" w:name="Tc_RU-UJpuG2EiXZFvTwsxvbA_18_0"/>
      <w:bookmarkStart w:id="309" w:name="Tc_b3RyEr6l4EeoaprCNilAKQ_17_0"/>
      <w:bookmarkStart w:id="310" w:name="Tc_MO7eo3NlDk-c08T8nlfoYQ_16_0"/>
      <w:bookmarkStart w:id="311" w:name="Tc_33EhdYQCUEandTDcId6c8Q_15_6"/>
      <w:bookmarkStart w:id="312" w:name="Tc_50OF9LYuwkSI_xA9zvxr3Q_15_0"/>
      <w:bookmarkStart w:id="313" w:name="Tc_yE2soGQW1UGrDd_Flr6zGw_14_3"/>
      <w:bookmarkStart w:id="314" w:name="Tc_k2w4Rs9g-0CWUd5O0YYn-Q_14_0"/>
      <w:bookmarkStart w:id="315" w:name="Tc_83svK5o350SBzENsq8lQOQ_13_0"/>
      <w:bookmarkStart w:id="316" w:name="Tc_ke-1E0zZAEaS_srSxV6_Kg_12_6"/>
      <w:bookmarkStart w:id="317" w:name="Tc_NcUlpFWB30qn8EcjWMw2iA_12_0"/>
      <w:bookmarkStart w:id="318" w:name="Tc_cpj7zRTrq0CVLiOk_AK5Wg_11_6"/>
      <w:bookmarkStart w:id="319" w:name="Tc_UpAmxSl7YE-2lzg1XONVFA_11_0"/>
      <w:bookmarkStart w:id="320" w:name="Tc_0vsdjLA3k0-mndnKl-mhTA_10_0"/>
      <w:bookmarkStart w:id="321" w:name="Tc_NAHi4NEtN0CJqv5jRMkz5A_9_0"/>
      <w:bookmarkStart w:id="322" w:name="Tc_1emGxcVnHkauEDzy0zBKrA_8_3"/>
      <w:bookmarkStart w:id="323" w:name="Tc_-K2sFNJWWUSvvp_akepmgg_8_0"/>
      <w:bookmarkStart w:id="324" w:name="Tc_mfaBdtjHS0K6O6c5_kcOWQ_7_0"/>
      <w:bookmarkStart w:id="325" w:name="Tc_hFPl_eL9rU-6uFCl7bCqMw_6_0"/>
      <w:bookmarkStart w:id="326" w:name="Tc_C55Zc5XgXEaOIclxcD6DCA_5_5"/>
      <w:bookmarkStart w:id="327" w:name="Tc_qgMKy-QgDkuHuOp2qyvuwQ_5_2"/>
      <w:bookmarkStart w:id="328" w:name="Tc_jrxAJmuPdU6-Zg2U8w3HlQ_5_0"/>
      <w:bookmarkStart w:id="329" w:name="Tc_SgTpruNfWkS7zXGcXg9t0g_4_0"/>
      <w:bookmarkStart w:id="330" w:name="Tc_tg1svb1JBEqHt7VswYViSA_3_5"/>
      <w:bookmarkStart w:id="331" w:name="Tc_1b3nQdCVl0G4uEgquYbQPA_3_2"/>
      <w:bookmarkStart w:id="332" w:name="Tc_9BjleLk0hkGie9FDmgHrmg_2_5"/>
      <w:bookmarkStart w:id="333" w:name="Tc_XjxDcJA3j0mw8KgCh9hhYA_2_2"/>
      <w:bookmarkStart w:id="334" w:name="Tc_MaroKmiX5kuMPPH0aH-24g_1_2"/>
      <w:bookmarkStart w:id="335" w:name="_4fe5c771_3a1c_4e66_9016_47b74517ad28"/>
      <w:bookmarkStart w:id="336" w:name="Tc_q8TSXYxNOEKpX-pEt1lqCA_43_5"/>
      <w:bookmarkStart w:id="337" w:name="Tc_MADpyVdw6kmrC1A7FyUeBg_43_2"/>
      <w:bookmarkStart w:id="338" w:name="Tc_XdFqlyp2J0OlCoX7ofomnA_43_0"/>
      <w:bookmarkStart w:id="339" w:name="Tc_6mmxWo_CbESoFsaK7n4Kig_42_0"/>
      <w:bookmarkStart w:id="340" w:name="Tc_ZiBhX6Eu3EmPch1dco6LUQ_41_5"/>
      <w:bookmarkStart w:id="341" w:name="Tc_DD_FRuSB2U2XGUqni_8Wkg_41_2"/>
      <w:bookmarkStart w:id="342" w:name="Tc_60IjZ0x810SOS9qElABh8w_41_0"/>
      <w:bookmarkStart w:id="343" w:name="Tc_bTnM2BtTz0-HZk9usnzsjQ_40_5"/>
      <w:bookmarkStart w:id="344" w:name="Tc_jMKoUMBSgUibkB8p3Beygw_40_2"/>
      <w:bookmarkStart w:id="345" w:name="Tc_yH0NUZYXtEyo3h03HynW1w_40_0"/>
      <w:bookmarkStart w:id="346" w:name="Tc_uP5fE4YGK0ynL514K3kmgA_39_0"/>
      <w:bookmarkStart w:id="347" w:name="Tc_3AIl4KRmJk2ctGYj2OAu4g_37_5"/>
      <w:bookmarkStart w:id="348" w:name="Tc_7F8sBD1N3kGku0ls4HVwAA_37_2"/>
      <w:bookmarkStart w:id="349" w:name="Tc_0jRhVYMdOEG5oTTV4friUQ_37_0"/>
      <w:bookmarkStart w:id="350" w:name="Tc_i0a6paoqHE6xxKxCPVbx2w_36_0"/>
      <w:bookmarkStart w:id="351" w:name="Tc_9D-p2V4u3E-dvyYwTk26wQ_35_0"/>
      <w:bookmarkStart w:id="352" w:name="Tc_c7gklAvB0ka_KVCLm9nHag_34_0"/>
      <w:bookmarkStart w:id="353" w:name="Tc_fjmQ8tEKj0Wg4wzc-jAL7w_33_0"/>
      <w:bookmarkStart w:id="354" w:name="Tc_t50M8Z8BfkCJIG2uv8LgdA_32_3"/>
      <w:bookmarkStart w:id="355" w:name="Tc_PApb8-3rtU2zED5-iu1mJQ_32_0"/>
      <w:bookmarkStart w:id="356" w:name="Tc_PxvuXI9MGUSRUpkVKh0gxw_31_0"/>
      <w:bookmarkStart w:id="357" w:name="Tc_uNc7ZvJ9x02baOlXdGRs0Q_30_0"/>
      <w:bookmarkStart w:id="358" w:name="Tc_4SnXN4mVK0uwnbbtgTbd4w_29_0"/>
      <w:bookmarkStart w:id="359" w:name="Tc_EL7t3iJ-6kKPITSLL-pJRg_28_3"/>
      <w:bookmarkStart w:id="360" w:name="Tc_F-L5505gU02bgKlG0l-aPw_28_0"/>
      <w:bookmarkStart w:id="361" w:name="Tc_HIU9ZCBS1ku1NoMb4rzw7A_27_0"/>
      <w:bookmarkStart w:id="362" w:name="Tc_rXU9Xh-hfUG-s5sSGcjo3A_26_0"/>
      <w:bookmarkStart w:id="363" w:name="Tc_Hg9pe5QXdki9yJ_hH5QoOQ_25_0"/>
      <w:bookmarkStart w:id="364" w:name="Tc_2NSVYNYO_U6FhOAkj8wC9Q_24_0"/>
      <w:bookmarkStart w:id="365" w:name="Tc_9c6OOCqtq0yFncqT_6gelw_23_0"/>
      <w:bookmarkStart w:id="366" w:name="Tc_714y5Ih4hki5chqgEPt6YQ_22_0"/>
      <w:bookmarkStart w:id="367" w:name="Tc_8PnGuVt3iUOSG-XAjDqY1Q_21_0"/>
      <w:bookmarkStart w:id="368" w:name="Tc_cc39AWx8xE2JtUPvbyFrow_20_0"/>
      <w:bookmarkStart w:id="369" w:name="Tc_3itnE5VfPkCDZFU3a1nJug_19_0"/>
      <w:bookmarkStart w:id="370" w:name="Tc_RU-UJpuG2EiXZFvTwsxvbA_18_0"/>
      <w:bookmarkStart w:id="371" w:name="Tc_b3RyEr6l4EeoaprCNilAKQ_17_0"/>
      <w:bookmarkStart w:id="372" w:name="Tc_MO7eo3NlDk-c08T8nlfoYQ_16_0"/>
      <w:bookmarkStart w:id="373" w:name="Tc_33EhdYQCUEandTDcId6c8Q_15_6"/>
      <w:bookmarkStart w:id="374" w:name="Tc_50OF9LYuwkSI_xA9zvxr3Q_15_0"/>
      <w:bookmarkStart w:id="375" w:name="Tc_yE2soGQW1UGrDd_Flr6zGw_14_3"/>
      <w:bookmarkStart w:id="376" w:name="Tc_k2w4Rs9g-0CWUd5O0YYn-Q_14_0"/>
      <w:bookmarkStart w:id="377" w:name="Tc_83svK5o350SBzENsq8lQOQ_13_0"/>
      <w:bookmarkStart w:id="378" w:name="Tc_ke-1E0zZAEaS_srSxV6_Kg_12_6"/>
      <w:bookmarkStart w:id="379" w:name="Tc_NcUlpFWB30qn8EcjWMw2iA_12_0"/>
      <w:bookmarkStart w:id="380" w:name="Tc_cpj7zRTrq0CVLiOk_AK5Wg_11_6"/>
      <w:bookmarkStart w:id="381" w:name="Tc_UpAmxSl7YE-2lzg1XONVFA_11_0"/>
      <w:bookmarkStart w:id="382" w:name="Tc_0vsdjLA3k0-mndnKl-mhTA_10_0"/>
      <w:bookmarkStart w:id="383" w:name="Tc_NAHi4NEtN0CJqv5jRMkz5A_9_0"/>
      <w:bookmarkStart w:id="384" w:name="Tc_1emGxcVnHkauEDzy0zBKrA_8_3"/>
      <w:bookmarkStart w:id="385" w:name="Tc_-K2sFNJWWUSvvp_akepmgg_8_0"/>
      <w:bookmarkStart w:id="386" w:name="Tc_mfaBdtjHS0K6O6c5_kcOWQ_7_0"/>
      <w:bookmarkStart w:id="387" w:name="Tc_hFPl_eL9rU-6uFCl7bCqMw_6_0"/>
      <w:bookmarkStart w:id="388" w:name="Tc_C55Zc5XgXEaOIclxcD6DCA_5_5"/>
      <w:bookmarkStart w:id="389" w:name="Tc_qgMKy-QgDkuHuOp2qyvuwQ_5_2"/>
      <w:bookmarkStart w:id="390" w:name="Tc_jrxAJmuPdU6-Zg2U8w3HlQ_5_0"/>
      <w:bookmarkStart w:id="391" w:name="Tc_SgTpruNfWkS7zXGcXg9t0g_4_0"/>
      <w:bookmarkStart w:id="392" w:name="Tc_tg1svb1JBEqHt7VswYViSA_3_5"/>
      <w:bookmarkStart w:id="393" w:name="Tc_1b3nQdCVl0G4uEgquYbQPA_3_2"/>
      <w:bookmarkStart w:id="394" w:name="Tc_9BjleLk0hkGie9FDmgHrmg_2_5"/>
      <w:bookmarkStart w:id="395" w:name="Tc_XjxDcJA3j0mw8KgCh9hhYA_2_2"/>
      <w:bookmarkStart w:id="396" w:name="Tc_MaroKmiX5kuMPPH0aH-24g_1_2"/>
      <w:bookmarkStart w:id="397" w:name="_4fe5c771_3a1c_4e66_9016_47b74517ad28"/>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p>
    <w:tbl>
      <w:tblPr>
        <w:tblW w:w="9648" w:type="dxa"/>
        <w:jc w:val="left"/>
        <w:tblInd w:w="0" w:type="dxa"/>
        <w:tblLayout w:type="fixed"/>
        <w:tblCellMar>
          <w:top w:w="0" w:type="dxa"/>
          <w:left w:w="0" w:type="dxa"/>
          <w:bottom w:w="0" w:type="dxa"/>
          <w:right w:w="0" w:type="dxa"/>
        </w:tblCellMar>
      </w:tblPr>
      <w:tblGrid>
        <w:gridCol w:w="6751"/>
        <w:gridCol w:w="346"/>
        <w:gridCol w:w="211"/>
        <w:gridCol w:w="796"/>
        <w:gridCol w:w="346"/>
        <w:gridCol w:w="211"/>
        <w:gridCol w:w="796"/>
        <w:gridCol w:w="191"/>
      </w:tblGrid>
      <w:tr>
        <w:trPr/>
        <w:tc>
          <w:tcPr>
            <w:tcW w:w="67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4286885" cy="175260"/>
                      <wp:effectExtent l="0" t="0" r="0" b="0"/>
                      <wp:wrapNone/>
                      <wp:docPr id="29" name="Frame29"/>
                      <a:graphic xmlns:a="http://schemas.openxmlformats.org/drawingml/2006/main">
                        <a:graphicData uri="http://schemas.microsoft.com/office/word/2010/wordprocessingShape">
                          <wps:wsp>
                            <wps:cNvSpPr txBox="1"/>
                            <wps:spPr>
                              <a:xfrm>
                                <a:off x="0" y="0"/>
                                <a:ext cx="42868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219710" cy="175260"/>
                      <wp:effectExtent l="0" t="0" r="0" b="0"/>
                      <wp:wrapNone/>
                      <wp:docPr id="30" name="Frame3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133985" cy="175260"/>
                      <wp:effectExtent l="0" t="0" r="0" b="0"/>
                      <wp:wrapNone/>
                      <wp:docPr id="31" name="Frame3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505460" cy="175260"/>
                      <wp:effectExtent l="0" t="0" r="0" b="0"/>
                      <wp:wrapNone/>
                      <wp:docPr id="32" name="Frame32"/>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219710" cy="175260"/>
                      <wp:effectExtent l="0" t="0" r="0" b="0"/>
                      <wp:wrapNone/>
                      <wp:docPr id="33" name="Frame3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133985" cy="175260"/>
                      <wp:effectExtent l="0" t="0" r="0" b="0"/>
                      <wp:wrapNone/>
                      <wp:docPr id="34" name="Frame3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505460" cy="175260"/>
                      <wp:effectExtent l="0" t="0" r="0" b="0"/>
                      <wp:wrapNone/>
                      <wp:docPr id="35" name="Frame35"/>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121285" cy="175260"/>
                      <wp:effectExtent l="0" t="0" r="0" b="0"/>
                      <wp:wrapNone/>
                      <wp:docPr id="36" name="Frame36"/>
                      <a:graphic xmlns:a="http://schemas.openxmlformats.org/drawingml/2006/main">
                        <a:graphicData uri="http://schemas.microsoft.com/office/word/2010/wordprocessingShape">
                          <wps:wsp>
                            <wps:cNvSpPr txBox="1"/>
                            <wps:spPr>
                              <a:xfrm>
                                <a:off x="0" y="0"/>
                                <a:ext cx="121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67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36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Twenty-Six Weeks Ended</w:t>
            </w:r>
          </w:p>
        </w:tc>
        <w:tc>
          <w:tcPr>
            <w:tcW w:w="191" w:type="dxa"/>
            <w:tcBorders/>
            <w:vAlign w:val="center"/>
          </w:tcPr>
          <w:p>
            <w:pPr>
              <w:pStyle w:val="TableContents"/>
              <w:bidi w:val="0"/>
              <w:spacing w:before="0" w:after="0"/>
              <w:ind w:left="0" w:right="0" w:hanging="0"/>
              <w:jc w:val="center"/>
              <w:rPr/>
            </w:pPr>
            <w:r>
              <w:rPr/>
              <w:t>​</w:t>
            </w:r>
          </w:p>
        </w:tc>
      </w:tr>
      <w:tr>
        <w:trPr/>
        <w:tc>
          <w:tcPr>
            <w:tcW w:w="67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007" w:type="dxa"/>
            <w:gridSpan w:val="2"/>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August 1,</w:t>
            </w:r>
          </w:p>
        </w:tc>
        <w:tc>
          <w:tcPr>
            <w:tcW w:w="346" w:type="dxa"/>
            <w:tcBorders/>
            <w:vAlign w:val="center"/>
          </w:tcPr>
          <w:p>
            <w:pPr>
              <w:pStyle w:val="TableContents"/>
              <w:bidi w:val="0"/>
              <w:spacing w:before="0" w:after="0"/>
              <w:ind w:left="0" w:right="0" w:hanging="0"/>
              <w:jc w:val="center"/>
              <w:rPr/>
            </w:pPr>
            <w:r>
              <w:rPr/>
              <w:t>​</w:t>
            </w:r>
          </w:p>
        </w:tc>
        <w:tc>
          <w:tcPr>
            <w:tcW w:w="1007" w:type="dxa"/>
            <w:gridSpan w:val="2"/>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August 2,</w:t>
            </w:r>
          </w:p>
        </w:tc>
        <w:tc>
          <w:tcPr>
            <w:tcW w:w="191" w:type="dxa"/>
            <w:tcBorders/>
            <w:vAlign w:val="center"/>
          </w:tcPr>
          <w:p>
            <w:pPr>
              <w:pStyle w:val="TableContents"/>
              <w:bidi w:val="0"/>
              <w:spacing w:before="0" w:after="0"/>
              <w:ind w:left="0" w:right="0" w:hanging="0"/>
              <w:jc w:val="center"/>
              <w:rPr/>
            </w:pPr>
            <w:r>
              <w:rPr/>
              <w:t>​</w:t>
            </w:r>
          </w:p>
        </w:tc>
      </w:tr>
      <w:tr>
        <w:trPr/>
        <w:tc>
          <w:tcPr>
            <w:tcW w:w="67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10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2026</w:t>
            </w:r>
          </w:p>
        </w:tc>
        <w:tc>
          <w:tcPr>
            <w:tcW w:w="346" w:type="dxa"/>
            <w:tcBorders/>
            <w:vAlign w:val="center"/>
          </w:tcPr>
          <w:p>
            <w:pPr>
              <w:pStyle w:val="TableContents"/>
              <w:bidi w:val="0"/>
              <w:spacing w:before="0" w:after="0"/>
              <w:ind w:left="0" w:right="0" w:hanging="0"/>
              <w:jc w:val="center"/>
              <w:rPr/>
            </w:pPr>
            <w:r>
              <w:rPr/>
              <w:t>  ​ ​ ​</w:t>
            </w:r>
          </w:p>
        </w:tc>
        <w:tc>
          <w:tcPr>
            <w:tcW w:w="10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2025</w:t>
            </w:r>
          </w:p>
        </w:tc>
        <w:tc>
          <w:tcPr>
            <w:tcW w:w="191" w:type="dxa"/>
            <w:tcBorders/>
            <w:vAlign w:val="center"/>
          </w:tcPr>
          <w:p>
            <w:pPr>
              <w:pStyle w:val="TableContents"/>
              <w:bidi w:val="0"/>
              <w:spacing w:before="0" w:after="0"/>
              <w:ind w:left="0" w:right="0" w:hanging="0"/>
              <w:jc w:val="center"/>
              <w:rPr/>
            </w:pPr>
            <w:r>
              <w:rPr/>
              <w:t> </w:t>
            </w:r>
          </w:p>
        </w:tc>
      </w:tr>
      <w:tr>
        <w:trPr/>
        <w:tc>
          <w:tcPr>
            <w:tcW w:w="6751"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Operating activities: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79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796" w:type="dxa"/>
            <w:tcBorders/>
            <w:shd w:fill="CCEEFF" w:val="clear"/>
            <w:vAlign w:val="center"/>
          </w:tcPr>
          <w:p>
            <w:pPr>
              <w:pStyle w:val="TableContents"/>
              <w:bidi w:val="0"/>
              <w:spacing w:before="0" w:after="0"/>
              <w:ind w:left="0" w:right="0" w:hanging="0"/>
              <w:jc w:val="right"/>
              <w:rPr/>
            </w:pPr>
            <w:r>
              <w:rPr/>
              <w:t>​</w:t>
            </w:r>
          </w:p>
        </w:tc>
        <w:tc>
          <w:tcPr>
            <w:tcW w:w="191" w:type="dxa"/>
            <w:tcBorders/>
            <w:shd w:fill="CCEEFF" w:val="clear"/>
            <w:vAlign w:val="center"/>
          </w:tcPr>
          <w:p>
            <w:pPr>
              <w:pStyle w:val="TableContents"/>
              <w:bidi w:val="0"/>
              <w:spacing w:before="0" w:after="0"/>
              <w:ind w:left="0" w:right="0" w:hanging="0"/>
              <w:jc w:val="right"/>
              <w:rPr/>
            </w:pPr>
            <w:r>
              <w:rPr/>
              <w:t>​</w:t>
            </w:r>
          </w:p>
        </w:tc>
      </w:tr>
      <w:tr>
        <w:trPr/>
        <w:tc>
          <w:tcPr>
            <w:tcW w:w="6751"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Net income (loss)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796"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6,823</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796"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4,689</w:t>
            </w:r>
          </w:p>
        </w:tc>
        <w:tc>
          <w:tcPr>
            <w:tcW w:w="191" w:type="dxa"/>
            <w:tcBorders/>
            <w:vAlign w:val="center"/>
          </w:tcPr>
          <w:p>
            <w:pPr>
              <w:pStyle w:val="TableContents"/>
              <w:bidi w:val="0"/>
              <w:spacing w:before="0" w:after="0"/>
              <w:ind w:left="0" w:right="0" w:hanging="0"/>
              <w:jc w:val="right"/>
              <w:rPr/>
            </w:pPr>
            <w:r>
              <w:rPr/>
              <w:t>​</w:t>
            </w:r>
          </w:p>
        </w:tc>
      </w:tr>
      <w:tr>
        <w:trPr/>
        <w:tc>
          <w:tcPr>
            <w:tcW w:w="6751"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Adjustments to reconcile net income (loss) to net cash used in operating activities: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79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796" w:type="dxa"/>
            <w:tcBorders/>
            <w:shd w:fill="CCEEFF" w:val="clear"/>
            <w:vAlign w:val="center"/>
          </w:tcPr>
          <w:p>
            <w:pPr>
              <w:pStyle w:val="TableContents"/>
              <w:bidi w:val="0"/>
              <w:spacing w:before="0" w:after="0"/>
              <w:ind w:left="0" w:right="0" w:hanging="0"/>
              <w:jc w:val="right"/>
              <w:rPr/>
            </w:pPr>
            <w:r>
              <w:rPr/>
              <w:t>​</w:t>
            </w:r>
          </w:p>
        </w:tc>
        <w:tc>
          <w:tcPr>
            <w:tcW w:w="191" w:type="dxa"/>
            <w:tcBorders/>
            <w:shd w:fill="CCEEFF" w:val="clear"/>
            <w:vAlign w:val="center"/>
          </w:tcPr>
          <w:p>
            <w:pPr>
              <w:pStyle w:val="TableContents"/>
              <w:bidi w:val="0"/>
              <w:spacing w:before="0" w:after="0"/>
              <w:ind w:left="0" w:right="0" w:hanging="0"/>
              <w:jc w:val="right"/>
              <w:rPr/>
            </w:pPr>
            <w:r>
              <w:rPr/>
              <w:t>​</w:t>
            </w:r>
          </w:p>
        </w:tc>
      </w:tr>
      <w:tr>
        <w:trPr/>
        <w:tc>
          <w:tcPr>
            <w:tcW w:w="6751"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Depreciation</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796"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10,554</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796"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8,918</w:t>
            </w:r>
          </w:p>
        </w:tc>
        <w:tc>
          <w:tcPr>
            <w:tcW w:w="191" w:type="dxa"/>
            <w:tcBorders/>
            <w:vAlign w:val="center"/>
          </w:tcPr>
          <w:p>
            <w:pPr>
              <w:pStyle w:val="TableContents"/>
              <w:bidi w:val="0"/>
              <w:spacing w:before="0" w:after="0"/>
              <w:ind w:left="0" w:right="0" w:hanging="0"/>
              <w:jc w:val="right"/>
              <w:rPr/>
            </w:pPr>
            <w:r>
              <w:rPr/>
              <w:t>​</w:t>
            </w:r>
          </w:p>
        </w:tc>
      </w:tr>
      <w:tr>
        <w:trPr/>
        <w:tc>
          <w:tcPr>
            <w:tcW w:w="6751"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Asset impairment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79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796"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327</w:t>
            </w:r>
          </w:p>
        </w:tc>
        <w:tc>
          <w:tcPr>
            <w:tcW w:w="191" w:type="dxa"/>
            <w:tcBorders/>
            <w:shd w:fill="CCEEFF" w:val="clear"/>
            <w:vAlign w:val="center"/>
          </w:tcPr>
          <w:p>
            <w:pPr>
              <w:pStyle w:val="TableContents"/>
              <w:bidi w:val="0"/>
              <w:spacing w:before="0" w:after="0"/>
              <w:ind w:left="0" w:right="0" w:hanging="0"/>
              <w:jc w:val="right"/>
              <w:rPr/>
            </w:pPr>
            <w:r>
              <w:rPr/>
              <w:t>​</w:t>
            </w:r>
          </w:p>
        </w:tc>
      </w:tr>
      <w:tr>
        <w:trPr/>
        <w:tc>
          <w:tcPr>
            <w:tcW w:w="6751"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Non-cash operating lease costs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796"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24,392</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796"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24,340</w:t>
            </w:r>
          </w:p>
        </w:tc>
        <w:tc>
          <w:tcPr>
            <w:tcW w:w="191" w:type="dxa"/>
            <w:tcBorders/>
            <w:vAlign w:val="center"/>
          </w:tcPr>
          <w:p>
            <w:pPr>
              <w:pStyle w:val="TableContents"/>
              <w:bidi w:val="0"/>
              <w:spacing w:before="0" w:after="0"/>
              <w:ind w:left="0" w:right="0" w:hanging="0"/>
              <w:jc w:val="right"/>
              <w:rPr/>
            </w:pPr>
            <w:r>
              <w:rPr/>
              <w:t>​</w:t>
            </w:r>
          </w:p>
        </w:tc>
      </w:tr>
      <w:tr>
        <w:trPr/>
        <w:tc>
          <w:tcPr>
            <w:tcW w:w="6751"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Loss on disposal of property and equipment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796"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35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796"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158</w:t>
            </w:r>
          </w:p>
        </w:tc>
        <w:tc>
          <w:tcPr>
            <w:tcW w:w="191" w:type="dxa"/>
            <w:tcBorders/>
            <w:shd w:fill="CCEEFF" w:val="clear"/>
            <w:vAlign w:val="center"/>
          </w:tcPr>
          <w:p>
            <w:pPr>
              <w:pStyle w:val="TableContents"/>
              <w:bidi w:val="0"/>
              <w:spacing w:before="0" w:after="0"/>
              <w:ind w:left="0" w:right="0" w:hanging="0"/>
              <w:jc w:val="right"/>
              <w:rPr/>
            </w:pPr>
            <w:r>
              <w:rPr/>
              <w:t>​</w:t>
            </w:r>
          </w:p>
        </w:tc>
      </w:tr>
      <w:tr>
        <w:trPr/>
        <w:tc>
          <w:tcPr>
            <w:tcW w:w="6751"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Deferred income taxes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796"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43</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796" w:type="dxa"/>
            <w:tcBorders/>
            <w:vAlign w:val="center"/>
          </w:tcPr>
          <w:p>
            <w:pPr>
              <w:pStyle w:val="TableContents"/>
              <w:bidi w:val="0"/>
              <w:spacing w:before="0" w:after="0"/>
              <w:ind w:left="0" w:right="0" w:hanging="0"/>
              <w:jc w:val="right"/>
              <w:rPr/>
            </w:pPr>
            <w:r>
              <w:rPr/>
              <w:t>—</w:t>
            </w:r>
          </w:p>
        </w:tc>
        <w:tc>
          <w:tcPr>
            <w:tcW w:w="191" w:type="dxa"/>
            <w:tcBorders/>
            <w:vAlign w:val="center"/>
          </w:tcPr>
          <w:p>
            <w:pPr>
              <w:pStyle w:val="TableContents"/>
              <w:bidi w:val="0"/>
              <w:spacing w:before="0" w:after="0"/>
              <w:ind w:left="0" w:right="0" w:hanging="0"/>
              <w:jc w:val="right"/>
              <w:rPr/>
            </w:pPr>
            <w:r>
              <w:rPr/>
              <w:t>​</w:t>
            </w:r>
          </w:p>
        </w:tc>
      </w:tr>
      <w:tr>
        <w:trPr/>
        <w:tc>
          <w:tcPr>
            <w:tcW w:w="6751"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Insurance proceeds related to operating activities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796"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515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796" w:type="dxa"/>
            <w:tcBorders/>
            <w:shd w:fill="CCEEFF" w:val="clear"/>
            <w:vAlign w:val="center"/>
          </w:tcPr>
          <w:p>
            <w:pPr>
              <w:pStyle w:val="TableContents"/>
              <w:bidi w:val="0"/>
              <w:spacing w:before="0" w:after="0"/>
              <w:ind w:left="0" w:right="0" w:hanging="0"/>
              <w:jc w:val="right"/>
              <w:rPr/>
            </w:pPr>
            <w:r>
              <w:rPr/>
              <w:t>—</w:t>
            </w:r>
          </w:p>
        </w:tc>
        <w:tc>
          <w:tcPr>
            <w:tcW w:w="191" w:type="dxa"/>
            <w:tcBorders/>
            <w:shd w:fill="CCEEFF" w:val="clear"/>
            <w:vAlign w:val="center"/>
          </w:tcPr>
          <w:p>
            <w:pPr>
              <w:pStyle w:val="TableContents"/>
              <w:bidi w:val="0"/>
              <w:spacing w:before="0" w:after="0"/>
              <w:ind w:left="0" w:right="0" w:hanging="0"/>
              <w:jc w:val="right"/>
              <w:rPr/>
            </w:pPr>
            <w:r>
              <w:rPr/>
              <w:t>​</w:t>
            </w:r>
          </w:p>
        </w:tc>
      </w:tr>
      <w:tr>
        <w:trPr/>
        <w:tc>
          <w:tcPr>
            <w:tcW w:w="6751"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Non-cash stock-based compensation expense</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796"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2,755</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796"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2,451</w:t>
            </w:r>
          </w:p>
        </w:tc>
        <w:tc>
          <w:tcPr>
            <w:tcW w:w="191" w:type="dxa"/>
            <w:tcBorders/>
            <w:vAlign w:val="center"/>
          </w:tcPr>
          <w:p>
            <w:pPr>
              <w:pStyle w:val="TableContents"/>
              <w:bidi w:val="0"/>
              <w:spacing w:before="0" w:after="0"/>
              <w:ind w:left="0" w:right="0" w:hanging="0"/>
              <w:jc w:val="right"/>
              <w:rPr/>
            </w:pPr>
            <w:r>
              <w:rPr/>
              <w:t>​</w:t>
            </w:r>
          </w:p>
        </w:tc>
      </w:tr>
      <w:tr>
        <w:trPr/>
        <w:tc>
          <w:tcPr>
            <w:tcW w:w="6751"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Gain on sale of building</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79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796"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(10,960)</w:t>
            </w:r>
          </w:p>
        </w:tc>
        <w:tc>
          <w:tcPr>
            <w:tcW w:w="191" w:type="dxa"/>
            <w:tcBorders/>
            <w:shd w:fill="CCEEFF" w:val="clear"/>
            <w:vAlign w:val="center"/>
          </w:tcPr>
          <w:p>
            <w:pPr>
              <w:pStyle w:val="TableContents"/>
              <w:bidi w:val="0"/>
              <w:spacing w:before="0" w:after="0"/>
              <w:ind w:left="0" w:right="0" w:hanging="0"/>
              <w:jc w:val="right"/>
              <w:rPr/>
            </w:pPr>
            <w:r>
              <w:rPr/>
              <w:t>​</w:t>
            </w:r>
          </w:p>
        </w:tc>
      </w:tr>
      <w:tr>
        <w:trPr/>
        <w:tc>
          <w:tcPr>
            <w:tcW w:w="6751"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Gain on insurance related to operating activities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796"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(146)</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796" w:type="dxa"/>
            <w:tcBorders/>
            <w:vAlign w:val="center"/>
          </w:tcPr>
          <w:p>
            <w:pPr>
              <w:pStyle w:val="TableContents"/>
              <w:bidi w:val="0"/>
              <w:spacing w:before="0" w:after="0"/>
              <w:ind w:left="0" w:right="0" w:hanging="0"/>
              <w:jc w:val="right"/>
              <w:rPr/>
            </w:pPr>
            <w:r>
              <w:rPr/>
              <w:t>—</w:t>
            </w:r>
          </w:p>
        </w:tc>
        <w:tc>
          <w:tcPr>
            <w:tcW w:w="191" w:type="dxa"/>
            <w:tcBorders/>
            <w:vAlign w:val="center"/>
          </w:tcPr>
          <w:p>
            <w:pPr>
              <w:pStyle w:val="TableContents"/>
              <w:bidi w:val="0"/>
              <w:spacing w:before="0" w:after="0"/>
              <w:ind w:left="0" w:right="0" w:hanging="0"/>
              <w:jc w:val="right"/>
              <w:rPr/>
            </w:pPr>
            <w:r>
              <w:rPr/>
              <w:t>​</w:t>
            </w:r>
          </w:p>
        </w:tc>
      </w:tr>
      <w:tr>
        <w:trPr/>
        <w:tc>
          <w:tcPr>
            <w:tcW w:w="6751"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Changes in assets and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79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796" w:type="dxa"/>
            <w:tcBorders/>
            <w:shd w:fill="CCEEFF" w:val="clear"/>
            <w:vAlign w:val="center"/>
          </w:tcPr>
          <w:p>
            <w:pPr>
              <w:pStyle w:val="TableContents"/>
              <w:bidi w:val="0"/>
              <w:spacing w:before="0" w:after="0"/>
              <w:ind w:left="0" w:right="0" w:hanging="0"/>
              <w:jc w:val="right"/>
              <w:rPr/>
            </w:pPr>
            <w:r>
              <w:rPr/>
              <w:t>​</w:t>
            </w:r>
          </w:p>
        </w:tc>
        <w:tc>
          <w:tcPr>
            <w:tcW w:w="191" w:type="dxa"/>
            <w:tcBorders/>
            <w:shd w:fill="CCEEFF" w:val="clear"/>
            <w:vAlign w:val="center"/>
          </w:tcPr>
          <w:p>
            <w:pPr>
              <w:pStyle w:val="TableContents"/>
              <w:bidi w:val="0"/>
              <w:spacing w:before="0" w:after="0"/>
              <w:ind w:left="0" w:right="0" w:hanging="0"/>
              <w:jc w:val="right"/>
              <w:rPr/>
            </w:pPr>
            <w:r>
              <w:rPr/>
              <w:t>​</w:t>
            </w:r>
          </w:p>
        </w:tc>
      </w:tr>
      <w:tr>
        <w:trPr/>
        <w:tc>
          <w:tcPr>
            <w:tcW w:w="6751"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Inventory</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796"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(12,870)</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796"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5,074</w:t>
            </w:r>
          </w:p>
        </w:tc>
        <w:tc>
          <w:tcPr>
            <w:tcW w:w="191" w:type="dxa"/>
            <w:tcBorders/>
            <w:vAlign w:val="center"/>
          </w:tcPr>
          <w:p>
            <w:pPr>
              <w:pStyle w:val="TableContents"/>
              <w:bidi w:val="0"/>
              <w:spacing w:before="0" w:after="0"/>
              <w:ind w:left="0" w:right="0" w:hanging="0"/>
              <w:jc w:val="right"/>
              <w:rPr/>
            </w:pPr>
            <w:r>
              <w:rPr/>
              <w:t>​</w:t>
            </w:r>
          </w:p>
        </w:tc>
      </w:tr>
      <w:tr>
        <w:trPr/>
        <w:tc>
          <w:tcPr>
            <w:tcW w:w="6751"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Prepaid and other current assets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796"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(7,913)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796"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(9,419)</w:t>
            </w:r>
          </w:p>
        </w:tc>
        <w:tc>
          <w:tcPr>
            <w:tcW w:w="191" w:type="dxa"/>
            <w:tcBorders/>
            <w:shd w:fill="CCEEFF" w:val="clear"/>
            <w:vAlign w:val="center"/>
          </w:tcPr>
          <w:p>
            <w:pPr>
              <w:pStyle w:val="TableContents"/>
              <w:bidi w:val="0"/>
              <w:spacing w:before="0" w:after="0"/>
              <w:ind w:left="0" w:right="0" w:hanging="0"/>
              <w:jc w:val="right"/>
              <w:rPr/>
            </w:pPr>
            <w:r>
              <w:rPr/>
              <w:t>​</w:t>
            </w:r>
          </w:p>
        </w:tc>
      </w:tr>
      <w:tr>
        <w:trPr/>
        <w:tc>
          <w:tcPr>
            <w:tcW w:w="6751"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Other assets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796"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(210)</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796"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(416)</w:t>
            </w:r>
          </w:p>
        </w:tc>
        <w:tc>
          <w:tcPr>
            <w:tcW w:w="191" w:type="dxa"/>
            <w:tcBorders/>
            <w:vAlign w:val="center"/>
          </w:tcPr>
          <w:p>
            <w:pPr>
              <w:pStyle w:val="TableContents"/>
              <w:bidi w:val="0"/>
              <w:spacing w:before="0" w:after="0"/>
              <w:ind w:left="0" w:right="0" w:hanging="0"/>
              <w:jc w:val="right"/>
              <w:rPr/>
            </w:pPr>
            <w:r>
              <w:rPr/>
              <w:t>​</w:t>
            </w:r>
          </w:p>
        </w:tc>
      </w:tr>
      <w:tr>
        <w:trPr/>
        <w:tc>
          <w:tcPr>
            <w:tcW w:w="6751"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Accounts payable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796"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6,242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796"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(7,125)</w:t>
            </w:r>
          </w:p>
        </w:tc>
        <w:tc>
          <w:tcPr>
            <w:tcW w:w="191" w:type="dxa"/>
            <w:tcBorders/>
            <w:shd w:fill="CCEEFF" w:val="clear"/>
            <w:vAlign w:val="center"/>
          </w:tcPr>
          <w:p>
            <w:pPr>
              <w:pStyle w:val="TableContents"/>
              <w:bidi w:val="0"/>
              <w:spacing w:before="0" w:after="0"/>
              <w:ind w:left="0" w:right="0" w:hanging="0"/>
              <w:jc w:val="right"/>
              <w:rPr/>
            </w:pPr>
            <w:r>
              <w:rPr/>
              <w:t>​</w:t>
            </w:r>
          </w:p>
        </w:tc>
      </w:tr>
      <w:tr>
        <w:trPr/>
        <w:tc>
          <w:tcPr>
            <w:tcW w:w="6751"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Accrued expenses and other long-term liabilities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796"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(21,787)</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796"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(29,602)</w:t>
            </w:r>
          </w:p>
        </w:tc>
        <w:tc>
          <w:tcPr>
            <w:tcW w:w="191" w:type="dxa"/>
            <w:tcBorders/>
            <w:vAlign w:val="center"/>
          </w:tcPr>
          <w:p>
            <w:pPr>
              <w:pStyle w:val="TableContents"/>
              <w:bidi w:val="0"/>
              <w:spacing w:before="0" w:after="0"/>
              <w:ind w:left="0" w:right="0" w:hanging="0"/>
              <w:jc w:val="right"/>
              <w:rPr/>
            </w:pPr>
            <w:r>
              <w:rPr/>
              <w:t>​</w:t>
            </w:r>
          </w:p>
        </w:tc>
      </w:tr>
      <w:tr>
        <w:trPr/>
        <w:tc>
          <w:tcPr>
            <w:tcW w:w="6751"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Accrued compensation</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796"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(2,830)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796"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1,996</w:t>
            </w:r>
          </w:p>
        </w:tc>
        <w:tc>
          <w:tcPr>
            <w:tcW w:w="191" w:type="dxa"/>
            <w:tcBorders/>
            <w:shd w:fill="CCEEFF" w:val="clear"/>
            <w:vAlign w:val="center"/>
          </w:tcPr>
          <w:p>
            <w:pPr>
              <w:pStyle w:val="TableContents"/>
              <w:bidi w:val="0"/>
              <w:spacing w:before="0" w:after="0"/>
              <w:ind w:left="0" w:right="0" w:hanging="0"/>
              <w:jc w:val="right"/>
              <w:rPr/>
            </w:pPr>
            <w:r>
              <w:rPr/>
              <w:t>​</w:t>
            </w:r>
          </w:p>
        </w:tc>
      </w:tr>
      <w:tr>
        <w:trPr/>
        <w:tc>
          <w:tcPr>
            <w:tcW w:w="6751"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Income tax receivable/payable</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796"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(30)</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796"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1,513</w:t>
            </w:r>
          </w:p>
        </w:tc>
        <w:tc>
          <w:tcPr>
            <w:tcW w:w="191" w:type="dxa"/>
            <w:tcBorders/>
            <w:vAlign w:val="center"/>
          </w:tcPr>
          <w:p>
            <w:pPr>
              <w:pStyle w:val="TableContents"/>
              <w:bidi w:val="0"/>
              <w:spacing w:before="0" w:after="0"/>
              <w:ind w:left="0" w:right="0" w:hanging="0"/>
              <w:jc w:val="right"/>
              <w:rPr/>
            </w:pPr>
            <w:r>
              <w:rPr/>
              <w:t>​</w:t>
            </w:r>
          </w:p>
        </w:tc>
      </w:tr>
      <w:tr>
        <w:trPr/>
        <w:tc>
          <w:tcPr>
            <w:tcW w:w="6751"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Layaway deposits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1,127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942</w:t>
            </w:r>
          </w:p>
        </w:tc>
        <w:tc>
          <w:tcPr>
            <w:tcW w:w="191" w:type="dxa"/>
            <w:tcBorders/>
            <w:shd w:fill="CCEEFF" w:val="clear"/>
            <w:vAlign w:val="center"/>
          </w:tcPr>
          <w:p>
            <w:pPr>
              <w:pStyle w:val="TableContents"/>
              <w:bidi w:val="0"/>
              <w:spacing w:before="0" w:after="0"/>
              <w:ind w:left="0" w:right="0" w:hanging="0"/>
              <w:jc w:val="right"/>
              <w:rPr/>
            </w:pPr>
            <w:r>
              <w:rPr/>
              <w:t>​</w:t>
            </w:r>
          </w:p>
        </w:tc>
      </w:tr>
      <w:tr>
        <w:trPr/>
        <w:tc>
          <w:tcPr>
            <w:tcW w:w="6751"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Net cash provided by (used in) operating activities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6,700</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(7,114)</w:t>
            </w:r>
          </w:p>
        </w:tc>
        <w:tc>
          <w:tcPr>
            <w:tcW w:w="191" w:type="dxa"/>
            <w:tcBorders/>
            <w:vAlign w:val="center"/>
          </w:tcPr>
          <w:p>
            <w:pPr>
              <w:pStyle w:val="TableContents"/>
              <w:bidi w:val="0"/>
              <w:spacing w:before="0" w:after="0"/>
              <w:ind w:left="0" w:right="0" w:hanging="0"/>
              <w:jc w:val="right"/>
              <w:rPr/>
            </w:pPr>
            <w:r>
              <w:rPr/>
              <w:t>​</w:t>
            </w:r>
          </w:p>
        </w:tc>
      </w:tr>
      <w:tr>
        <w:trPr/>
        <w:tc>
          <w:tcPr>
            <w:tcW w:w="6751"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Investing activities: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79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796" w:type="dxa"/>
            <w:tcBorders/>
            <w:shd w:fill="CCEEFF" w:val="clear"/>
            <w:vAlign w:val="center"/>
          </w:tcPr>
          <w:p>
            <w:pPr>
              <w:pStyle w:val="TableContents"/>
              <w:bidi w:val="0"/>
              <w:spacing w:before="0" w:after="0"/>
              <w:ind w:left="0" w:right="0" w:hanging="0"/>
              <w:jc w:val="right"/>
              <w:rPr/>
            </w:pPr>
            <w:r>
              <w:rPr/>
              <w:t>​</w:t>
            </w:r>
          </w:p>
        </w:tc>
        <w:tc>
          <w:tcPr>
            <w:tcW w:w="191" w:type="dxa"/>
            <w:tcBorders/>
            <w:shd w:fill="CCEEFF" w:val="clear"/>
            <w:vAlign w:val="center"/>
          </w:tcPr>
          <w:p>
            <w:pPr>
              <w:pStyle w:val="TableContents"/>
              <w:bidi w:val="0"/>
              <w:spacing w:before="0" w:after="0"/>
              <w:ind w:left="0" w:right="0" w:hanging="0"/>
              <w:jc w:val="right"/>
              <w:rPr/>
            </w:pPr>
            <w:r>
              <w:rPr/>
              <w:t>​</w:t>
            </w:r>
          </w:p>
        </w:tc>
      </w:tr>
      <w:tr>
        <w:trPr/>
        <w:tc>
          <w:tcPr>
            <w:tcW w:w="6751"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 xml:space="preserve">Purchases of property and equipment </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796"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(15,647)</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796"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(7,705)</w:t>
            </w:r>
          </w:p>
        </w:tc>
        <w:tc>
          <w:tcPr>
            <w:tcW w:w="191" w:type="dxa"/>
            <w:tcBorders/>
            <w:vAlign w:val="center"/>
          </w:tcPr>
          <w:p>
            <w:pPr>
              <w:pStyle w:val="TableContents"/>
              <w:bidi w:val="0"/>
              <w:spacing w:before="0" w:after="0"/>
              <w:ind w:left="0" w:right="0" w:hanging="0"/>
              <w:jc w:val="right"/>
              <w:rPr/>
            </w:pPr>
            <w:r>
              <w:rPr/>
              <w:t>​</w:t>
            </w:r>
          </w:p>
        </w:tc>
      </w:tr>
      <w:tr>
        <w:trPr/>
        <w:tc>
          <w:tcPr>
            <w:tcW w:w="6751"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Proceeds from sale of building</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11,206</w:t>
            </w:r>
          </w:p>
        </w:tc>
        <w:tc>
          <w:tcPr>
            <w:tcW w:w="191" w:type="dxa"/>
            <w:tcBorders/>
            <w:shd w:fill="CCEEFF" w:val="clear"/>
            <w:vAlign w:val="center"/>
          </w:tcPr>
          <w:p>
            <w:pPr>
              <w:pStyle w:val="TableContents"/>
              <w:bidi w:val="0"/>
              <w:spacing w:before="0" w:after="0"/>
              <w:ind w:left="0" w:right="0" w:hanging="0"/>
              <w:jc w:val="right"/>
              <w:rPr/>
            </w:pPr>
            <w:r>
              <w:rPr/>
              <w:t>​</w:t>
            </w:r>
          </w:p>
        </w:tc>
      </w:tr>
      <w:tr>
        <w:trPr/>
        <w:tc>
          <w:tcPr>
            <w:tcW w:w="6751"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Net cash provided by (used in) investing activities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(15,647)</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3,501</w:t>
            </w:r>
          </w:p>
        </w:tc>
        <w:tc>
          <w:tcPr>
            <w:tcW w:w="191" w:type="dxa"/>
            <w:tcBorders/>
            <w:vAlign w:val="center"/>
          </w:tcPr>
          <w:p>
            <w:pPr>
              <w:pStyle w:val="TableContents"/>
              <w:bidi w:val="0"/>
              <w:spacing w:before="0" w:after="0"/>
              <w:ind w:left="0" w:right="0" w:hanging="0"/>
              <w:jc w:val="right"/>
              <w:rPr/>
            </w:pPr>
            <w:r>
              <w:rPr/>
              <w:t>​</w:t>
            </w:r>
          </w:p>
        </w:tc>
      </w:tr>
      <w:tr>
        <w:trPr/>
        <w:tc>
          <w:tcPr>
            <w:tcW w:w="6751"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Financing activities: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79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796" w:type="dxa"/>
            <w:tcBorders/>
            <w:shd w:fill="CCEEFF" w:val="clear"/>
            <w:vAlign w:val="center"/>
          </w:tcPr>
          <w:p>
            <w:pPr>
              <w:pStyle w:val="TableContents"/>
              <w:bidi w:val="0"/>
              <w:spacing w:before="0" w:after="0"/>
              <w:ind w:left="0" w:right="0" w:hanging="0"/>
              <w:jc w:val="right"/>
              <w:rPr/>
            </w:pPr>
            <w:r>
              <w:rPr/>
              <w:t>​</w:t>
            </w:r>
          </w:p>
        </w:tc>
        <w:tc>
          <w:tcPr>
            <w:tcW w:w="191" w:type="dxa"/>
            <w:tcBorders/>
            <w:shd w:fill="CCEEFF" w:val="clear"/>
            <w:vAlign w:val="center"/>
          </w:tcPr>
          <w:p>
            <w:pPr>
              <w:pStyle w:val="TableContents"/>
              <w:bidi w:val="0"/>
              <w:spacing w:before="0" w:after="0"/>
              <w:ind w:left="0" w:right="0" w:hanging="0"/>
              <w:jc w:val="right"/>
              <w:rPr/>
            </w:pPr>
            <w:r>
              <w:rPr/>
              <w:t>​</w:t>
            </w:r>
          </w:p>
        </w:tc>
      </w:tr>
      <w:tr>
        <w:trPr/>
        <w:tc>
          <w:tcPr>
            <w:tcW w:w="6751"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Cash used to settle withholding taxes on the vesting of restricted stock</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796"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(1,253)</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796"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(760)</w:t>
            </w:r>
          </w:p>
        </w:tc>
        <w:tc>
          <w:tcPr>
            <w:tcW w:w="191" w:type="dxa"/>
            <w:tcBorders/>
            <w:vAlign w:val="center"/>
          </w:tcPr>
          <w:p>
            <w:pPr>
              <w:pStyle w:val="TableContents"/>
              <w:bidi w:val="0"/>
              <w:spacing w:before="0" w:after="0"/>
              <w:ind w:left="0" w:right="0" w:hanging="0"/>
              <w:jc w:val="right"/>
              <w:rPr/>
            </w:pPr>
            <w:r>
              <w:rPr/>
              <w:t>​</w:t>
            </w:r>
          </w:p>
        </w:tc>
      </w:tr>
      <w:tr>
        <w:trPr/>
        <w:tc>
          <w:tcPr>
            <w:tcW w:w="6751"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Repurchases of common stock</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(6,315)</w:t>
            </w:r>
          </w:p>
        </w:tc>
        <w:tc>
          <w:tcPr>
            <w:tcW w:w="191" w:type="dxa"/>
            <w:tcBorders/>
            <w:shd w:fill="CCEEFF" w:val="clear"/>
            <w:vAlign w:val="center"/>
          </w:tcPr>
          <w:p>
            <w:pPr>
              <w:pStyle w:val="TableContents"/>
              <w:bidi w:val="0"/>
              <w:spacing w:before="0" w:after="0"/>
              <w:ind w:left="0" w:right="0" w:hanging="0"/>
              <w:jc w:val="right"/>
              <w:rPr/>
            </w:pPr>
            <w:r>
              <w:rPr/>
              <w:t>​</w:t>
            </w:r>
          </w:p>
        </w:tc>
      </w:tr>
      <w:tr>
        <w:trPr/>
        <w:tc>
          <w:tcPr>
            <w:tcW w:w="6751"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Net cash used in financing activities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(1,253)</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(7,075)</w:t>
            </w:r>
          </w:p>
        </w:tc>
        <w:tc>
          <w:tcPr>
            <w:tcW w:w="191" w:type="dxa"/>
            <w:tcBorders/>
            <w:vAlign w:val="center"/>
          </w:tcPr>
          <w:p>
            <w:pPr>
              <w:pStyle w:val="TableContents"/>
              <w:bidi w:val="0"/>
              <w:spacing w:before="0" w:after="0"/>
              <w:ind w:left="0" w:right="0" w:hanging="0"/>
              <w:jc w:val="right"/>
              <w:rPr/>
            </w:pPr>
            <w:r>
              <w:rPr/>
              <w:t>​</w:t>
            </w:r>
          </w:p>
        </w:tc>
      </w:tr>
      <w:tr>
        <w:trPr/>
        <w:tc>
          <w:tcPr>
            <w:tcW w:w="6751"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Net decrease in cash and cash equivalents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796"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(10,200)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796"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(10,688)</w:t>
            </w:r>
          </w:p>
        </w:tc>
        <w:tc>
          <w:tcPr>
            <w:tcW w:w="191" w:type="dxa"/>
            <w:tcBorders/>
            <w:shd w:fill="CCEEFF" w:val="clear"/>
            <w:vAlign w:val="center"/>
          </w:tcPr>
          <w:p>
            <w:pPr>
              <w:pStyle w:val="TableContents"/>
              <w:bidi w:val="0"/>
              <w:spacing w:before="0" w:after="0"/>
              <w:ind w:left="0" w:right="0" w:hanging="0"/>
              <w:jc w:val="right"/>
              <w:rPr/>
            </w:pPr>
            <w:r>
              <w:rPr/>
              <w:t>​</w:t>
            </w:r>
          </w:p>
        </w:tc>
      </w:tr>
      <w:tr>
        <w:trPr/>
        <w:tc>
          <w:tcPr>
            <w:tcW w:w="6751"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Cash and cash equivalents: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79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796" w:type="dxa"/>
            <w:tcBorders/>
            <w:vAlign w:val="center"/>
          </w:tcPr>
          <w:p>
            <w:pPr>
              <w:pStyle w:val="TableContents"/>
              <w:bidi w:val="0"/>
              <w:spacing w:before="0" w:after="0"/>
              <w:ind w:left="0" w:right="0" w:hanging="0"/>
              <w:jc w:val="right"/>
              <w:rPr/>
            </w:pPr>
            <w:r>
              <w:rPr/>
              <w:t>​</w:t>
            </w:r>
          </w:p>
        </w:tc>
        <w:tc>
          <w:tcPr>
            <w:tcW w:w="191" w:type="dxa"/>
            <w:tcBorders/>
            <w:vAlign w:val="center"/>
          </w:tcPr>
          <w:p>
            <w:pPr>
              <w:pStyle w:val="TableContents"/>
              <w:bidi w:val="0"/>
              <w:spacing w:before="0" w:after="0"/>
              <w:ind w:left="0" w:right="0" w:hanging="0"/>
              <w:jc w:val="right"/>
              <w:rPr/>
            </w:pPr>
            <w:r>
              <w:rPr/>
              <w:t>​</w:t>
            </w:r>
          </w:p>
        </w:tc>
      </w:tr>
      <w:tr>
        <w:trPr/>
        <w:tc>
          <w:tcPr>
            <w:tcW w:w="6751"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Beginning of period</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66,092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61,085</w:t>
            </w:r>
          </w:p>
        </w:tc>
        <w:tc>
          <w:tcPr>
            <w:tcW w:w="191" w:type="dxa"/>
            <w:tcBorders/>
            <w:shd w:fill="CCEEFF" w:val="clear"/>
            <w:vAlign w:val="center"/>
          </w:tcPr>
          <w:p>
            <w:pPr>
              <w:pStyle w:val="TableContents"/>
              <w:bidi w:val="0"/>
              <w:spacing w:before="0" w:after="0"/>
              <w:ind w:left="0" w:right="0" w:hanging="0"/>
              <w:jc w:val="right"/>
              <w:rPr/>
            </w:pPr>
            <w:r>
              <w:rPr/>
              <w:t>​</w:t>
            </w:r>
          </w:p>
        </w:tc>
      </w:tr>
      <w:tr>
        <w:trPr/>
        <w:tc>
          <w:tcPr>
            <w:tcW w:w="6751"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End of period</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796"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55,892</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796"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50,397</w:t>
            </w:r>
          </w:p>
        </w:tc>
        <w:tc>
          <w:tcPr>
            <w:tcW w:w="191" w:type="dxa"/>
            <w:tcBorders/>
            <w:vAlign w:val="center"/>
          </w:tcPr>
          <w:p>
            <w:pPr>
              <w:pStyle w:val="TableContents"/>
              <w:bidi w:val="0"/>
              <w:spacing w:before="0" w:after="0"/>
              <w:ind w:left="0" w:right="0" w:hanging="0"/>
              <w:jc w:val="right"/>
              <w:rPr/>
            </w:pPr>
            <w:r>
              <w:rPr/>
              <w:t>​</w:t>
            </w:r>
          </w:p>
        </w:tc>
      </w:tr>
      <w:tr>
        <w:trPr/>
        <w:tc>
          <w:tcPr>
            <w:tcW w:w="675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79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796" w:type="dxa"/>
            <w:tcBorders/>
            <w:shd w:fill="CCEEFF" w:val="clear"/>
            <w:vAlign w:val="center"/>
          </w:tcPr>
          <w:p>
            <w:pPr>
              <w:pStyle w:val="TableContents"/>
              <w:bidi w:val="0"/>
              <w:spacing w:before="0" w:after="0"/>
              <w:ind w:left="0" w:right="0" w:hanging="0"/>
              <w:jc w:val="right"/>
              <w:rPr/>
            </w:pPr>
            <w:r>
              <w:rPr/>
              <w:t>​</w:t>
            </w:r>
          </w:p>
        </w:tc>
        <w:tc>
          <w:tcPr>
            <w:tcW w:w="191" w:type="dxa"/>
            <w:tcBorders/>
            <w:shd w:fill="CCEEFF" w:val="clear"/>
            <w:vAlign w:val="center"/>
          </w:tcPr>
          <w:p>
            <w:pPr>
              <w:pStyle w:val="TableContents"/>
              <w:bidi w:val="0"/>
              <w:spacing w:before="0" w:after="0"/>
              <w:ind w:left="0" w:right="0" w:hanging="0"/>
              <w:jc w:val="right"/>
              <w:rPr/>
            </w:pPr>
            <w:r>
              <w:rPr/>
              <w:t>​</w:t>
            </w:r>
          </w:p>
        </w:tc>
      </w:tr>
      <w:tr>
        <w:trPr/>
        <w:tc>
          <w:tcPr>
            <w:tcW w:w="6751"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Supplemental disclosures of cash flow information:</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79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796" w:type="dxa"/>
            <w:tcBorders/>
            <w:vAlign w:val="center"/>
          </w:tcPr>
          <w:p>
            <w:pPr>
              <w:pStyle w:val="TableContents"/>
              <w:bidi w:val="0"/>
              <w:spacing w:before="0" w:after="0"/>
              <w:ind w:left="0" w:right="0" w:hanging="0"/>
              <w:jc w:val="right"/>
              <w:rPr/>
            </w:pPr>
            <w:r>
              <w:rPr/>
              <w:t>​</w:t>
            </w:r>
          </w:p>
        </w:tc>
        <w:tc>
          <w:tcPr>
            <w:tcW w:w="191" w:type="dxa"/>
            <w:tcBorders/>
            <w:vAlign w:val="center"/>
          </w:tcPr>
          <w:p>
            <w:pPr>
              <w:pStyle w:val="TableContents"/>
              <w:bidi w:val="0"/>
              <w:spacing w:before="0" w:after="0"/>
              <w:ind w:left="0" w:right="0" w:hanging="0"/>
              <w:jc w:val="right"/>
              <w:rPr/>
            </w:pPr>
            <w:r>
              <w:rPr/>
              <w:t>​</w:t>
            </w:r>
          </w:p>
        </w:tc>
      </w:tr>
      <w:tr>
        <w:trPr/>
        <w:tc>
          <w:tcPr>
            <w:tcW w:w="6751"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Cash paid for interest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7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108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7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98</w:t>
            </w:r>
          </w:p>
        </w:tc>
        <w:tc>
          <w:tcPr>
            <w:tcW w:w="191" w:type="dxa"/>
            <w:tcBorders/>
            <w:shd w:fill="CCEEFF" w:val="clear"/>
            <w:vAlign w:val="center"/>
          </w:tcPr>
          <w:p>
            <w:pPr>
              <w:pStyle w:val="TableContents"/>
              <w:bidi w:val="0"/>
              <w:spacing w:before="0" w:after="0"/>
              <w:ind w:left="0" w:right="0" w:hanging="0"/>
              <w:jc w:val="right"/>
              <w:rPr/>
            </w:pPr>
            <w:r>
              <w:rPr/>
              <w:t>​</w:t>
            </w:r>
          </w:p>
        </w:tc>
      </w:tr>
      <w:tr>
        <w:trPr/>
        <w:tc>
          <w:tcPr>
            <w:tcW w:w="6751"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Cash (refunds) payments of income taxes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796"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(155)</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796"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(1,453)</w:t>
            </w:r>
          </w:p>
        </w:tc>
        <w:tc>
          <w:tcPr>
            <w:tcW w:w="191" w:type="dxa"/>
            <w:tcBorders/>
            <w:vAlign w:val="center"/>
          </w:tcPr>
          <w:p>
            <w:pPr>
              <w:pStyle w:val="TableContents"/>
              <w:bidi w:val="0"/>
              <w:spacing w:before="0" w:after="0"/>
              <w:ind w:left="0" w:right="0" w:hanging="0"/>
              <w:jc w:val="right"/>
              <w:rPr/>
            </w:pPr>
            <w:r>
              <w:rPr/>
              <w:t>​</w:t>
            </w:r>
          </w:p>
        </w:tc>
      </w:tr>
      <w:tr>
        <w:trPr/>
        <w:tc>
          <w:tcPr>
            <w:tcW w:w="6751"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Supplemental disclosures of non-cash investing activities: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79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796" w:type="dxa"/>
            <w:tcBorders/>
            <w:shd w:fill="CCEEFF" w:val="clear"/>
            <w:vAlign w:val="center"/>
          </w:tcPr>
          <w:p>
            <w:pPr>
              <w:pStyle w:val="TableContents"/>
              <w:bidi w:val="0"/>
              <w:spacing w:before="0" w:after="0"/>
              <w:ind w:left="0" w:right="0" w:hanging="0"/>
              <w:jc w:val="right"/>
              <w:rPr/>
            </w:pPr>
            <w:r>
              <w:rPr/>
              <w:t>​</w:t>
            </w:r>
          </w:p>
        </w:tc>
        <w:tc>
          <w:tcPr>
            <w:tcW w:w="191" w:type="dxa"/>
            <w:tcBorders/>
            <w:shd w:fill="CCEEFF" w:val="clear"/>
            <w:vAlign w:val="center"/>
          </w:tcPr>
          <w:p>
            <w:pPr>
              <w:pStyle w:val="TableContents"/>
              <w:bidi w:val="0"/>
              <w:spacing w:before="0" w:after="0"/>
              <w:ind w:left="0" w:right="0" w:hanging="0"/>
              <w:jc w:val="right"/>
              <w:rPr/>
            </w:pPr>
            <w:r>
              <w:rPr/>
              <w:t>​</w:t>
            </w:r>
          </w:p>
        </w:tc>
      </w:tr>
      <w:tr>
        <w:trPr/>
        <w:tc>
          <w:tcPr>
            <w:tcW w:w="6751"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Accrual for purchases of property and equipment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796"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(681)</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796"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1,688</w:t>
            </w:r>
          </w:p>
        </w:tc>
        <w:tc>
          <w:tcPr>
            <w:tcW w:w="191" w:type="dxa"/>
            <w:tcBorders/>
            <w:vAlign w:val="center"/>
          </w:tcPr>
          <w:p>
            <w:pPr>
              <w:pStyle w:val="TableContents"/>
              <w:bidi w:val="0"/>
              <w:spacing w:before="0" w:after="0"/>
              <w:ind w:left="0" w:right="0" w:hanging="0"/>
              <w:jc w:val="righ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Helvetica" w:hAnsi="Helvetica"/>
          <w:sz w:val="18"/>
        </w:rPr>
      </w:pPr>
      <w:r>
        <w:rPr>
          <w:rFonts w:ascii="Helvetica" w:hAnsi="Helvetica"/>
          <w:sz w:val="18"/>
        </w:rPr>
        <w:t>See accompanying notes to the condensed consolidated financial statements (unaudited).</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Helvetica" w:hAnsi="Helvetica"/>
          <w:sz w:val="18"/>
        </w:rPr>
      </w:pPr>
      <w:r>
        <w:rPr>
          <w:rFonts w:ascii="Helvetica" w:hAnsi="Helvetica"/>
          <w:sz w:val="18"/>
        </w:rPr>
        <w:t>6</w:t>
      </w:r>
    </w:p>
    <w:p>
      <w:pPr>
        <w:pStyle w:val="TextBody"/>
        <w:bidi w:val="0"/>
        <w:spacing w:before="0" w:after="6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0"/>
        <w:ind w:left="0" w:right="0" w:hanging="0"/>
        <w:jc w:val="center"/>
        <w:rPr>
          <w:rFonts w:ascii="Helvetica" w:hAnsi="Helvetica"/>
          <w:b/>
          <w:sz w:val="18"/>
        </w:rPr>
      </w:pPr>
      <w:bookmarkStart w:id="398" w:name="_574670b4_29c2_4cfc_a808_de1a9567f5c9"/>
      <w:bookmarkEnd w:id="398"/>
      <w:r>
        <w:rPr>
          <w:rFonts w:ascii="Helvetica" w:hAnsi="Helvetica"/>
          <w:b/>
          <w:sz w:val="18"/>
        </w:rPr>
        <w:t>Citi Trends, Inc.</w:t>
      </w:r>
    </w:p>
    <w:p>
      <w:pPr>
        <w:pStyle w:val="TextBody"/>
        <w:bidi w:val="0"/>
        <w:spacing w:before="0" w:after="0"/>
        <w:ind w:left="0" w:right="0" w:hanging="0"/>
        <w:jc w:val="center"/>
        <w:rPr>
          <w:rFonts w:ascii="Helvetica" w:hAnsi="Helvetica"/>
          <w:b/>
          <w:sz w:val="18"/>
        </w:rPr>
      </w:pPr>
      <w:r>
        <w:rPr>
          <w:rFonts w:ascii="Helvetica" w:hAnsi="Helvetica"/>
          <w:b/>
          <w:sz w:val="18"/>
        </w:rPr>
        <w:t>Condensed Consolidated Statements of Stockholders’ Equity</w:t>
      </w:r>
    </w:p>
    <w:p>
      <w:pPr>
        <w:pStyle w:val="TextBody"/>
        <w:bidi w:val="0"/>
        <w:spacing w:before="0" w:after="0"/>
        <w:ind w:left="0" w:right="0" w:hanging="0"/>
        <w:jc w:val="center"/>
        <w:rPr>
          <w:rFonts w:ascii="Helvetica" w:hAnsi="Helvetica"/>
          <w:b/>
          <w:sz w:val="18"/>
        </w:rPr>
      </w:pPr>
      <w:r>
        <w:rPr>
          <w:rFonts w:ascii="Helvetica" w:hAnsi="Helvetica"/>
          <w:b/>
          <w:sz w:val="18"/>
        </w:rPr>
        <w:t>(Unaudited)</w:t>
      </w:r>
    </w:p>
    <w:p>
      <w:pPr>
        <w:pStyle w:val="TextBody"/>
        <w:bidi w:val="0"/>
        <w:spacing w:before="0" w:after="0"/>
        <w:ind w:left="0" w:right="0" w:hanging="0"/>
        <w:jc w:val="center"/>
        <w:rPr>
          <w:rFonts w:ascii="Helvetica" w:hAnsi="Helvetica"/>
          <w:b/>
          <w:sz w:val="18"/>
        </w:rPr>
      </w:pPr>
      <w:bookmarkStart w:id="399" w:name="StockholdersEquityTable"/>
      <w:bookmarkEnd w:id="399"/>
      <w:r>
        <w:rPr>
          <w:rFonts w:ascii="Helvetica" w:hAnsi="Helvetica"/>
          <w:b/>
          <w:sz w:val="18"/>
        </w:rPr>
        <w:t>(in thousands, except share amounts)</w:t>
      </w:r>
    </w:p>
    <w:p>
      <w:pPr>
        <w:pStyle w:val="TextBody"/>
        <w:bidi w:val="0"/>
        <w:spacing w:before="0" w:after="0"/>
        <w:ind w:left="0" w:right="0" w:hanging="0"/>
        <w:jc w:val="center"/>
        <w:rPr/>
      </w:pPr>
      <w:r>
        <w:rPr/>
        <w:t>​</w:t>
      </w:r>
    </w:p>
    <w:p>
      <w:pPr>
        <w:pStyle w:val="Normal"/>
        <w:bidi w:val="0"/>
        <w:spacing w:before="0" w:after="0"/>
        <w:jc w:val="left"/>
        <w:rPr>
          <w:sz w:val="4"/>
          <w:szCs w:val="4"/>
        </w:rPr>
      </w:pPr>
      <w:r>
        <w:rPr>
          <w:sz w:val="4"/>
          <w:szCs w:val="4"/>
        </w:rPr>
      </w:r>
      <w:bookmarkStart w:id="400" w:name="Tc_k2GPrAOdpEWJm13c1H3NxQ_16_18"/>
      <w:bookmarkStart w:id="401" w:name="Tc_33ZzN9av6kyyudGE9O3MZQ_16_15"/>
      <w:bookmarkStart w:id="402" w:name="Tc_J7RhpNhg10WJOVV2xa_tbg_16_10"/>
      <w:bookmarkStart w:id="403" w:name="Tc_P6yyn9YfU0O1diXwthqbSg_16_7"/>
      <w:bookmarkStart w:id="404" w:name="Tc_TEY_U2nwTkyNA9Cpa_SLHw_16_4"/>
      <w:bookmarkStart w:id="405" w:name="Tc_CA7LYsFF3EmoefXl6DXQSA_16_0"/>
      <w:bookmarkStart w:id="406" w:name="Tc_rmLcIsdKAUK5PRS_2ZUpxg_15_16"/>
      <w:bookmarkStart w:id="407" w:name="Tc_UwYJqei2WEWB10-EdTN7Qw_15_13"/>
      <w:bookmarkStart w:id="408" w:name="Tc_x2-YIFYGjkqENuM9Bn5eog_15_8"/>
      <w:bookmarkStart w:id="409" w:name="Tc_epogHoFBeU-eil3kF0WpXg_15_5"/>
      <w:bookmarkStart w:id="410" w:name="Tc_6ZoPUr02BkaeLOy5pcT3kg_15_2"/>
      <w:bookmarkStart w:id="411" w:name="Tc_YLdpDjs_N0uirEYqCIHtpA_15_0"/>
      <w:bookmarkStart w:id="412" w:name="Tc_6iBBQSx63EehjhK7GTiWeQ_14_16"/>
      <w:bookmarkStart w:id="413" w:name="Tc_hgPFiWRnP0ma01qAsk1Avg_14_13"/>
      <w:bookmarkStart w:id="414" w:name="Tc_MGH_agqFbEizTVMa-lH0Zg_14_11"/>
      <w:bookmarkStart w:id="415" w:name="Tc_Ke5b76jDZUyOpXktUbrMiw_14_5"/>
      <w:bookmarkStart w:id="416" w:name="Tc_M4VucuDj6Eu62U4bcIgwvg_14_0"/>
      <w:bookmarkStart w:id="417" w:name="Tc_U_GeVcQy40aAZSpvGyta-A_13_16"/>
      <w:bookmarkStart w:id="418" w:name="Tc_eHzcjCo3q0uACPdD-Zi1Ew_13_13"/>
      <w:bookmarkStart w:id="419" w:name="Tc_sOgxDaDUx0ymWblMGOXktg_13_11"/>
      <w:bookmarkStart w:id="420" w:name="Tc_48Jj7-JTsU2Di7CSW4_FiQ_13_5"/>
      <w:bookmarkStart w:id="421" w:name="Tc_BXHUV9EJ502Uzvhptwo8tQ_13_2"/>
      <w:bookmarkStart w:id="422" w:name="Tc_yI_qbSmQ4kymAUZh4Dx4rQ_13_0"/>
      <w:bookmarkStart w:id="423" w:name="Tc_KXFu-gVoqk20tsNM3y2H2g_12_19"/>
      <w:bookmarkStart w:id="424" w:name="Tc_ZuVX3C7B30qulQGd2Z83IQ_12_16"/>
      <w:bookmarkStart w:id="425" w:name="Tc_a_Z_LX16YE6TARBLg1QpdA_12_13"/>
      <w:bookmarkStart w:id="426" w:name="Tc_ePipBw9tl0aFMf2_qDyxjA_12_11"/>
      <w:bookmarkStart w:id="427" w:name="Tc_ZTaGTrABmUOv8mk8PZo6Bg_12_8"/>
      <w:bookmarkStart w:id="428" w:name="Tc_qQMO4dnsYEevVxZER-Ks4Q_12_5"/>
      <w:bookmarkStart w:id="429" w:name="Tc_u33IXljO8kuTwuKVAnMgwA_12_0"/>
      <w:bookmarkStart w:id="430" w:name="Tc_LcuUMUkfE0-WNYuauLEvXQ_11_19"/>
      <w:bookmarkStart w:id="431" w:name="Tc_0IQJnqKNgECmt-7l31wQ2Q_11_16"/>
      <w:bookmarkStart w:id="432" w:name="Tc_wYFnCzUEBUGK3OGrNXpCFg_11_13"/>
      <w:bookmarkStart w:id="433" w:name="Tc_J3BaJ2u6yEeCvOI4VGqKgA_11_11"/>
      <w:bookmarkStart w:id="434" w:name="Tc_swNj-L-CI0-GyggbOZTcKw_11_8"/>
      <w:bookmarkStart w:id="435" w:name="Tc_yrxjPlc9MEyuJ99J6GukIQ_11_5"/>
      <w:bookmarkStart w:id="436" w:name="Tc_dCAgLuL1IkWxTJeY93DAng_11_0"/>
      <w:bookmarkStart w:id="437" w:name="Tc_w92ekGNypkiY0TIft1GGjA_10_16"/>
      <w:bookmarkStart w:id="438" w:name="Tc_NWKGPPX4j0eBmlIqjmFm2A_10_13"/>
      <w:bookmarkStart w:id="439" w:name="Tc_Esnh9bl470qy2m2KNRek4Q_10_11"/>
      <w:bookmarkStart w:id="440" w:name="Tc_NHcIyRO6REONalP7Nunkjw_10_8"/>
      <w:bookmarkStart w:id="441" w:name="Tc_I9R3t7YBbk6rZgQ9Ae6JvA_10_2"/>
      <w:bookmarkStart w:id="442" w:name="Tc_9fImBfp77k62OnTJ366IYg_10_0"/>
      <w:bookmarkStart w:id="443" w:name="Tc_fTZMvUu0hkuOQz551i6Hhw_9_18"/>
      <w:bookmarkStart w:id="444" w:name="Tc_U73OzVdL40q0BV9pQUANSQ_9_15"/>
      <w:bookmarkStart w:id="445" w:name="Tc_arRLTz5yzUegUaK2HcAEQA_9_10"/>
      <w:bookmarkStart w:id="446" w:name="Tc_WlEkV1vS-UGmMfbgvnLxCg_9_7"/>
      <w:bookmarkStart w:id="447" w:name="Tc_E7asri9-ukC5sisO-D5RJg_9_4"/>
      <w:bookmarkStart w:id="448" w:name="Tc_2Iw_PUxw9kaQtRfs7dLpSQ_9_0"/>
      <w:bookmarkStart w:id="449" w:name="Tc_EBn6i_5AiEWyXnk4rPyihQ_8_16"/>
      <w:bookmarkStart w:id="450" w:name="Tc_e-u7N5QwHE6jngu0FKZpdA_8_13"/>
      <w:bookmarkStart w:id="451" w:name="Tc_PvK0lqIhJ0OZz_T9KLTfzg_8_8"/>
      <w:bookmarkStart w:id="452" w:name="Tc_RzIGtu8rDkuRXHyOlpH7kg_8_5"/>
      <w:bookmarkStart w:id="453" w:name="Tc_wsKhGgOUy0WsIZSVst4V5A_8_2"/>
      <w:bookmarkStart w:id="454" w:name="Tc_r4qa1UtjDEa5-ZEi2CORZQ_8_0"/>
      <w:bookmarkStart w:id="455" w:name="Tc_BRIcPniKF0in6WLYEnTFfQ_7_16"/>
      <w:bookmarkStart w:id="456" w:name="Tc_yWvbZBc7C0m2xEWypPZxVg_7_13"/>
      <w:bookmarkStart w:id="457" w:name="Tc_LaioZvAkb0e1dusrlCZs-Q_7_11"/>
      <w:bookmarkStart w:id="458" w:name="Tc_DhTUw438rkyMdTezv5O9Uw_7_5"/>
      <w:bookmarkStart w:id="459" w:name="Tc_d7qTWfsEKkG6qSOXVTaySQ_7_0"/>
      <w:bookmarkStart w:id="460" w:name="Tc_WUli1QGS1kK3QWg1XERthw_6_16"/>
      <w:bookmarkStart w:id="461" w:name="Tc_9nX4NvNQF0q-AWaAMuD2Og_6_13"/>
      <w:bookmarkStart w:id="462" w:name="Tc_wdoUwT6-nE-opXFKkJ8EQQ_6_11"/>
      <w:bookmarkStart w:id="463" w:name="Tc_VFfHGLUNyUOUPwKFFfGL6Q_6_5"/>
      <w:bookmarkStart w:id="464" w:name="Tc_z8x7JJgGnUGz8ICvtXOnkw_6_2"/>
      <w:bookmarkStart w:id="465" w:name="Tc_FaHFEztBvUiSabCCvlBAVw_6_0"/>
      <w:bookmarkStart w:id="466" w:name="Tc_enFalqamjkiuB7tjnWxyMw_5_19"/>
      <w:bookmarkStart w:id="467" w:name="Tc_s5kuBEsP8kOFLrNejyqUpQ_5_16"/>
      <w:bookmarkStart w:id="468" w:name="Tc_iHsbJdOh4kur559SwrmAVg_5_13"/>
      <w:bookmarkStart w:id="469" w:name="Tc_qgmTTD2bGUyS-eTgOXLZEw_5_11"/>
      <w:bookmarkStart w:id="470" w:name="Tc_Kv0JUjFUYU2NqBZaF2qnNA_5_8"/>
      <w:bookmarkStart w:id="471" w:name="Tc_7H8DuHX2_U-FroEW148hTA_5_5"/>
      <w:bookmarkStart w:id="472" w:name="Tc_KI0PKrYaaU-ZCqLMMO0TMw_5_0"/>
      <w:bookmarkStart w:id="473" w:name="Tc_BnWqiGkJqU-L8G2r0LJy1g_4_19"/>
      <w:bookmarkStart w:id="474" w:name="Tc_dgWWLpeymkSgzJGCyna9nw_4_16"/>
      <w:bookmarkStart w:id="475" w:name="Tc_PgiXY6sTekiSRiNhS8goBg_4_13"/>
      <w:bookmarkStart w:id="476" w:name="Tc_tfVLVRHt_U2rxGmeNcVycw_4_11"/>
      <w:bookmarkStart w:id="477" w:name="Tc_ZMNv8PPezEuzRz3cstXoCg_4_8"/>
      <w:bookmarkStart w:id="478" w:name="Tc_iDulK8hg7k2Uoa1F1XuX6w_4_5"/>
      <w:bookmarkStart w:id="479" w:name="Tc_Znu7q9ycekin0d4dXg3bkQ_4_0"/>
      <w:bookmarkStart w:id="480" w:name="Tc_aSKL3PG3c0uzBhilWUJLuw_3_18"/>
      <w:bookmarkStart w:id="481" w:name="Tc_UuD3015850yJhzHOjAsd1g_3_15"/>
      <w:bookmarkStart w:id="482" w:name="Tc_X__DQ55roUm5vpRMJw8GRQ_3_10"/>
      <w:bookmarkStart w:id="483" w:name="Tc_IdvDqAsdLUeWWnjB0-Fj5g_3_7"/>
      <w:bookmarkStart w:id="484" w:name="Tc_hrXDGQEbwk2aIrcLQXH2gQ_3_4"/>
      <w:bookmarkStart w:id="485" w:name="Tc_cG4e7PIpGUuw_3HlWEvbBw_3_0"/>
      <w:bookmarkStart w:id="486" w:name="Tc_O-RxUHma9U2DAwrshuHplw_2_18"/>
      <w:bookmarkStart w:id="487" w:name="Tc_9QLPDZqR7E65_dN5oKwWEQ_2_15"/>
      <w:bookmarkStart w:id="488" w:name="Tc_npC408G5m0eb6zFTRMfeyw_2_13"/>
      <w:bookmarkStart w:id="489" w:name="Tc_dfYLvPw_fU6vfpTOQDYF5w_2_10"/>
      <w:bookmarkStart w:id="490" w:name="Tc_5rT67CgYskm2Ua_U1_X7gw_2_7"/>
      <w:bookmarkStart w:id="491" w:name="Tc_KqNclg2VsU2cEdKx0Ofwng_2_4"/>
      <w:bookmarkStart w:id="492" w:name="Tc_kaOTjOvoGkKqn_2MzpbTpQ_2_2"/>
      <w:bookmarkStart w:id="493" w:name="Tc_SPRIyKgBuUuyPq8Tift8oA_1_13"/>
      <w:bookmarkStart w:id="494" w:name="Tc_Fvuj6o67a0Ov2soJF7Emrw_1_10"/>
      <w:bookmarkStart w:id="495" w:name="Tc_EEimn95PBEu9RXxTGirNgw_1_7"/>
      <w:bookmarkStart w:id="496" w:name="Tc_P8g3dJWD5E6xyuQXxXLArQ_1_2"/>
      <w:bookmarkStart w:id="497" w:name="_23726156_40a8_46b0_a0d6_37bdfb31d224"/>
      <w:bookmarkStart w:id="498" w:name="Tc_k2GPrAOdpEWJm13c1H3NxQ_16_18"/>
      <w:bookmarkStart w:id="499" w:name="Tc_33ZzN9av6kyyudGE9O3MZQ_16_15"/>
      <w:bookmarkStart w:id="500" w:name="Tc_J7RhpNhg10WJOVV2xa_tbg_16_10"/>
      <w:bookmarkStart w:id="501" w:name="Tc_P6yyn9YfU0O1diXwthqbSg_16_7"/>
      <w:bookmarkStart w:id="502" w:name="Tc_TEY_U2nwTkyNA9Cpa_SLHw_16_4"/>
      <w:bookmarkStart w:id="503" w:name="Tc_CA7LYsFF3EmoefXl6DXQSA_16_0"/>
      <w:bookmarkStart w:id="504" w:name="Tc_rmLcIsdKAUK5PRS_2ZUpxg_15_16"/>
      <w:bookmarkStart w:id="505" w:name="Tc_UwYJqei2WEWB10-EdTN7Qw_15_13"/>
      <w:bookmarkStart w:id="506" w:name="Tc_x2-YIFYGjkqENuM9Bn5eog_15_8"/>
      <w:bookmarkStart w:id="507" w:name="Tc_epogHoFBeU-eil3kF0WpXg_15_5"/>
      <w:bookmarkStart w:id="508" w:name="Tc_6ZoPUr02BkaeLOy5pcT3kg_15_2"/>
      <w:bookmarkStart w:id="509" w:name="Tc_YLdpDjs_N0uirEYqCIHtpA_15_0"/>
      <w:bookmarkStart w:id="510" w:name="Tc_6iBBQSx63EehjhK7GTiWeQ_14_16"/>
      <w:bookmarkStart w:id="511" w:name="Tc_hgPFiWRnP0ma01qAsk1Avg_14_13"/>
      <w:bookmarkStart w:id="512" w:name="Tc_MGH_agqFbEizTVMa-lH0Zg_14_11"/>
      <w:bookmarkStart w:id="513" w:name="Tc_Ke5b76jDZUyOpXktUbrMiw_14_5"/>
      <w:bookmarkStart w:id="514" w:name="Tc_M4VucuDj6Eu62U4bcIgwvg_14_0"/>
      <w:bookmarkStart w:id="515" w:name="Tc_U_GeVcQy40aAZSpvGyta-A_13_16"/>
      <w:bookmarkStart w:id="516" w:name="Tc_eHzcjCo3q0uACPdD-Zi1Ew_13_13"/>
      <w:bookmarkStart w:id="517" w:name="Tc_sOgxDaDUx0ymWblMGOXktg_13_11"/>
      <w:bookmarkStart w:id="518" w:name="Tc_48Jj7-JTsU2Di7CSW4_FiQ_13_5"/>
      <w:bookmarkStart w:id="519" w:name="Tc_BXHUV9EJ502Uzvhptwo8tQ_13_2"/>
      <w:bookmarkStart w:id="520" w:name="Tc_yI_qbSmQ4kymAUZh4Dx4rQ_13_0"/>
      <w:bookmarkStart w:id="521" w:name="Tc_KXFu-gVoqk20tsNM3y2H2g_12_19"/>
      <w:bookmarkStart w:id="522" w:name="Tc_ZuVX3C7B30qulQGd2Z83IQ_12_16"/>
      <w:bookmarkStart w:id="523" w:name="Tc_a_Z_LX16YE6TARBLg1QpdA_12_13"/>
      <w:bookmarkStart w:id="524" w:name="Tc_ePipBw9tl0aFMf2_qDyxjA_12_11"/>
      <w:bookmarkStart w:id="525" w:name="Tc_ZTaGTrABmUOv8mk8PZo6Bg_12_8"/>
      <w:bookmarkStart w:id="526" w:name="Tc_qQMO4dnsYEevVxZER-Ks4Q_12_5"/>
      <w:bookmarkStart w:id="527" w:name="Tc_u33IXljO8kuTwuKVAnMgwA_12_0"/>
      <w:bookmarkStart w:id="528" w:name="Tc_LcuUMUkfE0-WNYuauLEvXQ_11_19"/>
      <w:bookmarkStart w:id="529" w:name="Tc_0IQJnqKNgECmt-7l31wQ2Q_11_16"/>
      <w:bookmarkStart w:id="530" w:name="Tc_wYFnCzUEBUGK3OGrNXpCFg_11_13"/>
      <w:bookmarkStart w:id="531" w:name="Tc_J3BaJ2u6yEeCvOI4VGqKgA_11_11"/>
      <w:bookmarkStart w:id="532" w:name="Tc_swNj-L-CI0-GyggbOZTcKw_11_8"/>
      <w:bookmarkStart w:id="533" w:name="Tc_yrxjPlc9MEyuJ99J6GukIQ_11_5"/>
      <w:bookmarkStart w:id="534" w:name="Tc_dCAgLuL1IkWxTJeY93DAng_11_0"/>
      <w:bookmarkStart w:id="535" w:name="Tc_w92ekGNypkiY0TIft1GGjA_10_16"/>
      <w:bookmarkStart w:id="536" w:name="Tc_NWKGPPX4j0eBmlIqjmFm2A_10_13"/>
      <w:bookmarkStart w:id="537" w:name="Tc_Esnh9bl470qy2m2KNRek4Q_10_11"/>
      <w:bookmarkStart w:id="538" w:name="Tc_NHcIyRO6REONalP7Nunkjw_10_8"/>
      <w:bookmarkStart w:id="539" w:name="Tc_I9R3t7YBbk6rZgQ9Ae6JvA_10_2"/>
      <w:bookmarkStart w:id="540" w:name="Tc_9fImBfp77k62OnTJ366IYg_10_0"/>
      <w:bookmarkStart w:id="541" w:name="Tc_fTZMvUu0hkuOQz551i6Hhw_9_18"/>
      <w:bookmarkStart w:id="542" w:name="Tc_U73OzVdL40q0BV9pQUANSQ_9_15"/>
      <w:bookmarkStart w:id="543" w:name="Tc_arRLTz5yzUegUaK2HcAEQA_9_10"/>
      <w:bookmarkStart w:id="544" w:name="Tc_WlEkV1vS-UGmMfbgvnLxCg_9_7"/>
      <w:bookmarkStart w:id="545" w:name="Tc_E7asri9-ukC5sisO-D5RJg_9_4"/>
      <w:bookmarkStart w:id="546" w:name="Tc_2Iw_PUxw9kaQtRfs7dLpSQ_9_0"/>
      <w:bookmarkStart w:id="547" w:name="Tc_EBn6i_5AiEWyXnk4rPyihQ_8_16"/>
      <w:bookmarkStart w:id="548" w:name="Tc_e-u7N5QwHE6jngu0FKZpdA_8_13"/>
      <w:bookmarkStart w:id="549" w:name="Tc_PvK0lqIhJ0OZz_T9KLTfzg_8_8"/>
      <w:bookmarkStart w:id="550" w:name="Tc_RzIGtu8rDkuRXHyOlpH7kg_8_5"/>
      <w:bookmarkStart w:id="551" w:name="Tc_wsKhGgOUy0WsIZSVst4V5A_8_2"/>
      <w:bookmarkStart w:id="552" w:name="Tc_r4qa1UtjDEa5-ZEi2CORZQ_8_0"/>
      <w:bookmarkStart w:id="553" w:name="Tc_BRIcPniKF0in6WLYEnTFfQ_7_16"/>
      <w:bookmarkStart w:id="554" w:name="Tc_yWvbZBc7C0m2xEWypPZxVg_7_13"/>
      <w:bookmarkStart w:id="555" w:name="Tc_LaioZvAkb0e1dusrlCZs-Q_7_11"/>
      <w:bookmarkStart w:id="556" w:name="Tc_DhTUw438rkyMdTezv5O9Uw_7_5"/>
      <w:bookmarkStart w:id="557" w:name="Tc_d7qTWfsEKkG6qSOXVTaySQ_7_0"/>
      <w:bookmarkStart w:id="558" w:name="Tc_WUli1QGS1kK3QWg1XERthw_6_16"/>
      <w:bookmarkStart w:id="559" w:name="Tc_9nX4NvNQF0q-AWaAMuD2Og_6_13"/>
      <w:bookmarkStart w:id="560" w:name="Tc_wdoUwT6-nE-opXFKkJ8EQQ_6_11"/>
      <w:bookmarkStart w:id="561" w:name="Tc_VFfHGLUNyUOUPwKFFfGL6Q_6_5"/>
      <w:bookmarkStart w:id="562" w:name="Tc_z8x7JJgGnUGz8ICvtXOnkw_6_2"/>
      <w:bookmarkStart w:id="563" w:name="Tc_FaHFEztBvUiSabCCvlBAVw_6_0"/>
      <w:bookmarkStart w:id="564" w:name="Tc_enFalqamjkiuB7tjnWxyMw_5_19"/>
      <w:bookmarkStart w:id="565" w:name="Tc_s5kuBEsP8kOFLrNejyqUpQ_5_16"/>
      <w:bookmarkStart w:id="566" w:name="Tc_iHsbJdOh4kur559SwrmAVg_5_13"/>
      <w:bookmarkStart w:id="567" w:name="Tc_qgmTTD2bGUyS-eTgOXLZEw_5_11"/>
      <w:bookmarkStart w:id="568" w:name="Tc_Kv0JUjFUYU2NqBZaF2qnNA_5_8"/>
      <w:bookmarkStart w:id="569" w:name="Tc_7H8DuHX2_U-FroEW148hTA_5_5"/>
      <w:bookmarkStart w:id="570" w:name="Tc_KI0PKrYaaU-ZCqLMMO0TMw_5_0"/>
      <w:bookmarkStart w:id="571" w:name="Tc_BnWqiGkJqU-L8G2r0LJy1g_4_19"/>
      <w:bookmarkStart w:id="572" w:name="Tc_dgWWLpeymkSgzJGCyna9nw_4_16"/>
      <w:bookmarkStart w:id="573" w:name="Tc_PgiXY6sTekiSRiNhS8goBg_4_13"/>
      <w:bookmarkStart w:id="574" w:name="Tc_tfVLVRHt_U2rxGmeNcVycw_4_11"/>
      <w:bookmarkStart w:id="575" w:name="Tc_ZMNv8PPezEuzRz3cstXoCg_4_8"/>
      <w:bookmarkStart w:id="576" w:name="Tc_iDulK8hg7k2Uoa1F1XuX6w_4_5"/>
      <w:bookmarkStart w:id="577" w:name="Tc_Znu7q9ycekin0d4dXg3bkQ_4_0"/>
      <w:bookmarkStart w:id="578" w:name="Tc_aSKL3PG3c0uzBhilWUJLuw_3_18"/>
      <w:bookmarkStart w:id="579" w:name="Tc_UuD3015850yJhzHOjAsd1g_3_15"/>
      <w:bookmarkStart w:id="580" w:name="Tc_X__DQ55roUm5vpRMJw8GRQ_3_10"/>
      <w:bookmarkStart w:id="581" w:name="Tc_IdvDqAsdLUeWWnjB0-Fj5g_3_7"/>
      <w:bookmarkStart w:id="582" w:name="Tc_hrXDGQEbwk2aIrcLQXH2gQ_3_4"/>
      <w:bookmarkStart w:id="583" w:name="Tc_cG4e7PIpGUuw_3HlWEvbBw_3_0"/>
      <w:bookmarkStart w:id="584" w:name="Tc_O-RxUHma9U2DAwrshuHplw_2_18"/>
      <w:bookmarkStart w:id="585" w:name="Tc_9QLPDZqR7E65_dN5oKwWEQ_2_15"/>
      <w:bookmarkStart w:id="586" w:name="Tc_npC408G5m0eb6zFTRMfeyw_2_13"/>
      <w:bookmarkStart w:id="587" w:name="Tc_dfYLvPw_fU6vfpTOQDYF5w_2_10"/>
      <w:bookmarkStart w:id="588" w:name="Tc_5rT67CgYskm2Ua_U1_X7gw_2_7"/>
      <w:bookmarkStart w:id="589" w:name="Tc_KqNclg2VsU2cEdKx0Ofwng_2_4"/>
      <w:bookmarkStart w:id="590" w:name="Tc_kaOTjOvoGkKqn_2MzpbTpQ_2_2"/>
      <w:bookmarkStart w:id="591" w:name="Tc_SPRIyKgBuUuyPq8Tift8oA_1_13"/>
      <w:bookmarkStart w:id="592" w:name="Tc_Fvuj6o67a0Ov2soJF7Emrw_1_10"/>
      <w:bookmarkStart w:id="593" w:name="Tc_EEimn95PBEu9RXxTGirNgw_1_7"/>
      <w:bookmarkStart w:id="594" w:name="Tc_P8g3dJWD5E6xyuQXxXLArQ_1_2"/>
      <w:bookmarkStart w:id="595" w:name="_23726156_40a8_46b0_a0d6_37bdfb31d224"/>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p>
    <w:tbl>
      <w:tblPr>
        <w:tblW w:w="10205" w:type="dxa"/>
        <w:jc w:val="left"/>
        <w:tblInd w:w="0" w:type="dxa"/>
        <w:tblLayout w:type="fixed"/>
        <w:tblCellMar>
          <w:top w:w="0" w:type="dxa"/>
          <w:left w:w="0" w:type="dxa"/>
          <w:bottom w:w="0" w:type="dxa"/>
          <w:right w:w="0" w:type="dxa"/>
        </w:tblCellMar>
      </w:tblPr>
      <w:tblGrid>
        <w:gridCol w:w="2497"/>
        <w:gridCol w:w="146"/>
        <w:gridCol w:w="1036"/>
        <w:gridCol w:w="109"/>
        <w:gridCol w:w="250"/>
        <w:gridCol w:w="501"/>
        <w:gridCol w:w="109"/>
        <w:gridCol w:w="211"/>
        <w:gridCol w:w="781"/>
        <w:gridCol w:w="109"/>
        <w:gridCol w:w="211"/>
        <w:gridCol w:w="781"/>
        <w:gridCol w:w="146"/>
        <w:gridCol w:w="931"/>
        <w:gridCol w:w="109"/>
        <w:gridCol w:w="211"/>
        <w:gridCol w:w="860"/>
        <w:gridCol w:w="109"/>
        <w:gridCol w:w="211"/>
        <w:gridCol w:w="887"/>
      </w:tblGrid>
      <w:tr>
        <w:trPr/>
        <w:tc>
          <w:tcPr>
            <w:tcW w:w="2497"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92710" cy="175260"/>
                      <wp:effectExtent l="0" t="0" r="0" b="0"/>
                      <wp:wrapNone/>
                      <wp:docPr id="37" name="Frame37"/>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57860" cy="175260"/>
                      <wp:effectExtent l="0" t="0" r="0" b="0"/>
                      <wp:wrapNone/>
                      <wp:docPr id="38" name="Frame38"/>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9215" cy="175260"/>
                      <wp:effectExtent l="0" t="0" r="0" b="0"/>
                      <wp:wrapNone/>
                      <wp:docPr id="39" name="Frame3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158750" cy="175260"/>
                      <wp:effectExtent l="0" t="0" r="0" b="0"/>
                      <wp:wrapNone/>
                      <wp:docPr id="40" name="Frame40"/>
                      <a:graphic xmlns:a="http://schemas.openxmlformats.org/drawingml/2006/main">
                        <a:graphicData uri="http://schemas.microsoft.com/office/word/2010/wordprocessingShape">
                          <wps:wsp>
                            <wps:cNvSpPr txBox="1"/>
                            <wps:spPr>
                              <a:xfrm>
                                <a:off x="0" y="0"/>
                                <a:ext cx="1587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318135" cy="175260"/>
                      <wp:effectExtent l="0" t="0" r="0" b="0"/>
                      <wp:wrapNone/>
                      <wp:docPr id="41" name="Frame41"/>
                      <a:graphic xmlns:a="http://schemas.openxmlformats.org/drawingml/2006/main">
                        <a:graphicData uri="http://schemas.microsoft.com/office/word/2010/wordprocessingShape">
                          <wps:wsp>
                            <wps:cNvSpPr txBox="1"/>
                            <wps:spPr>
                              <a:xfrm>
                                <a:off x="0" y="0"/>
                                <a:ext cx="318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9215" cy="175260"/>
                      <wp:effectExtent l="0" t="0" r="0" b="0"/>
                      <wp:wrapNone/>
                      <wp:docPr id="42" name="Frame4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133985" cy="175260"/>
                      <wp:effectExtent l="0" t="0" r="0" b="0"/>
                      <wp:wrapNone/>
                      <wp:docPr id="43" name="Frame4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495935" cy="175260"/>
                      <wp:effectExtent l="0" t="0" r="0" b="0"/>
                      <wp:wrapNone/>
                      <wp:docPr id="44" name="Frame44"/>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9215" cy="175260"/>
                      <wp:effectExtent l="0" t="0" r="0" b="0"/>
                      <wp:wrapNone/>
                      <wp:docPr id="45" name="Frame4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133985" cy="175260"/>
                      <wp:effectExtent l="0" t="0" r="0" b="0"/>
                      <wp:wrapNone/>
                      <wp:docPr id="46" name="Frame4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495935" cy="175260"/>
                      <wp:effectExtent l="0" t="0" r="0" b="0"/>
                      <wp:wrapNone/>
                      <wp:docPr id="47" name="Frame47"/>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92710" cy="175260"/>
                      <wp:effectExtent l="0" t="0" r="0" b="0"/>
                      <wp:wrapNone/>
                      <wp:docPr id="48" name="Frame48"/>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591185" cy="175260"/>
                      <wp:effectExtent l="0" t="0" r="0" b="0"/>
                      <wp:wrapNone/>
                      <wp:docPr id="49" name="Frame49"/>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9215" cy="175260"/>
                      <wp:effectExtent l="0" t="0" r="0" b="0"/>
                      <wp:wrapNone/>
                      <wp:docPr id="50" name="Frame5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133985" cy="175260"/>
                      <wp:effectExtent l="0" t="0" r="0" b="0"/>
                      <wp:wrapNone/>
                      <wp:docPr id="51" name="Frame5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6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546100" cy="175260"/>
                      <wp:effectExtent l="0" t="0" r="0" b="0"/>
                      <wp:wrapNone/>
                      <wp:docPr id="52" name="Frame52"/>
                      <a:graphic xmlns:a="http://schemas.openxmlformats.org/drawingml/2006/main">
                        <a:graphicData uri="http://schemas.microsoft.com/office/word/2010/wordprocessingShape">
                          <wps:wsp>
                            <wps:cNvSpPr txBox="1"/>
                            <wps:spPr>
                              <a:xfrm>
                                <a:off x="0" y="0"/>
                                <a:ext cx="5461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9215" cy="175260"/>
                      <wp:effectExtent l="0" t="0" r="0" b="0"/>
                      <wp:wrapNone/>
                      <wp:docPr id="53" name="Frame5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133985" cy="175260"/>
                      <wp:effectExtent l="0" t="0" r="0" b="0"/>
                      <wp:wrapNone/>
                      <wp:docPr id="54" name="Frame5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563245" cy="175260"/>
                      <wp:effectExtent l="0" t="0" r="0" b="0"/>
                      <wp:wrapNone/>
                      <wp:docPr id="55" name="Frame55"/>
                      <a:graphic xmlns:a="http://schemas.openxmlformats.org/drawingml/2006/main">
                        <a:graphicData uri="http://schemas.microsoft.com/office/word/2010/wordprocessingShape">
                          <wps:wsp>
                            <wps:cNvSpPr txBox="1"/>
                            <wps:spPr>
                              <a:xfrm>
                                <a:off x="0" y="0"/>
                                <a:ext cx="5632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497"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1896"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Common Stock</w:t>
            </w:r>
          </w:p>
        </w:tc>
        <w:tc>
          <w:tcPr>
            <w:tcW w:w="109" w:type="dxa"/>
            <w:tcBorders/>
            <w:vAlign w:val="center"/>
          </w:tcPr>
          <w:p>
            <w:pPr>
              <w:pStyle w:val="TableContents"/>
              <w:bidi w:val="0"/>
              <w:spacing w:before="0" w:after="0"/>
              <w:ind w:left="0" w:right="0" w:hanging="0"/>
              <w:jc w:val="left"/>
              <w:rPr/>
            </w:pPr>
            <w:r>
              <w:rPr/>
              <w:t>​</w:t>
            </w:r>
          </w:p>
        </w:tc>
        <w:tc>
          <w:tcPr>
            <w:tcW w:w="992" w:type="dxa"/>
            <w:gridSpan w:val="2"/>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Paid in</w:t>
            </w:r>
          </w:p>
        </w:tc>
        <w:tc>
          <w:tcPr>
            <w:tcW w:w="109" w:type="dxa"/>
            <w:tcBorders/>
            <w:vAlign w:val="center"/>
          </w:tcPr>
          <w:p>
            <w:pPr>
              <w:pStyle w:val="TableContents"/>
              <w:bidi w:val="0"/>
              <w:spacing w:before="0" w:after="0"/>
              <w:ind w:left="0" w:right="0" w:hanging="0"/>
              <w:jc w:val="left"/>
              <w:rPr/>
            </w:pPr>
            <w:r>
              <w:rPr/>
              <w:t>​</w:t>
            </w:r>
          </w:p>
        </w:tc>
        <w:tc>
          <w:tcPr>
            <w:tcW w:w="992" w:type="dxa"/>
            <w:gridSpan w:val="2"/>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Retained</w:t>
            </w:r>
          </w:p>
        </w:tc>
        <w:tc>
          <w:tcPr>
            <w:tcW w:w="146" w:type="dxa"/>
            <w:tcBorders/>
            <w:vAlign w:val="center"/>
          </w:tcPr>
          <w:p>
            <w:pPr>
              <w:pStyle w:val="TableContents"/>
              <w:bidi w:val="0"/>
              <w:spacing w:before="0" w:after="0"/>
              <w:ind w:left="0" w:right="0" w:hanging="0"/>
              <w:jc w:val="left"/>
              <w:rPr/>
            </w:pPr>
            <w:r>
              <w:rPr/>
              <w:t>​</w:t>
            </w:r>
          </w:p>
        </w:tc>
        <w:tc>
          <w:tcPr>
            <w:tcW w:w="2111"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Treasury Stock</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87" w:type="dxa"/>
            <w:tcBorders/>
            <w:vAlign w:val="center"/>
          </w:tcPr>
          <w:p>
            <w:pPr>
              <w:pStyle w:val="TableContents"/>
              <w:bidi w:val="0"/>
              <w:spacing w:before="0" w:after="0"/>
              <w:ind w:left="0" w:right="0" w:hanging="0"/>
              <w:jc w:val="center"/>
              <w:rPr/>
            </w:pPr>
            <w:r>
              <w:rPr/>
              <w:t>​</w:t>
            </w:r>
          </w:p>
        </w:tc>
      </w:tr>
      <w:tr>
        <w:trPr/>
        <w:tc>
          <w:tcPr>
            <w:tcW w:w="2497"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Shares</w:t>
            </w:r>
          </w:p>
        </w:tc>
        <w:tc>
          <w:tcPr>
            <w:tcW w:w="109" w:type="dxa"/>
            <w:tcBorders/>
            <w:vAlign w:val="center"/>
          </w:tcPr>
          <w:p>
            <w:pPr>
              <w:pStyle w:val="TableContents"/>
              <w:bidi w:val="0"/>
              <w:spacing w:before="0" w:after="0"/>
              <w:ind w:left="0" w:right="0" w:hanging="0"/>
              <w:jc w:val="left"/>
              <w:rPr/>
            </w:pPr>
            <w:r>
              <w:rPr/>
              <w:t>​</w:t>
            </w:r>
          </w:p>
        </w:tc>
        <w:tc>
          <w:tcPr>
            <w:tcW w:w="75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Amount</w:t>
            </w:r>
          </w:p>
        </w:tc>
        <w:tc>
          <w:tcPr>
            <w:tcW w:w="109" w:type="dxa"/>
            <w:tcBorders/>
            <w:vAlign w:val="center"/>
          </w:tcPr>
          <w:p>
            <w:pPr>
              <w:pStyle w:val="TableContents"/>
              <w:bidi w:val="0"/>
              <w:spacing w:before="0" w:after="0"/>
              <w:ind w:left="0" w:right="0" w:hanging="0"/>
              <w:jc w:val="left"/>
              <w:rPr/>
            </w:pPr>
            <w:r>
              <w:rPr/>
              <w:t>​</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Capital</w:t>
            </w:r>
          </w:p>
        </w:tc>
        <w:tc>
          <w:tcPr>
            <w:tcW w:w="109" w:type="dxa"/>
            <w:tcBorders/>
            <w:vAlign w:val="center"/>
          </w:tcPr>
          <w:p>
            <w:pPr>
              <w:pStyle w:val="TableContents"/>
              <w:bidi w:val="0"/>
              <w:spacing w:before="0" w:after="0"/>
              <w:ind w:left="0" w:right="0" w:hanging="0"/>
              <w:jc w:val="left"/>
              <w:rPr/>
            </w:pPr>
            <w:r>
              <w:rPr/>
              <w:t>​</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Earnings</w:t>
            </w:r>
          </w:p>
        </w:tc>
        <w:tc>
          <w:tcPr>
            <w:tcW w:w="146" w:type="dxa"/>
            <w:tcBorders/>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Shares</w:t>
            </w:r>
          </w:p>
        </w:tc>
        <w:tc>
          <w:tcPr>
            <w:tcW w:w="109" w:type="dxa"/>
            <w:tcBorders/>
            <w:vAlign w:val="center"/>
          </w:tcPr>
          <w:p>
            <w:pPr>
              <w:pStyle w:val="TableContents"/>
              <w:bidi w:val="0"/>
              <w:spacing w:before="0" w:after="0"/>
              <w:ind w:left="0" w:right="0" w:hanging="0"/>
              <w:jc w:val="left"/>
              <w:rPr/>
            </w:pPr>
            <w:r>
              <w:rPr/>
              <w:t>​</w:t>
            </w:r>
          </w:p>
        </w:tc>
        <w:tc>
          <w:tcPr>
            <w:tcW w:w="107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Amount</w:t>
            </w:r>
          </w:p>
        </w:tc>
        <w:tc>
          <w:tcPr>
            <w:tcW w:w="109" w:type="dxa"/>
            <w:tcBorders/>
            <w:vAlign w:val="center"/>
          </w:tcPr>
          <w:p>
            <w:pPr>
              <w:pStyle w:val="TableContents"/>
              <w:bidi w:val="0"/>
              <w:spacing w:before="0" w:after="0"/>
              <w:ind w:left="0" w:right="0" w:hanging="0"/>
              <w:jc w:val="left"/>
              <w:rPr/>
            </w:pPr>
            <w:r>
              <w:rPr/>
              <w:t>​</w:t>
            </w:r>
          </w:p>
        </w:tc>
        <w:tc>
          <w:tcPr>
            <w:tcW w:w="109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Total</w:t>
            </w:r>
          </w:p>
        </w:tc>
      </w:tr>
      <w:tr>
        <w:trPr/>
        <w:tc>
          <w:tcPr>
            <w:tcW w:w="2497"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Balances — January 31, 2026</w:t>
            </w:r>
          </w:p>
        </w:tc>
        <w:tc>
          <w:tcPr>
            <w:tcW w:w="146"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16,545,723</w:t>
            </w:r>
          </w:p>
        </w:tc>
        <w:tc>
          <w:tcPr>
            <w:tcW w:w="109" w:type="dxa"/>
            <w:tcBorders/>
            <w:shd w:fill="CCEEFF" w:val="clear"/>
            <w:vAlign w:val="center"/>
          </w:tcPr>
          <w:p>
            <w:pPr>
              <w:pStyle w:val="TableContents"/>
              <w:bidi w:val="0"/>
              <w:spacing w:before="0" w:after="0"/>
              <w:ind w:left="0" w:right="0" w:hanging="0"/>
              <w:jc w:val="left"/>
              <w:rPr/>
            </w:pPr>
            <w:r>
              <w:rPr/>
              <w:t>​</w:t>
            </w:r>
          </w:p>
        </w:tc>
        <w:tc>
          <w:tcPr>
            <w:tcW w:w="250"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501"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163</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781"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112,352</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781"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281,108</w:t>
            </w:r>
          </w:p>
        </w:tc>
        <w:tc>
          <w:tcPr>
            <w:tcW w:w="14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8,199,806</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860"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(277,303)</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887"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116,320</w:t>
            </w:r>
          </w:p>
        </w:tc>
      </w:tr>
      <w:tr>
        <w:trPr/>
        <w:tc>
          <w:tcPr>
            <w:tcW w:w="2497"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Grant of restricted shares</w:t>
            </w:r>
          </w:p>
        </w:tc>
        <w:tc>
          <w:tcPr>
            <w:tcW w:w="14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19,313</w:t>
            </w:r>
          </w:p>
        </w:tc>
        <w:tc>
          <w:tcPr>
            <w:tcW w:w="109" w:type="dxa"/>
            <w:tcBorders/>
            <w:vAlign w:val="center"/>
          </w:tcPr>
          <w:p>
            <w:pPr>
              <w:pStyle w:val="TableContents"/>
              <w:bidi w:val="0"/>
              <w:spacing w:before="0" w:after="0"/>
              <w:ind w:left="0" w:right="0" w:hanging="0"/>
              <w:jc w:val="left"/>
              <w:rPr/>
            </w:pPr>
            <w:r>
              <w:rPr/>
              <w:t>​</w:t>
            </w:r>
          </w:p>
        </w:tc>
        <w:tc>
          <w:tcPr>
            <w:tcW w:w="250" w:type="dxa"/>
            <w:tcBorders/>
            <w:vAlign w:val="center"/>
          </w:tcPr>
          <w:p>
            <w:pPr>
              <w:pStyle w:val="TableContents"/>
              <w:bidi w:val="0"/>
              <w:spacing w:before="0" w:after="0"/>
              <w:ind w:left="0" w:right="0" w:hanging="0"/>
              <w:jc w:val="left"/>
              <w:rPr/>
            </w:pPr>
            <w:r>
              <w:rPr/>
              <w:t>​</w:t>
            </w:r>
          </w:p>
        </w:tc>
        <w:tc>
          <w:tcPr>
            <w:tcW w:w="50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60"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87" w:type="dxa"/>
            <w:tcBorders/>
            <w:vAlign w:val="center"/>
          </w:tcPr>
          <w:p>
            <w:pPr>
              <w:pStyle w:val="TableContents"/>
              <w:bidi w:val="0"/>
              <w:spacing w:before="0" w:after="0"/>
              <w:ind w:left="0" w:right="0" w:hanging="0"/>
              <w:jc w:val="right"/>
              <w:rPr/>
            </w:pPr>
            <w:r>
              <w:rPr/>
              <w:t>—</w:t>
            </w:r>
          </w:p>
        </w:tc>
      </w:tr>
      <w:tr>
        <w:trPr/>
        <w:tc>
          <w:tcPr>
            <w:tcW w:w="2497"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Forfeiture of restricted shares</w:t>
            </w:r>
          </w:p>
        </w:tc>
        <w:tc>
          <w:tcPr>
            <w:tcW w:w="146"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(7,675)</w:t>
            </w:r>
          </w:p>
        </w:tc>
        <w:tc>
          <w:tcPr>
            <w:tcW w:w="109" w:type="dxa"/>
            <w:tcBorders/>
            <w:shd w:fill="CCEEFF" w:val="clear"/>
            <w:vAlign w:val="center"/>
          </w:tcPr>
          <w:p>
            <w:pPr>
              <w:pStyle w:val="TableContents"/>
              <w:bidi w:val="0"/>
              <w:spacing w:before="0" w:after="0"/>
              <w:ind w:left="0" w:right="0" w:hanging="0"/>
              <w:jc w:val="left"/>
              <w:rPr/>
            </w:pPr>
            <w:r>
              <w:rPr/>
              <w:t>​</w:t>
            </w:r>
          </w:p>
        </w:tc>
        <w:tc>
          <w:tcPr>
            <w:tcW w:w="250" w:type="dxa"/>
            <w:tcBorders/>
            <w:shd w:fill="CCEEFF" w:val="clear"/>
            <w:vAlign w:val="center"/>
          </w:tcPr>
          <w:p>
            <w:pPr>
              <w:pStyle w:val="TableContents"/>
              <w:bidi w:val="0"/>
              <w:spacing w:before="0" w:after="0"/>
              <w:ind w:left="0" w:right="0" w:hanging="0"/>
              <w:jc w:val="left"/>
              <w:rPr/>
            </w:pPr>
            <w:r>
              <w:rPr/>
              <w:t>​</w:t>
            </w:r>
          </w:p>
        </w:tc>
        <w:tc>
          <w:tcPr>
            <w:tcW w:w="50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60"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87" w:type="dxa"/>
            <w:tcBorders/>
            <w:shd w:fill="CCEEFF" w:val="clear"/>
            <w:vAlign w:val="center"/>
          </w:tcPr>
          <w:p>
            <w:pPr>
              <w:pStyle w:val="TableContents"/>
              <w:bidi w:val="0"/>
              <w:spacing w:before="0" w:after="0"/>
              <w:ind w:left="0" w:right="0" w:hanging="0"/>
              <w:jc w:val="right"/>
              <w:rPr/>
            </w:pPr>
            <w:r>
              <w:rPr/>
              <w:t>—</w:t>
            </w:r>
          </w:p>
        </w:tc>
      </w:tr>
      <w:tr>
        <w:trPr/>
        <w:tc>
          <w:tcPr>
            <w:tcW w:w="2497"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Stock-based compensation expense</w:t>
            </w:r>
          </w:p>
        </w:tc>
        <w:tc>
          <w:tcPr>
            <w:tcW w:w="146"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50" w:type="dxa"/>
            <w:tcBorders/>
            <w:vAlign w:val="center"/>
          </w:tcPr>
          <w:p>
            <w:pPr>
              <w:pStyle w:val="TableContents"/>
              <w:bidi w:val="0"/>
              <w:spacing w:before="0" w:after="0"/>
              <w:ind w:left="0" w:right="0" w:hanging="0"/>
              <w:jc w:val="left"/>
              <w:rPr/>
            </w:pPr>
            <w:r>
              <w:rPr/>
              <w:t>​</w:t>
            </w:r>
          </w:p>
        </w:tc>
        <w:tc>
          <w:tcPr>
            <w:tcW w:w="50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1,303</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60"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87"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1,303</w:t>
            </w:r>
          </w:p>
        </w:tc>
      </w:tr>
      <w:tr>
        <w:trPr/>
        <w:tc>
          <w:tcPr>
            <w:tcW w:w="2497"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Shares withheld for settlement of employee taxes on vesting</w:t>
            </w:r>
          </w:p>
        </w:tc>
        <w:tc>
          <w:tcPr>
            <w:tcW w:w="146"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(787)</w:t>
            </w:r>
          </w:p>
        </w:tc>
        <w:tc>
          <w:tcPr>
            <w:tcW w:w="109" w:type="dxa"/>
            <w:tcBorders/>
            <w:shd w:fill="CCEEFF" w:val="clear"/>
            <w:vAlign w:val="center"/>
          </w:tcPr>
          <w:p>
            <w:pPr>
              <w:pStyle w:val="TableContents"/>
              <w:bidi w:val="0"/>
              <w:spacing w:before="0" w:after="0"/>
              <w:ind w:left="0" w:right="0" w:hanging="0"/>
              <w:jc w:val="left"/>
              <w:rPr/>
            </w:pPr>
            <w:r>
              <w:rPr/>
              <w:t>​</w:t>
            </w:r>
          </w:p>
        </w:tc>
        <w:tc>
          <w:tcPr>
            <w:tcW w:w="250" w:type="dxa"/>
            <w:tcBorders/>
            <w:shd w:fill="CCEEFF" w:val="clear"/>
            <w:vAlign w:val="center"/>
          </w:tcPr>
          <w:p>
            <w:pPr>
              <w:pStyle w:val="TableContents"/>
              <w:bidi w:val="0"/>
              <w:spacing w:before="0" w:after="0"/>
              <w:ind w:left="0" w:right="0" w:hanging="0"/>
              <w:jc w:val="left"/>
              <w:rPr/>
            </w:pPr>
            <w:r>
              <w:rPr/>
              <w:t>​</w:t>
            </w:r>
          </w:p>
        </w:tc>
        <w:tc>
          <w:tcPr>
            <w:tcW w:w="50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(34)</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60"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87"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(34)</w:t>
            </w:r>
          </w:p>
        </w:tc>
      </w:tr>
      <w:tr>
        <w:trPr/>
        <w:tc>
          <w:tcPr>
            <w:tcW w:w="2497"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Net income (loss)</w:t>
            </w:r>
          </w:p>
        </w:tc>
        <w:tc>
          <w:tcPr>
            <w:tcW w:w="146" w:type="dxa"/>
            <w:tcBorders/>
            <w:vAlign w:val="center"/>
          </w:tcPr>
          <w:p>
            <w:pPr>
              <w:pStyle w:val="TableContents"/>
              <w:bidi w:val="0"/>
              <w:spacing w:before="0" w:after="0"/>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5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0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7,754</w:t>
            </w:r>
          </w:p>
        </w:tc>
        <w:tc>
          <w:tcPr>
            <w:tcW w:w="146" w:type="dxa"/>
            <w:tcBorders/>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60"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87"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7,754</w:t>
            </w:r>
          </w:p>
        </w:tc>
      </w:tr>
      <w:tr>
        <w:trPr/>
        <w:tc>
          <w:tcPr>
            <w:tcW w:w="2497"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Balances — May 2, 2026</w:t>
            </w:r>
          </w:p>
        </w:tc>
        <w:tc>
          <w:tcPr>
            <w:tcW w:w="146" w:type="dxa"/>
            <w:tcBorders/>
            <w:shd w:fill="CCEEFF" w:val="clear"/>
            <w:vAlign w:val="center"/>
          </w:tcPr>
          <w:p>
            <w:pPr>
              <w:pStyle w:val="TableContents"/>
              <w:bidi w:val="0"/>
              <w:spacing w:before="0" w:after="0"/>
              <w:ind w:left="0" w:right="0" w:hanging="0"/>
              <w:jc w:val="left"/>
              <w:rPr/>
            </w:pPr>
            <w:r>
              <w:rPr/>
              <w:t> </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16,556,574</w:t>
            </w:r>
          </w:p>
        </w:tc>
        <w:tc>
          <w:tcPr>
            <w:tcW w:w="109" w:type="dxa"/>
            <w:tcBorders/>
            <w:shd w:fill="CCEEFF" w:val="clear"/>
            <w:vAlign w:val="center"/>
          </w:tcPr>
          <w:p>
            <w:pPr>
              <w:pStyle w:val="TableContents"/>
              <w:bidi w:val="0"/>
              <w:spacing w:before="0" w:after="0"/>
              <w:ind w:left="0" w:right="0" w:hanging="0"/>
              <w:jc w:val="left"/>
              <w:rPr/>
            </w:pPr>
            <w:r>
              <w:rPr/>
              <w:t>​</w:t>
            </w:r>
          </w:p>
        </w:tc>
        <w:tc>
          <w:tcPr>
            <w:tcW w:w="25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50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163</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113,621</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288,862</w:t>
            </w:r>
          </w:p>
        </w:tc>
        <w:tc>
          <w:tcPr>
            <w:tcW w:w="146" w:type="dxa"/>
            <w:tcBorders/>
            <w:shd w:fill="CCEEFF" w:val="clear"/>
            <w:vAlign w:val="center"/>
          </w:tcPr>
          <w:p>
            <w:pPr>
              <w:pStyle w:val="TableContents"/>
              <w:bidi w:val="0"/>
              <w:spacing w:before="0" w:after="0"/>
              <w:ind w:left="0" w:right="0" w:hanging="0"/>
              <w:jc w:val="left"/>
              <w:rPr/>
            </w:pPr>
            <w:r>
              <w:rPr/>
              <w:t> </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8,199,806</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86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(277,303)</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88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125,343</w:t>
            </w:r>
          </w:p>
        </w:tc>
      </w:tr>
      <w:tr>
        <w:trPr/>
        <w:tc>
          <w:tcPr>
            <w:tcW w:w="2497"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Vesting of restricted shares</w:t>
            </w:r>
          </w:p>
        </w:tc>
        <w:tc>
          <w:tcPr>
            <w:tcW w:w="146"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50" w:type="dxa"/>
            <w:tcBorders/>
            <w:vAlign w:val="center"/>
          </w:tcPr>
          <w:p>
            <w:pPr>
              <w:pStyle w:val="TableContents"/>
              <w:bidi w:val="0"/>
              <w:spacing w:before="0" w:after="0"/>
              <w:ind w:left="0" w:right="0" w:hanging="0"/>
              <w:jc w:val="left"/>
              <w:rPr/>
            </w:pPr>
            <w:r>
              <w:rPr/>
              <w:t>​</w:t>
            </w:r>
          </w:p>
        </w:tc>
        <w:tc>
          <w:tcPr>
            <w:tcW w:w="50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60"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87"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w:t>
            </w:r>
          </w:p>
        </w:tc>
      </w:tr>
      <w:tr>
        <w:trPr/>
        <w:tc>
          <w:tcPr>
            <w:tcW w:w="2497"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Grant of restricted shares</w:t>
            </w:r>
          </w:p>
        </w:tc>
        <w:tc>
          <w:tcPr>
            <w:tcW w:w="146"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1,135</w:t>
            </w:r>
          </w:p>
        </w:tc>
        <w:tc>
          <w:tcPr>
            <w:tcW w:w="109" w:type="dxa"/>
            <w:tcBorders/>
            <w:shd w:fill="CCEEFF" w:val="clear"/>
            <w:vAlign w:val="center"/>
          </w:tcPr>
          <w:p>
            <w:pPr>
              <w:pStyle w:val="TableContents"/>
              <w:bidi w:val="0"/>
              <w:spacing w:before="0" w:after="0"/>
              <w:ind w:left="0" w:right="0" w:hanging="0"/>
              <w:jc w:val="left"/>
              <w:rPr/>
            </w:pPr>
            <w:r>
              <w:rPr/>
              <w:t>​</w:t>
            </w:r>
          </w:p>
        </w:tc>
        <w:tc>
          <w:tcPr>
            <w:tcW w:w="250" w:type="dxa"/>
            <w:tcBorders/>
            <w:shd w:fill="CCEEFF" w:val="clear"/>
            <w:vAlign w:val="center"/>
          </w:tcPr>
          <w:p>
            <w:pPr>
              <w:pStyle w:val="TableContents"/>
              <w:bidi w:val="0"/>
              <w:spacing w:before="0" w:after="0"/>
              <w:ind w:left="0" w:right="0" w:hanging="0"/>
              <w:jc w:val="left"/>
              <w:rPr/>
            </w:pPr>
            <w:r>
              <w:rPr/>
              <w:t>​</w:t>
            </w:r>
          </w:p>
        </w:tc>
        <w:tc>
          <w:tcPr>
            <w:tcW w:w="50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60"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87" w:type="dxa"/>
            <w:tcBorders/>
            <w:shd w:fill="CCEEFF" w:val="clear"/>
            <w:vAlign w:val="center"/>
          </w:tcPr>
          <w:p>
            <w:pPr>
              <w:pStyle w:val="TableContents"/>
              <w:bidi w:val="0"/>
              <w:spacing w:before="0" w:after="0"/>
              <w:ind w:left="0" w:right="0" w:hanging="0"/>
              <w:jc w:val="right"/>
              <w:rPr/>
            </w:pPr>
            <w:r>
              <w:rPr/>
              <w:t>—</w:t>
            </w:r>
          </w:p>
        </w:tc>
      </w:tr>
      <w:tr>
        <w:trPr/>
        <w:tc>
          <w:tcPr>
            <w:tcW w:w="2497"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Forfeiture of restricted shares</w:t>
            </w:r>
          </w:p>
        </w:tc>
        <w:tc>
          <w:tcPr>
            <w:tcW w:w="14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(3,757)</w:t>
            </w:r>
          </w:p>
        </w:tc>
        <w:tc>
          <w:tcPr>
            <w:tcW w:w="109" w:type="dxa"/>
            <w:tcBorders/>
            <w:vAlign w:val="center"/>
          </w:tcPr>
          <w:p>
            <w:pPr>
              <w:pStyle w:val="TableContents"/>
              <w:bidi w:val="0"/>
              <w:spacing w:before="0" w:after="0"/>
              <w:ind w:left="0" w:right="0" w:hanging="0"/>
              <w:jc w:val="left"/>
              <w:rPr/>
            </w:pPr>
            <w:r>
              <w:rPr/>
              <w:t>​</w:t>
            </w:r>
          </w:p>
        </w:tc>
        <w:tc>
          <w:tcPr>
            <w:tcW w:w="250" w:type="dxa"/>
            <w:tcBorders/>
            <w:vAlign w:val="center"/>
          </w:tcPr>
          <w:p>
            <w:pPr>
              <w:pStyle w:val="TableContents"/>
              <w:bidi w:val="0"/>
              <w:spacing w:before="0" w:after="0"/>
              <w:ind w:left="0" w:right="0" w:hanging="0"/>
              <w:jc w:val="left"/>
              <w:rPr/>
            </w:pPr>
            <w:r>
              <w:rPr/>
              <w:t>​</w:t>
            </w:r>
          </w:p>
        </w:tc>
        <w:tc>
          <w:tcPr>
            <w:tcW w:w="50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60"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87" w:type="dxa"/>
            <w:tcBorders/>
            <w:vAlign w:val="center"/>
          </w:tcPr>
          <w:p>
            <w:pPr>
              <w:pStyle w:val="TableContents"/>
              <w:bidi w:val="0"/>
              <w:spacing w:before="0" w:after="0"/>
              <w:ind w:left="0" w:right="0" w:hanging="0"/>
              <w:jc w:val="right"/>
              <w:rPr/>
            </w:pPr>
            <w:r>
              <w:rPr/>
              <w:t>—</w:t>
            </w:r>
          </w:p>
        </w:tc>
      </w:tr>
      <w:tr>
        <w:trPr/>
        <w:tc>
          <w:tcPr>
            <w:tcW w:w="2497"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Stock-based compensation expense</w:t>
            </w:r>
          </w:p>
        </w:tc>
        <w:tc>
          <w:tcPr>
            <w:tcW w:w="146"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50" w:type="dxa"/>
            <w:tcBorders/>
            <w:shd w:fill="CCEEFF" w:val="clear"/>
            <w:vAlign w:val="center"/>
          </w:tcPr>
          <w:p>
            <w:pPr>
              <w:pStyle w:val="TableContents"/>
              <w:bidi w:val="0"/>
              <w:spacing w:before="0" w:after="0"/>
              <w:ind w:left="0" w:right="0" w:hanging="0"/>
              <w:jc w:val="left"/>
              <w:rPr/>
            </w:pPr>
            <w:r>
              <w:rPr/>
              <w:t>​</w:t>
            </w:r>
          </w:p>
        </w:tc>
        <w:tc>
          <w:tcPr>
            <w:tcW w:w="50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1,452</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60"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87"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1,452</w:t>
            </w:r>
          </w:p>
        </w:tc>
      </w:tr>
      <w:tr>
        <w:trPr/>
        <w:tc>
          <w:tcPr>
            <w:tcW w:w="2497"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Shares withheld for settlement of employee taxes on vesting</w:t>
            </w:r>
          </w:p>
        </w:tc>
        <w:tc>
          <w:tcPr>
            <w:tcW w:w="14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(26,547)</w:t>
            </w:r>
          </w:p>
        </w:tc>
        <w:tc>
          <w:tcPr>
            <w:tcW w:w="109" w:type="dxa"/>
            <w:tcBorders/>
            <w:vAlign w:val="center"/>
          </w:tcPr>
          <w:p>
            <w:pPr>
              <w:pStyle w:val="TableContents"/>
              <w:bidi w:val="0"/>
              <w:spacing w:before="0" w:after="0"/>
              <w:ind w:left="0" w:right="0" w:hanging="0"/>
              <w:jc w:val="left"/>
              <w:rPr/>
            </w:pPr>
            <w:r>
              <w:rPr/>
              <w:t>​</w:t>
            </w:r>
          </w:p>
        </w:tc>
        <w:tc>
          <w:tcPr>
            <w:tcW w:w="250" w:type="dxa"/>
            <w:tcBorders/>
            <w:vAlign w:val="center"/>
          </w:tcPr>
          <w:p>
            <w:pPr>
              <w:pStyle w:val="TableContents"/>
              <w:bidi w:val="0"/>
              <w:spacing w:before="0" w:after="0"/>
              <w:ind w:left="0" w:right="0" w:hanging="0"/>
              <w:jc w:val="left"/>
              <w:rPr/>
            </w:pPr>
            <w:r>
              <w:rPr/>
              <w:t>​</w:t>
            </w:r>
          </w:p>
        </w:tc>
        <w:tc>
          <w:tcPr>
            <w:tcW w:w="50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(1,219)</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60"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87"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(1,219)</w:t>
            </w:r>
          </w:p>
        </w:tc>
      </w:tr>
      <w:tr>
        <w:trPr/>
        <w:tc>
          <w:tcPr>
            <w:tcW w:w="2497"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Net income (loss)</w:t>
            </w:r>
          </w:p>
        </w:tc>
        <w:tc>
          <w:tcPr>
            <w:tcW w:w="146" w:type="dxa"/>
            <w:tcBorders/>
            <w:shd w:fill="CCEEFF" w:val="clear"/>
            <w:vAlign w:val="center"/>
          </w:tcPr>
          <w:p>
            <w:pPr>
              <w:pStyle w:val="TableContents"/>
              <w:bidi w:val="0"/>
              <w:spacing w:before="0" w:after="0"/>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5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(931)</w:t>
            </w:r>
          </w:p>
        </w:tc>
        <w:tc>
          <w:tcPr>
            <w:tcW w:w="146" w:type="dxa"/>
            <w:tcBorders/>
            <w:shd w:fill="CCEEFF" w:val="clear"/>
            <w:vAlign w:val="center"/>
          </w:tcPr>
          <w:p>
            <w:pPr>
              <w:pStyle w:val="TableContents"/>
              <w:bidi w:val="0"/>
              <w:spacing w:before="0" w:after="0"/>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6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8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(931)</w:t>
            </w:r>
          </w:p>
        </w:tc>
      </w:tr>
      <w:tr>
        <w:trPr/>
        <w:tc>
          <w:tcPr>
            <w:tcW w:w="2497"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Balances — August 1, 2026</w:t>
            </w:r>
          </w:p>
        </w:tc>
        <w:tc>
          <w:tcPr>
            <w:tcW w:w="146" w:type="dxa"/>
            <w:tcBorders/>
            <w:vAlign w:val="center"/>
          </w:tcPr>
          <w:p>
            <w:pPr>
              <w:pStyle w:val="TableContents"/>
              <w:bidi w:val="0"/>
              <w:spacing w:before="0" w:after="0"/>
              <w:ind w:left="0" w:right="0" w:hanging="0"/>
              <w:jc w:val="left"/>
              <w:rPr/>
            </w:pPr>
            <w:r>
              <w:rPr/>
              <w:t> </w:t>
            </w:r>
          </w:p>
        </w:tc>
        <w:tc>
          <w:tcPr>
            <w:tcW w:w="1036"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16,527,405</w:t>
            </w:r>
          </w:p>
        </w:tc>
        <w:tc>
          <w:tcPr>
            <w:tcW w:w="109" w:type="dxa"/>
            <w:tcBorders/>
            <w:vAlign w:val="center"/>
          </w:tcPr>
          <w:p>
            <w:pPr>
              <w:pStyle w:val="TableContents"/>
              <w:bidi w:val="0"/>
              <w:spacing w:before="0" w:after="0"/>
              <w:ind w:left="0" w:right="0" w:hanging="0"/>
              <w:jc w:val="left"/>
              <w:rPr/>
            </w:pPr>
            <w:r>
              <w:rPr/>
              <w:t>​</w:t>
            </w:r>
          </w:p>
        </w:tc>
        <w:tc>
          <w:tcPr>
            <w:tcW w:w="250"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501"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164</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113,854</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287,931</w:t>
            </w:r>
          </w:p>
        </w:tc>
        <w:tc>
          <w:tcPr>
            <w:tcW w:w="146" w:type="dxa"/>
            <w:tcBorders/>
            <w:vAlign w:val="center"/>
          </w:tcPr>
          <w:p>
            <w:pPr>
              <w:pStyle w:val="TableContents"/>
              <w:bidi w:val="0"/>
              <w:spacing w:before="0" w:after="0"/>
              <w:ind w:left="0" w:right="0" w:hanging="0"/>
              <w:jc w:val="left"/>
              <w:rPr/>
            </w:pPr>
            <w:r>
              <w:rPr/>
              <w:t> </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8,199,806</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860"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(277,303)</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887" w:type="dxa"/>
            <w:tcBorders>
              <w:bottom w:val="double" w:sz="6" w:space="0" w:color="000000"/>
            </w:tcBorders>
            <w:tcMar>
              <w:bottom w:w="28" w:type="dxa"/>
            </w:tcMar>
            <w:vAlign w:val="center"/>
          </w:tcPr>
          <w:p>
            <w:pPr>
              <w:pStyle w:val="TableContents"/>
              <w:bidi w:val="0"/>
              <w:spacing w:before="0" w:after="0"/>
              <w:ind w:left="0" w:right="60" w:hanging="0"/>
              <w:jc w:val="right"/>
              <w:rPr>
                <w:rFonts w:ascii="Arial;Helvetica;sans-serif" w:hAnsi="Arial;Helvetica;sans-serif"/>
                <w:sz w:val="18"/>
              </w:rPr>
            </w:pPr>
            <w:r>
              <w:rPr>
                <w:rFonts w:ascii="Arial;Helvetica;sans-serif" w:hAnsi="Arial;Helvetica;sans-serif"/>
                <w:sz w:val="18"/>
              </w:rPr>
              <w:t>124,646</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596" w:name="Tc_TIwqYcbxmk2C0e8tI2sdWg_16_18"/>
      <w:bookmarkStart w:id="597" w:name="Tc_QGMScBBg9EiNJhK7OYXyYw_16_15"/>
      <w:bookmarkStart w:id="598" w:name="Tc_dPjBNUU8_0KzCCCUu00t2A_16_10"/>
      <w:bookmarkStart w:id="599" w:name="Tc_yJkVt578bk6vThVlH1Gs8A_16_7"/>
      <w:bookmarkStart w:id="600" w:name="Tc_8cjVxRnUiUOZOxfc43VhFA_16_4"/>
      <w:bookmarkStart w:id="601" w:name="Tc_2JCCTlNZ5UCTTKW7G3Xy4A_16_0"/>
      <w:bookmarkStart w:id="602" w:name="Tc_YQAZzd5qfk60BKwEq-ANBQ_15_16"/>
      <w:bookmarkStart w:id="603" w:name="Tc_k62_u9weK0-LdW7EfEZMdQ_15_13"/>
      <w:bookmarkStart w:id="604" w:name="Tc_QxeMVzRybkqlCSejzeD2Zg_15_8"/>
      <w:bookmarkStart w:id="605" w:name="Tc_MQ0RB-RkdUiXtXFaEaw3uA_15_5"/>
      <w:bookmarkStart w:id="606" w:name="Tc_gmr3MF-bDUqhE2Y7DZ-U7w_15_2"/>
      <w:bookmarkStart w:id="607" w:name="Tc_rCHlh71oykSgzmu_VduuqA_15_0"/>
      <w:bookmarkStart w:id="608" w:name="Tc_d-V3uB_pZ0CEi-L2NYDVOA_14_16"/>
      <w:bookmarkStart w:id="609" w:name="Tc_Oju6ZzbnVU64XOhDCkfEgA_14_13"/>
      <w:bookmarkStart w:id="610" w:name="Tc_az1LSifmY0aqdwx_Jq2x1A_14_11"/>
      <w:bookmarkStart w:id="611" w:name="Tc_ChMVTZhW7EaIGRbgfJknKw_14_5"/>
      <w:bookmarkStart w:id="612" w:name="Tc_qB0SxZ5yCEu7xD-I-lXxAA_14_0"/>
      <w:bookmarkStart w:id="613" w:name="Tc_pNrEPE08nkuWuoJzVjb00w_13_16"/>
      <w:bookmarkStart w:id="614" w:name="Tc_StxMqVAFX0edftSMqddH_Q_13_13"/>
      <w:bookmarkStart w:id="615" w:name="Tc_jRG_v5VdZkGyyBL6fxejgA_13_11"/>
      <w:bookmarkStart w:id="616" w:name="Tc_Tw7b4kg43k23ig7pnRkGiw_13_5"/>
      <w:bookmarkStart w:id="617" w:name="Tc_pD73vYWT-EKEna6kg-_AdA_13_2"/>
      <w:bookmarkStart w:id="618" w:name="Tc_2TRSoDixikK0Wfkc2aGBEg_13_0"/>
      <w:bookmarkStart w:id="619" w:name="Tc_OPwOyDvHAkKRpLbGSwqMtA_12_19"/>
      <w:bookmarkStart w:id="620" w:name="Tc_Ijn6N_lG7kCfvQigzTJIyw_12_16"/>
      <w:bookmarkStart w:id="621" w:name="Tc__FkpEu5dj0qvQ3jh_p4PGA_12_13"/>
      <w:bookmarkStart w:id="622" w:name="Tc_7YkCLEnXc0-YZ-px3eOftg_12_11"/>
      <w:bookmarkStart w:id="623" w:name="Tc_YhfTVKryB0avAL_IBmnwQA_12_8"/>
      <w:bookmarkStart w:id="624" w:name="Tc_JrufoWjHP0Wfa-C2048-vA_12_5"/>
      <w:bookmarkStart w:id="625" w:name="Tc_wPx-3sqr-kWdi3sf04xmOA_12_0"/>
      <w:bookmarkStart w:id="626" w:name="Tc_7k5uBHz6SUi77RwiBpPN6g_11_19"/>
      <w:bookmarkStart w:id="627" w:name="Tc_NNaI39KHpUCnGGakcLuU1A_11_16"/>
      <w:bookmarkStart w:id="628" w:name="Tc_LT_DsAEt1Eq2a5VkM0X5vA_11_13"/>
      <w:bookmarkStart w:id="629" w:name="Tc_cKJR2Q1C7EaBN5gYV2_eXQ_11_11"/>
      <w:bookmarkStart w:id="630" w:name="Tc_EY3CZEEEL0qdNlQXdLpWkw_11_8"/>
      <w:bookmarkStart w:id="631" w:name="Tc_jEewC6j3NE-YQLROqdRgxg_11_5"/>
      <w:bookmarkStart w:id="632" w:name="Tc_Rxpa6y8giUuHIE9wp_YRVw_11_0"/>
      <w:bookmarkStart w:id="633" w:name="Tc_dn8c_QlGjE69UU4BTszltw_10_18"/>
      <w:bookmarkStart w:id="634" w:name="Tc_rVfTThWpbUOZX0CSDxmmqg_10_15"/>
      <w:bookmarkStart w:id="635" w:name="Tc_-CAbhZgyVEWlnt8nt_OlqQ_10_10"/>
      <w:bookmarkStart w:id="636" w:name="Tc_h7Y9d1ulM0CXiLXZtilwhA_10_7"/>
      <w:bookmarkStart w:id="637" w:name="Tc_MP3S7vF9HEKQl76H5Ho8fQ_10_4"/>
      <w:bookmarkStart w:id="638" w:name="Tc_qBjd8ylym0irOg0Sb8HldA_10_0"/>
      <w:bookmarkStart w:id="639" w:name="Tc_yqWURJ1iskiPMi51ywKY-Q_9_16"/>
      <w:bookmarkStart w:id="640" w:name="Tc_ezizdJCBck-IdMDUmoXmbw_9_13"/>
      <w:bookmarkStart w:id="641" w:name="Tc_LY9t2Y5bi0C4kNt6Bl_3nw_9_8"/>
      <w:bookmarkStart w:id="642" w:name="Tc_oPWEzqtkG0aWa1TDdPNenA_9_5"/>
      <w:bookmarkStart w:id="643" w:name="Tc_RFEhLAGaLk60k5FHPIfyhg_9_2"/>
      <w:bookmarkStart w:id="644" w:name="Tc_c27_PbCQZkat-M5_Nu1fJQ_9_0"/>
      <w:bookmarkStart w:id="645" w:name="Tc_aeAOcIE4tEipgC76_eJIBA_8_11"/>
      <w:bookmarkStart w:id="646" w:name="Tc_HMu-dHJdDkWWufSHNdvc4w_8_8"/>
      <w:bookmarkStart w:id="647" w:name="Tc_i6bj8fZE_UC2U0vu_3ZF5w_8_5"/>
      <w:bookmarkStart w:id="648" w:name="Tc_sVSX-_KttUaecKdPIHP4rw_8_2"/>
      <w:bookmarkStart w:id="649" w:name="Tc_NS6VWZnWBU2GMS0EJSXIPA_8_0"/>
      <w:bookmarkStart w:id="650" w:name="Tc_870kglePd0mH0r4j4r9FSQ_7_16"/>
      <w:bookmarkStart w:id="651" w:name="Tc_0XtMnCLiKkuNQO-7Kh48WA_7_13"/>
      <w:bookmarkStart w:id="652" w:name="Tc_lezhMLLQtEChV1qS3lVC3w_7_11"/>
      <w:bookmarkStart w:id="653" w:name="Tc_cZuvzk_1PkmhFZEILZD6_g_7_5"/>
      <w:bookmarkStart w:id="654" w:name="Tc_xrzzPOItq0SvUCRRIzw3xw_7_0"/>
      <w:bookmarkStart w:id="655" w:name="Tc_AiS1RI78-EioWznWYa_OCA_6_16"/>
      <w:bookmarkStart w:id="656" w:name="Tc_M17vkL_CZ0ybv5v3zgTx-g_6_13"/>
      <w:bookmarkStart w:id="657" w:name="Tc_rx7NHh_Zn0-UPO7hcD7CEg_6_11"/>
      <w:bookmarkStart w:id="658" w:name="Tc_tKq4UIv_LEyIhDywMkYgNg_6_5"/>
      <w:bookmarkStart w:id="659" w:name="Tc_UlbiVqxsDEWUzuEsOLvQuw_6_2"/>
      <w:bookmarkStart w:id="660" w:name="Tc_RqBYxF3hPE-7mtkRQA5PHA_6_0"/>
      <w:bookmarkStart w:id="661" w:name="Tc_xsAJk3qX9kSuLNo7MMSJxQ_5_19"/>
      <w:bookmarkStart w:id="662" w:name="Tc_Nv4RfAHiUEGa2WJBXsm5bA_5_16"/>
      <w:bookmarkStart w:id="663" w:name="Tc_MwE38jSbuEiNuTD0ByzufQ_5_13"/>
      <w:bookmarkStart w:id="664" w:name="Tc_FtYetdD4-EC19MeVVxSFdw_5_11"/>
      <w:bookmarkStart w:id="665" w:name="Tc_v5QxQAjHHUC1XHTi7G5fXQ_5_8"/>
      <w:bookmarkStart w:id="666" w:name="Tc_VHng1ox1EU2Ivv-oZZ-PUQ_5_5"/>
      <w:bookmarkStart w:id="667" w:name="Tc_T9bclc7gLECE28wvhuFvIA_5_0"/>
      <w:bookmarkStart w:id="668" w:name="Tc_10w3FB5ETU-eGUyuvp349g_4_19"/>
      <w:bookmarkStart w:id="669" w:name="Tc_R70lr71D3UOX7nOwh7qJJw_4_16"/>
      <w:bookmarkStart w:id="670" w:name="Tc_ZNAJvWJIFkC9mR2JVlLutg_4_13"/>
      <w:bookmarkStart w:id="671" w:name="Tc_d1OIuzG4w0WGZofeUYJZUw_4_11"/>
      <w:bookmarkStart w:id="672" w:name="Tc_Il73URt47Uus5So5iqJydw_4_8"/>
      <w:bookmarkStart w:id="673" w:name="Tc_86dHDLnMXkKB9BOClCO31g_4_5"/>
      <w:bookmarkStart w:id="674" w:name="Tc_n8VnH7_m7kifRXRYxBfl9A_4_0"/>
      <w:bookmarkStart w:id="675" w:name="Tc_0_oHcTZj5U61w7cyDv-M8w_3_18"/>
      <w:bookmarkStart w:id="676" w:name="Tc_fCfAvVkLxUSUqDpLV7C2vA_3_15"/>
      <w:bookmarkStart w:id="677" w:name="Tc_qNw1z-adNUamhPDnUOltqQ_3_10"/>
      <w:bookmarkStart w:id="678" w:name="Tc_ycrsTibDiEaxgkYfgN8HJw_3_7"/>
      <w:bookmarkStart w:id="679" w:name="Tc_WxZU4gel0U-IZtanCQ-Ebg_3_4"/>
      <w:bookmarkStart w:id="680" w:name="Tc_2qYvvGUIfkaAABQGu0WkPQ_3_0"/>
      <w:bookmarkStart w:id="681" w:name="Tc_dF5G1fYi8UaPSjVRbHwkhQ_2_18"/>
      <w:bookmarkStart w:id="682" w:name="Tc_gGMpKPyrIUeBGko9ttofPQ_2_15"/>
      <w:bookmarkStart w:id="683" w:name="Tc_2wXiBKcgJ06rQuSBZ6Ck1Q_2_13"/>
      <w:bookmarkStart w:id="684" w:name="Tc_hNNJwp4vu0OoP28Mpc7xzA_2_10"/>
      <w:bookmarkStart w:id="685" w:name="Tc_Zgl21wZ9nUyUBbkwIv5GiQ_2_7"/>
      <w:bookmarkStart w:id="686" w:name="Tc_cyIekd6PwE2eacBn7T9-eA_2_4"/>
      <w:bookmarkStart w:id="687" w:name="Tc_0KRyEnkIJ0eDf6afi4JWRQ_2_2"/>
      <w:bookmarkStart w:id="688" w:name="Tc_iPVZRtnF30yYYdEzaaSh8A_1_13"/>
      <w:bookmarkStart w:id="689" w:name="Tc_GYT-GtjEyU2yEVMNeIN4cg_1_10"/>
      <w:bookmarkStart w:id="690" w:name="Tc_eODxZ5Pd6k-vPWXKKRYl7g_1_7"/>
      <w:bookmarkStart w:id="691" w:name="Tc_TPjq0aBL9E2pTUcXHNRrlg_1_2"/>
      <w:bookmarkStart w:id="692" w:name="_e88109a9_2cd7_4769_9c60_c0f704a590c4"/>
      <w:bookmarkStart w:id="693" w:name="Tc_TIwqYcbxmk2C0e8tI2sdWg_16_18"/>
      <w:bookmarkStart w:id="694" w:name="Tc_QGMScBBg9EiNJhK7OYXyYw_16_15"/>
      <w:bookmarkStart w:id="695" w:name="Tc_dPjBNUU8_0KzCCCUu00t2A_16_10"/>
      <w:bookmarkStart w:id="696" w:name="Tc_yJkVt578bk6vThVlH1Gs8A_16_7"/>
      <w:bookmarkStart w:id="697" w:name="Tc_8cjVxRnUiUOZOxfc43VhFA_16_4"/>
      <w:bookmarkStart w:id="698" w:name="Tc_2JCCTlNZ5UCTTKW7G3Xy4A_16_0"/>
      <w:bookmarkStart w:id="699" w:name="Tc_YQAZzd5qfk60BKwEq-ANBQ_15_16"/>
      <w:bookmarkStart w:id="700" w:name="Tc_k62_u9weK0-LdW7EfEZMdQ_15_13"/>
      <w:bookmarkStart w:id="701" w:name="Tc_QxeMVzRybkqlCSejzeD2Zg_15_8"/>
      <w:bookmarkStart w:id="702" w:name="Tc_MQ0RB-RkdUiXtXFaEaw3uA_15_5"/>
      <w:bookmarkStart w:id="703" w:name="Tc_gmr3MF-bDUqhE2Y7DZ-U7w_15_2"/>
      <w:bookmarkStart w:id="704" w:name="Tc_rCHlh71oykSgzmu_VduuqA_15_0"/>
      <w:bookmarkStart w:id="705" w:name="Tc_d-V3uB_pZ0CEi-L2NYDVOA_14_16"/>
      <w:bookmarkStart w:id="706" w:name="Tc_Oju6ZzbnVU64XOhDCkfEgA_14_13"/>
      <w:bookmarkStart w:id="707" w:name="Tc_az1LSifmY0aqdwx_Jq2x1A_14_11"/>
      <w:bookmarkStart w:id="708" w:name="Tc_ChMVTZhW7EaIGRbgfJknKw_14_5"/>
      <w:bookmarkStart w:id="709" w:name="Tc_qB0SxZ5yCEu7xD-I-lXxAA_14_0"/>
      <w:bookmarkStart w:id="710" w:name="Tc_pNrEPE08nkuWuoJzVjb00w_13_16"/>
      <w:bookmarkStart w:id="711" w:name="Tc_StxMqVAFX0edftSMqddH_Q_13_13"/>
      <w:bookmarkStart w:id="712" w:name="Tc_jRG_v5VdZkGyyBL6fxejgA_13_11"/>
      <w:bookmarkStart w:id="713" w:name="Tc_Tw7b4kg43k23ig7pnRkGiw_13_5"/>
      <w:bookmarkStart w:id="714" w:name="Tc_pD73vYWT-EKEna6kg-_AdA_13_2"/>
      <w:bookmarkStart w:id="715" w:name="Tc_2TRSoDixikK0Wfkc2aGBEg_13_0"/>
      <w:bookmarkStart w:id="716" w:name="Tc_OPwOyDvHAkKRpLbGSwqMtA_12_19"/>
      <w:bookmarkStart w:id="717" w:name="Tc_Ijn6N_lG7kCfvQigzTJIyw_12_16"/>
      <w:bookmarkStart w:id="718" w:name="Tc__FkpEu5dj0qvQ3jh_p4PGA_12_13"/>
      <w:bookmarkStart w:id="719" w:name="Tc_7YkCLEnXc0-YZ-px3eOftg_12_11"/>
      <w:bookmarkStart w:id="720" w:name="Tc_YhfTVKryB0avAL_IBmnwQA_12_8"/>
      <w:bookmarkStart w:id="721" w:name="Tc_JrufoWjHP0Wfa-C2048-vA_12_5"/>
      <w:bookmarkStart w:id="722" w:name="Tc_wPx-3sqr-kWdi3sf04xmOA_12_0"/>
      <w:bookmarkStart w:id="723" w:name="Tc_7k5uBHz6SUi77RwiBpPN6g_11_19"/>
      <w:bookmarkStart w:id="724" w:name="Tc_NNaI39KHpUCnGGakcLuU1A_11_16"/>
      <w:bookmarkStart w:id="725" w:name="Tc_LT_DsAEt1Eq2a5VkM0X5vA_11_13"/>
      <w:bookmarkStart w:id="726" w:name="Tc_cKJR2Q1C7EaBN5gYV2_eXQ_11_11"/>
      <w:bookmarkStart w:id="727" w:name="Tc_EY3CZEEEL0qdNlQXdLpWkw_11_8"/>
      <w:bookmarkStart w:id="728" w:name="Tc_jEewC6j3NE-YQLROqdRgxg_11_5"/>
      <w:bookmarkStart w:id="729" w:name="Tc_Rxpa6y8giUuHIE9wp_YRVw_11_0"/>
      <w:bookmarkStart w:id="730" w:name="Tc_dn8c_QlGjE69UU4BTszltw_10_18"/>
      <w:bookmarkStart w:id="731" w:name="Tc_rVfTThWpbUOZX0CSDxmmqg_10_15"/>
      <w:bookmarkStart w:id="732" w:name="Tc_-CAbhZgyVEWlnt8nt_OlqQ_10_10"/>
      <w:bookmarkStart w:id="733" w:name="Tc_h7Y9d1ulM0CXiLXZtilwhA_10_7"/>
      <w:bookmarkStart w:id="734" w:name="Tc_MP3S7vF9HEKQl76H5Ho8fQ_10_4"/>
      <w:bookmarkStart w:id="735" w:name="Tc_qBjd8ylym0irOg0Sb8HldA_10_0"/>
      <w:bookmarkStart w:id="736" w:name="Tc_yqWURJ1iskiPMi51ywKY-Q_9_16"/>
      <w:bookmarkStart w:id="737" w:name="Tc_ezizdJCBck-IdMDUmoXmbw_9_13"/>
      <w:bookmarkStart w:id="738" w:name="Tc_LY9t2Y5bi0C4kNt6Bl_3nw_9_8"/>
      <w:bookmarkStart w:id="739" w:name="Tc_oPWEzqtkG0aWa1TDdPNenA_9_5"/>
      <w:bookmarkStart w:id="740" w:name="Tc_RFEhLAGaLk60k5FHPIfyhg_9_2"/>
      <w:bookmarkStart w:id="741" w:name="Tc_c27_PbCQZkat-M5_Nu1fJQ_9_0"/>
      <w:bookmarkStart w:id="742" w:name="Tc_aeAOcIE4tEipgC76_eJIBA_8_11"/>
      <w:bookmarkStart w:id="743" w:name="Tc_HMu-dHJdDkWWufSHNdvc4w_8_8"/>
      <w:bookmarkStart w:id="744" w:name="Tc_i6bj8fZE_UC2U0vu_3ZF5w_8_5"/>
      <w:bookmarkStart w:id="745" w:name="Tc_sVSX-_KttUaecKdPIHP4rw_8_2"/>
      <w:bookmarkStart w:id="746" w:name="Tc_NS6VWZnWBU2GMS0EJSXIPA_8_0"/>
      <w:bookmarkStart w:id="747" w:name="Tc_870kglePd0mH0r4j4r9FSQ_7_16"/>
      <w:bookmarkStart w:id="748" w:name="Tc_0XtMnCLiKkuNQO-7Kh48WA_7_13"/>
      <w:bookmarkStart w:id="749" w:name="Tc_lezhMLLQtEChV1qS3lVC3w_7_11"/>
      <w:bookmarkStart w:id="750" w:name="Tc_cZuvzk_1PkmhFZEILZD6_g_7_5"/>
      <w:bookmarkStart w:id="751" w:name="Tc_xrzzPOItq0SvUCRRIzw3xw_7_0"/>
      <w:bookmarkStart w:id="752" w:name="Tc_AiS1RI78-EioWznWYa_OCA_6_16"/>
      <w:bookmarkStart w:id="753" w:name="Tc_M17vkL_CZ0ybv5v3zgTx-g_6_13"/>
      <w:bookmarkStart w:id="754" w:name="Tc_rx7NHh_Zn0-UPO7hcD7CEg_6_11"/>
      <w:bookmarkStart w:id="755" w:name="Tc_tKq4UIv_LEyIhDywMkYgNg_6_5"/>
      <w:bookmarkStart w:id="756" w:name="Tc_UlbiVqxsDEWUzuEsOLvQuw_6_2"/>
      <w:bookmarkStart w:id="757" w:name="Tc_RqBYxF3hPE-7mtkRQA5PHA_6_0"/>
      <w:bookmarkStart w:id="758" w:name="Tc_xsAJk3qX9kSuLNo7MMSJxQ_5_19"/>
      <w:bookmarkStart w:id="759" w:name="Tc_Nv4RfAHiUEGa2WJBXsm5bA_5_16"/>
      <w:bookmarkStart w:id="760" w:name="Tc_MwE38jSbuEiNuTD0ByzufQ_5_13"/>
      <w:bookmarkStart w:id="761" w:name="Tc_FtYetdD4-EC19MeVVxSFdw_5_11"/>
      <w:bookmarkStart w:id="762" w:name="Tc_v5QxQAjHHUC1XHTi7G5fXQ_5_8"/>
      <w:bookmarkStart w:id="763" w:name="Tc_VHng1ox1EU2Ivv-oZZ-PUQ_5_5"/>
      <w:bookmarkStart w:id="764" w:name="Tc_T9bclc7gLECE28wvhuFvIA_5_0"/>
      <w:bookmarkStart w:id="765" w:name="Tc_10w3FB5ETU-eGUyuvp349g_4_19"/>
      <w:bookmarkStart w:id="766" w:name="Tc_R70lr71D3UOX7nOwh7qJJw_4_16"/>
      <w:bookmarkStart w:id="767" w:name="Tc_ZNAJvWJIFkC9mR2JVlLutg_4_13"/>
      <w:bookmarkStart w:id="768" w:name="Tc_d1OIuzG4w0WGZofeUYJZUw_4_11"/>
      <w:bookmarkStart w:id="769" w:name="Tc_Il73URt47Uus5So5iqJydw_4_8"/>
      <w:bookmarkStart w:id="770" w:name="Tc_86dHDLnMXkKB9BOClCO31g_4_5"/>
      <w:bookmarkStart w:id="771" w:name="Tc_n8VnH7_m7kifRXRYxBfl9A_4_0"/>
      <w:bookmarkStart w:id="772" w:name="Tc_0_oHcTZj5U61w7cyDv-M8w_3_18"/>
      <w:bookmarkStart w:id="773" w:name="Tc_fCfAvVkLxUSUqDpLV7C2vA_3_15"/>
      <w:bookmarkStart w:id="774" w:name="Tc_qNw1z-adNUamhPDnUOltqQ_3_10"/>
      <w:bookmarkStart w:id="775" w:name="Tc_ycrsTibDiEaxgkYfgN8HJw_3_7"/>
      <w:bookmarkStart w:id="776" w:name="Tc_WxZU4gel0U-IZtanCQ-Ebg_3_4"/>
      <w:bookmarkStart w:id="777" w:name="Tc_2qYvvGUIfkaAABQGu0WkPQ_3_0"/>
      <w:bookmarkStart w:id="778" w:name="Tc_dF5G1fYi8UaPSjVRbHwkhQ_2_18"/>
      <w:bookmarkStart w:id="779" w:name="Tc_gGMpKPyrIUeBGko9ttofPQ_2_15"/>
      <w:bookmarkStart w:id="780" w:name="Tc_2wXiBKcgJ06rQuSBZ6Ck1Q_2_13"/>
      <w:bookmarkStart w:id="781" w:name="Tc_hNNJwp4vu0OoP28Mpc7xzA_2_10"/>
      <w:bookmarkStart w:id="782" w:name="Tc_Zgl21wZ9nUyUBbkwIv5GiQ_2_7"/>
      <w:bookmarkStart w:id="783" w:name="Tc_cyIekd6PwE2eacBn7T9-eA_2_4"/>
      <w:bookmarkStart w:id="784" w:name="Tc_0KRyEnkIJ0eDf6afi4JWRQ_2_2"/>
      <w:bookmarkStart w:id="785" w:name="Tc_iPVZRtnF30yYYdEzaaSh8A_1_13"/>
      <w:bookmarkStart w:id="786" w:name="Tc_GYT-GtjEyU2yEVMNeIN4cg_1_10"/>
      <w:bookmarkStart w:id="787" w:name="Tc_eODxZ5Pd6k-vPWXKKRYl7g_1_7"/>
      <w:bookmarkStart w:id="788" w:name="Tc_TPjq0aBL9E2pTUcXHNRrlg_1_2"/>
      <w:bookmarkStart w:id="789" w:name="_e88109a9_2cd7_4769_9c60_c0f704a590c4"/>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bookmarkEnd w:id="782"/>
      <w:bookmarkEnd w:id="783"/>
      <w:bookmarkEnd w:id="784"/>
      <w:bookmarkEnd w:id="785"/>
      <w:bookmarkEnd w:id="786"/>
      <w:bookmarkEnd w:id="787"/>
      <w:bookmarkEnd w:id="788"/>
      <w:bookmarkEnd w:id="789"/>
    </w:p>
    <w:tbl>
      <w:tblPr>
        <w:tblW w:w="10205" w:type="dxa"/>
        <w:jc w:val="left"/>
        <w:tblInd w:w="0" w:type="dxa"/>
        <w:tblLayout w:type="fixed"/>
        <w:tblCellMar>
          <w:top w:w="0" w:type="dxa"/>
          <w:left w:w="0" w:type="dxa"/>
          <w:bottom w:w="0" w:type="dxa"/>
          <w:right w:w="0" w:type="dxa"/>
        </w:tblCellMar>
      </w:tblPr>
      <w:tblGrid>
        <w:gridCol w:w="2497"/>
        <w:gridCol w:w="146"/>
        <w:gridCol w:w="1036"/>
        <w:gridCol w:w="109"/>
        <w:gridCol w:w="250"/>
        <w:gridCol w:w="501"/>
        <w:gridCol w:w="109"/>
        <w:gridCol w:w="211"/>
        <w:gridCol w:w="781"/>
        <w:gridCol w:w="109"/>
        <w:gridCol w:w="211"/>
        <w:gridCol w:w="781"/>
        <w:gridCol w:w="146"/>
        <w:gridCol w:w="931"/>
        <w:gridCol w:w="109"/>
        <w:gridCol w:w="211"/>
        <w:gridCol w:w="860"/>
        <w:gridCol w:w="109"/>
        <w:gridCol w:w="211"/>
        <w:gridCol w:w="887"/>
      </w:tblGrid>
      <w:tr>
        <w:trPr/>
        <w:tc>
          <w:tcPr>
            <w:tcW w:w="2497"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92710" cy="175260"/>
                      <wp:effectExtent l="0" t="0" r="0" b="0"/>
                      <wp:wrapNone/>
                      <wp:docPr id="56" name="Frame56"/>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57860" cy="175260"/>
                      <wp:effectExtent l="0" t="0" r="0" b="0"/>
                      <wp:wrapNone/>
                      <wp:docPr id="57" name="Frame57"/>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9215" cy="175260"/>
                      <wp:effectExtent l="0" t="0" r="0" b="0"/>
                      <wp:wrapNone/>
                      <wp:docPr id="58" name="Frame5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158750" cy="175260"/>
                      <wp:effectExtent l="0" t="0" r="0" b="0"/>
                      <wp:wrapNone/>
                      <wp:docPr id="59" name="Frame59"/>
                      <a:graphic xmlns:a="http://schemas.openxmlformats.org/drawingml/2006/main">
                        <a:graphicData uri="http://schemas.microsoft.com/office/word/2010/wordprocessingShape">
                          <wps:wsp>
                            <wps:cNvSpPr txBox="1"/>
                            <wps:spPr>
                              <a:xfrm>
                                <a:off x="0" y="0"/>
                                <a:ext cx="1587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318135" cy="175260"/>
                      <wp:effectExtent l="0" t="0" r="0" b="0"/>
                      <wp:wrapNone/>
                      <wp:docPr id="60" name="Frame60"/>
                      <a:graphic xmlns:a="http://schemas.openxmlformats.org/drawingml/2006/main">
                        <a:graphicData uri="http://schemas.microsoft.com/office/word/2010/wordprocessingShape">
                          <wps:wsp>
                            <wps:cNvSpPr txBox="1"/>
                            <wps:spPr>
                              <a:xfrm>
                                <a:off x="0" y="0"/>
                                <a:ext cx="318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9215" cy="175260"/>
                      <wp:effectExtent l="0" t="0" r="0" b="0"/>
                      <wp:wrapNone/>
                      <wp:docPr id="61" name="Frame6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133985" cy="175260"/>
                      <wp:effectExtent l="0" t="0" r="0" b="0"/>
                      <wp:wrapNone/>
                      <wp:docPr id="62" name="Frame6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495935" cy="175260"/>
                      <wp:effectExtent l="0" t="0" r="0" b="0"/>
                      <wp:wrapNone/>
                      <wp:docPr id="63" name="Frame63"/>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9215" cy="175260"/>
                      <wp:effectExtent l="0" t="0" r="0" b="0"/>
                      <wp:wrapNone/>
                      <wp:docPr id="64" name="Frame6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133985" cy="175260"/>
                      <wp:effectExtent l="0" t="0" r="0" b="0"/>
                      <wp:wrapNone/>
                      <wp:docPr id="65" name="Frame6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495935" cy="175260"/>
                      <wp:effectExtent l="0" t="0" r="0" b="0"/>
                      <wp:wrapNone/>
                      <wp:docPr id="66" name="Frame66"/>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92710" cy="175260"/>
                      <wp:effectExtent l="0" t="0" r="0" b="0"/>
                      <wp:wrapNone/>
                      <wp:docPr id="67" name="Frame67"/>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591185" cy="175260"/>
                      <wp:effectExtent l="0" t="0" r="0" b="0"/>
                      <wp:wrapNone/>
                      <wp:docPr id="68" name="Frame68"/>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9215" cy="175260"/>
                      <wp:effectExtent l="0" t="0" r="0" b="0"/>
                      <wp:wrapNone/>
                      <wp:docPr id="69" name="Frame6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133985" cy="175260"/>
                      <wp:effectExtent l="0" t="0" r="0" b="0"/>
                      <wp:wrapNone/>
                      <wp:docPr id="70" name="Frame7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6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546100" cy="175260"/>
                      <wp:effectExtent l="0" t="0" r="0" b="0"/>
                      <wp:wrapNone/>
                      <wp:docPr id="71" name="Frame71"/>
                      <a:graphic xmlns:a="http://schemas.openxmlformats.org/drawingml/2006/main">
                        <a:graphicData uri="http://schemas.microsoft.com/office/word/2010/wordprocessingShape">
                          <wps:wsp>
                            <wps:cNvSpPr txBox="1"/>
                            <wps:spPr>
                              <a:xfrm>
                                <a:off x="0" y="0"/>
                                <a:ext cx="5461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9215" cy="175260"/>
                      <wp:effectExtent l="0" t="0" r="0" b="0"/>
                      <wp:wrapNone/>
                      <wp:docPr id="72" name="Frame7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133985" cy="175260"/>
                      <wp:effectExtent l="0" t="0" r="0" b="0"/>
                      <wp:wrapNone/>
                      <wp:docPr id="73" name="Frame7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563245" cy="175260"/>
                      <wp:effectExtent l="0" t="0" r="0" b="0"/>
                      <wp:wrapNone/>
                      <wp:docPr id="74" name="Frame74"/>
                      <a:graphic xmlns:a="http://schemas.openxmlformats.org/drawingml/2006/main">
                        <a:graphicData uri="http://schemas.microsoft.com/office/word/2010/wordprocessingShape">
                          <wps:wsp>
                            <wps:cNvSpPr txBox="1"/>
                            <wps:spPr>
                              <a:xfrm>
                                <a:off x="0" y="0"/>
                                <a:ext cx="5632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497"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1896"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Common Stock</w:t>
            </w:r>
          </w:p>
        </w:tc>
        <w:tc>
          <w:tcPr>
            <w:tcW w:w="109" w:type="dxa"/>
            <w:tcBorders/>
            <w:vAlign w:val="center"/>
          </w:tcPr>
          <w:p>
            <w:pPr>
              <w:pStyle w:val="TableContents"/>
              <w:bidi w:val="0"/>
              <w:spacing w:before="0" w:after="0"/>
              <w:ind w:left="0" w:right="0" w:hanging="0"/>
              <w:jc w:val="left"/>
              <w:rPr/>
            </w:pPr>
            <w:r>
              <w:rPr/>
              <w:t>​</w:t>
            </w:r>
          </w:p>
        </w:tc>
        <w:tc>
          <w:tcPr>
            <w:tcW w:w="992" w:type="dxa"/>
            <w:gridSpan w:val="2"/>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Paid in</w:t>
            </w:r>
          </w:p>
        </w:tc>
        <w:tc>
          <w:tcPr>
            <w:tcW w:w="109" w:type="dxa"/>
            <w:tcBorders/>
            <w:vAlign w:val="center"/>
          </w:tcPr>
          <w:p>
            <w:pPr>
              <w:pStyle w:val="TableContents"/>
              <w:bidi w:val="0"/>
              <w:spacing w:before="0" w:after="0"/>
              <w:ind w:left="0" w:right="0" w:hanging="0"/>
              <w:jc w:val="left"/>
              <w:rPr/>
            </w:pPr>
            <w:r>
              <w:rPr/>
              <w:t>​</w:t>
            </w:r>
          </w:p>
        </w:tc>
        <w:tc>
          <w:tcPr>
            <w:tcW w:w="992" w:type="dxa"/>
            <w:gridSpan w:val="2"/>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Retained</w:t>
            </w:r>
          </w:p>
        </w:tc>
        <w:tc>
          <w:tcPr>
            <w:tcW w:w="146" w:type="dxa"/>
            <w:tcBorders/>
            <w:vAlign w:val="center"/>
          </w:tcPr>
          <w:p>
            <w:pPr>
              <w:pStyle w:val="TableContents"/>
              <w:bidi w:val="0"/>
              <w:spacing w:before="0" w:after="0"/>
              <w:ind w:left="0" w:right="0" w:hanging="0"/>
              <w:jc w:val="left"/>
              <w:rPr/>
            </w:pPr>
            <w:r>
              <w:rPr/>
              <w:t>​</w:t>
            </w:r>
          </w:p>
        </w:tc>
        <w:tc>
          <w:tcPr>
            <w:tcW w:w="2111"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Treasury Stock</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87" w:type="dxa"/>
            <w:tcBorders/>
            <w:vAlign w:val="center"/>
          </w:tcPr>
          <w:p>
            <w:pPr>
              <w:pStyle w:val="TableContents"/>
              <w:bidi w:val="0"/>
              <w:spacing w:before="0" w:after="0"/>
              <w:ind w:left="0" w:right="0" w:hanging="0"/>
              <w:jc w:val="center"/>
              <w:rPr/>
            </w:pPr>
            <w:r>
              <w:rPr/>
              <w:t>​</w:t>
            </w:r>
          </w:p>
        </w:tc>
      </w:tr>
      <w:tr>
        <w:trPr/>
        <w:tc>
          <w:tcPr>
            <w:tcW w:w="2497"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Shares</w:t>
            </w:r>
          </w:p>
        </w:tc>
        <w:tc>
          <w:tcPr>
            <w:tcW w:w="109" w:type="dxa"/>
            <w:tcBorders/>
            <w:vAlign w:val="center"/>
          </w:tcPr>
          <w:p>
            <w:pPr>
              <w:pStyle w:val="TableContents"/>
              <w:bidi w:val="0"/>
              <w:spacing w:before="0" w:after="0"/>
              <w:ind w:left="0" w:right="0" w:hanging="0"/>
              <w:jc w:val="left"/>
              <w:rPr/>
            </w:pPr>
            <w:r>
              <w:rPr/>
              <w:t>​</w:t>
            </w:r>
          </w:p>
        </w:tc>
        <w:tc>
          <w:tcPr>
            <w:tcW w:w="75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Amount</w:t>
            </w:r>
          </w:p>
        </w:tc>
        <w:tc>
          <w:tcPr>
            <w:tcW w:w="109" w:type="dxa"/>
            <w:tcBorders/>
            <w:vAlign w:val="center"/>
          </w:tcPr>
          <w:p>
            <w:pPr>
              <w:pStyle w:val="TableContents"/>
              <w:bidi w:val="0"/>
              <w:spacing w:before="0" w:after="0"/>
              <w:ind w:left="0" w:right="0" w:hanging="0"/>
              <w:jc w:val="left"/>
              <w:rPr/>
            </w:pPr>
            <w:r>
              <w:rPr/>
              <w:t>​</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Capital</w:t>
            </w:r>
          </w:p>
        </w:tc>
        <w:tc>
          <w:tcPr>
            <w:tcW w:w="109" w:type="dxa"/>
            <w:tcBorders/>
            <w:vAlign w:val="center"/>
          </w:tcPr>
          <w:p>
            <w:pPr>
              <w:pStyle w:val="TableContents"/>
              <w:bidi w:val="0"/>
              <w:spacing w:before="0" w:after="0"/>
              <w:ind w:left="0" w:right="0" w:hanging="0"/>
              <w:jc w:val="left"/>
              <w:rPr/>
            </w:pPr>
            <w:r>
              <w:rPr/>
              <w:t>​</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Earnings</w:t>
            </w:r>
          </w:p>
        </w:tc>
        <w:tc>
          <w:tcPr>
            <w:tcW w:w="146" w:type="dxa"/>
            <w:tcBorders/>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Shares</w:t>
            </w:r>
          </w:p>
        </w:tc>
        <w:tc>
          <w:tcPr>
            <w:tcW w:w="109" w:type="dxa"/>
            <w:tcBorders/>
            <w:vAlign w:val="center"/>
          </w:tcPr>
          <w:p>
            <w:pPr>
              <w:pStyle w:val="TableContents"/>
              <w:bidi w:val="0"/>
              <w:spacing w:before="0" w:after="0"/>
              <w:ind w:left="0" w:right="0" w:hanging="0"/>
              <w:jc w:val="left"/>
              <w:rPr/>
            </w:pPr>
            <w:r>
              <w:rPr/>
              <w:t>​</w:t>
            </w:r>
          </w:p>
        </w:tc>
        <w:tc>
          <w:tcPr>
            <w:tcW w:w="107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Amount</w:t>
            </w:r>
          </w:p>
        </w:tc>
        <w:tc>
          <w:tcPr>
            <w:tcW w:w="109" w:type="dxa"/>
            <w:tcBorders/>
            <w:vAlign w:val="center"/>
          </w:tcPr>
          <w:p>
            <w:pPr>
              <w:pStyle w:val="TableContents"/>
              <w:bidi w:val="0"/>
              <w:spacing w:before="0" w:after="0"/>
              <w:ind w:left="0" w:right="0" w:hanging="0"/>
              <w:jc w:val="left"/>
              <w:rPr/>
            </w:pPr>
            <w:r>
              <w:rPr/>
              <w:t>​</w:t>
            </w:r>
          </w:p>
        </w:tc>
        <w:tc>
          <w:tcPr>
            <w:tcW w:w="109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Total</w:t>
            </w:r>
          </w:p>
        </w:tc>
      </w:tr>
      <w:tr>
        <w:trPr/>
        <w:tc>
          <w:tcPr>
            <w:tcW w:w="2497"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Balances — February 1, 2025</w:t>
            </w:r>
          </w:p>
        </w:tc>
        <w:tc>
          <w:tcPr>
            <w:tcW w:w="146"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16,497,092</w:t>
            </w:r>
          </w:p>
        </w:tc>
        <w:tc>
          <w:tcPr>
            <w:tcW w:w="109" w:type="dxa"/>
            <w:tcBorders/>
            <w:shd w:fill="CCEEFF" w:val="clear"/>
            <w:vAlign w:val="center"/>
          </w:tcPr>
          <w:p>
            <w:pPr>
              <w:pStyle w:val="TableContents"/>
              <w:bidi w:val="0"/>
              <w:spacing w:before="0" w:after="0"/>
              <w:ind w:left="0" w:right="0" w:hanging="0"/>
              <w:jc w:val="left"/>
              <w:rPr/>
            </w:pPr>
            <w:r>
              <w:rPr/>
              <w:t>​</w:t>
            </w:r>
          </w:p>
        </w:tc>
        <w:tc>
          <w:tcPr>
            <w:tcW w:w="250"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501"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162</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781"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108,101</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781"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275,901</w:t>
            </w:r>
          </w:p>
        </w:tc>
        <w:tc>
          <w:tcPr>
            <w:tcW w:w="14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7,949,251</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860"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(270,988)</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887"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113,176</w:t>
            </w:r>
          </w:p>
        </w:tc>
      </w:tr>
      <w:tr>
        <w:trPr/>
        <w:tc>
          <w:tcPr>
            <w:tcW w:w="2497"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Grant of restricted shares</w:t>
            </w:r>
          </w:p>
        </w:tc>
        <w:tc>
          <w:tcPr>
            <w:tcW w:w="146"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2,089</w:t>
            </w:r>
          </w:p>
        </w:tc>
        <w:tc>
          <w:tcPr>
            <w:tcW w:w="109" w:type="dxa"/>
            <w:tcBorders/>
            <w:vAlign w:val="center"/>
          </w:tcPr>
          <w:p>
            <w:pPr>
              <w:pStyle w:val="TableContents"/>
              <w:bidi w:val="0"/>
              <w:spacing w:before="0" w:after="0"/>
              <w:ind w:left="0" w:right="0" w:hanging="0"/>
              <w:jc w:val="left"/>
              <w:rPr/>
            </w:pPr>
            <w:r>
              <w:rPr/>
              <w:t>​</w:t>
            </w:r>
          </w:p>
        </w:tc>
        <w:tc>
          <w:tcPr>
            <w:tcW w:w="250" w:type="dxa"/>
            <w:tcBorders/>
            <w:vAlign w:val="center"/>
          </w:tcPr>
          <w:p>
            <w:pPr>
              <w:pStyle w:val="TableContents"/>
              <w:bidi w:val="0"/>
              <w:spacing w:before="0" w:after="0"/>
              <w:ind w:left="0" w:right="0" w:hanging="0"/>
              <w:jc w:val="left"/>
              <w:rPr/>
            </w:pPr>
            <w:r>
              <w:rPr/>
              <w:t>​</w:t>
            </w:r>
          </w:p>
        </w:tc>
        <w:tc>
          <w:tcPr>
            <w:tcW w:w="50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60"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87" w:type="dxa"/>
            <w:tcBorders/>
            <w:vAlign w:val="center"/>
          </w:tcPr>
          <w:p>
            <w:pPr>
              <w:pStyle w:val="TableContents"/>
              <w:bidi w:val="0"/>
              <w:spacing w:before="0" w:after="0"/>
              <w:ind w:left="0" w:right="0" w:hanging="0"/>
              <w:jc w:val="right"/>
              <w:rPr/>
            </w:pPr>
            <w:r>
              <w:rPr/>
              <w:t>—</w:t>
            </w:r>
          </w:p>
        </w:tc>
      </w:tr>
      <w:tr>
        <w:trPr/>
        <w:tc>
          <w:tcPr>
            <w:tcW w:w="2497"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Forfeiture of restricted shares</w:t>
            </w:r>
          </w:p>
        </w:tc>
        <w:tc>
          <w:tcPr>
            <w:tcW w:w="146"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(19,398)</w:t>
            </w:r>
          </w:p>
        </w:tc>
        <w:tc>
          <w:tcPr>
            <w:tcW w:w="109" w:type="dxa"/>
            <w:tcBorders/>
            <w:shd w:fill="CCEEFF" w:val="clear"/>
            <w:vAlign w:val="center"/>
          </w:tcPr>
          <w:p>
            <w:pPr>
              <w:pStyle w:val="TableContents"/>
              <w:bidi w:val="0"/>
              <w:spacing w:before="0" w:after="0"/>
              <w:ind w:left="0" w:right="0" w:hanging="0"/>
              <w:jc w:val="left"/>
              <w:rPr/>
            </w:pPr>
            <w:r>
              <w:rPr/>
              <w:t>​</w:t>
            </w:r>
          </w:p>
        </w:tc>
        <w:tc>
          <w:tcPr>
            <w:tcW w:w="250" w:type="dxa"/>
            <w:tcBorders/>
            <w:shd w:fill="CCEEFF" w:val="clear"/>
            <w:vAlign w:val="center"/>
          </w:tcPr>
          <w:p>
            <w:pPr>
              <w:pStyle w:val="TableContents"/>
              <w:bidi w:val="0"/>
              <w:spacing w:before="0" w:after="0"/>
              <w:ind w:left="0" w:right="0" w:hanging="0"/>
              <w:jc w:val="left"/>
              <w:rPr/>
            </w:pPr>
            <w:r>
              <w:rPr/>
              <w:t>​</w:t>
            </w:r>
          </w:p>
        </w:tc>
        <w:tc>
          <w:tcPr>
            <w:tcW w:w="50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60"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87" w:type="dxa"/>
            <w:tcBorders/>
            <w:shd w:fill="CCEEFF" w:val="clear"/>
            <w:vAlign w:val="center"/>
          </w:tcPr>
          <w:p>
            <w:pPr>
              <w:pStyle w:val="TableContents"/>
              <w:bidi w:val="0"/>
              <w:spacing w:before="0" w:after="0"/>
              <w:ind w:left="0" w:right="0" w:hanging="0"/>
              <w:jc w:val="right"/>
              <w:rPr/>
            </w:pPr>
            <w:r>
              <w:rPr/>
              <w:t>—</w:t>
            </w:r>
          </w:p>
        </w:tc>
      </w:tr>
      <w:tr>
        <w:trPr/>
        <w:tc>
          <w:tcPr>
            <w:tcW w:w="2497"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Stock-based compensation expense</w:t>
            </w:r>
          </w:p>
        </w:tc>
        <w:tc>
          <w:tcPr>
            <w:tcW w:w="146"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50" w:type="dxa"/>
            <w:tcBorders/>
            <w:vAlign w:val="center"/>
          </w:tcPr>
          <w:p>
            <w:pPr>
              <w:pStyle w:val="TableContents"/>
              <w:bidi w:val="0"/>
              <w:spacing w:before="0" w:after="0"/>
              <w:ind w:left="0" w:right="0" w:hanging="0"/>
              <w:jc w:val="left"/>
              <w:rPr/>
            </w:pPr>
            <w:r>
              <w:rPr/>
              <w:t>​</w:t>
            </w:r>
          </w:p>
        </w:tc>
        <w:tc>
          <w:tcPr>
            <w:tcW w:w="50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968</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60"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87"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968</w:t>
            </w:r>
          </w:p>
        </w:tc>
      </w:tr>
      <w:tr>
        <w:trPr/>
        <w:tc>
          <w:tcPr>
            <w:tcW w:w="2497"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Shares withheld for settlement of employee taxes on vesting</w:t>
            </w:r>
          </w:p>
        </w:tc>
        <w:tc>
          <w:tcPr>
            <w:tcW w:w="146"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(6,939)</w:t>
            </w:r>
          </w:p>
        </w:tc>
        <w:tc>
          <w:tcPr>
            <w:tcW w:w="109" w:type="dxa"/>
            <w:tcBorders/>
            <w:shd w:fill="CCEEFF" w:val="clear"/>
            <w:vAlign w:val="center"/>
          </w:tcPr>
          <w:p>
            <w:pPr>
              <w:pStyle w:val="TableContents"/>
              <w:bidi w:val="0"/>
              <w:spacing w:before="0" w:after="0"/>
              <w:ind w:left="0" w:right="0" w:hanging="0"/>
              <w:jc w:val="left"/>
              <w:rPr/>
            </w:pPr>
            <w:r>
              <w:rPr/>
              <w:t>​</w:t>
            </w:r>
          </w:p>
        </w:tc>
        <w:tc>
          <w:tcPr>
            <w:tcW w:w="250" w:type="dxa"/>
            <w:tcBorders/>
            <w:shd w:fill="CCEEFF" w:val="clear"/>
            <w:vAlign w:val="center"/>
          </w:tcPr>
          <w:p>
            <w:pPr>
              <w:pStyle w:val="TableContents"/>
              <w:bidi w:val="0"/>
              <w:spacing w:before="0" w:after="0"/>
              <w:ind w:left="0" w:right="0" w:hanging="0"/>
              <w:jc w:val="left"/>
              <w:rPr/>
            </w:pPr>
            <w:r>
              <w:rPr/>
              <w:t>​</w:t>
            </w:r>
          </w:p>
        </w:tc>
        <w:tc>
          <w:tcPr>
            <w:tcW w:w="50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(141)</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60"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87"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(141)</w:t>
            </w:r>
          </w:p>
        </w:tc>
      </w:tr>
      <w:tr>
        <w:trPr/>
        <w:tc>
          <w:tcPr>
            <w:tcW w:w="2497"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Repurchase of common stock</w:t>
            </w:r>
          </w:p>
        </w:tc>
        <w:tc>
          <w:tcPr>
            <w:tcW w:w="146"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50" w:type="dxa"/>
            <w:tcBorders/>
            <w:vAlign w:val="center"/>
          </w:tcPr>
          <w:p>
            <w:pPr>
              <w:pStyle w:val="TableContents"/>
              <w:bidi w:val="0"/>
              <w:spacing w:before="0" w:after="0"/>
              <w:ind w:left="0" w:right="0" w:hanging="0"/>
              <w:jc w:val="left"/>
              <w:rPr/>
            </w:pPr>
            <w:r>
              <w:rPr/>
              <w:t>​</w:t>
            </w:r>
          </w:p>
        </w:tc>
        <w:tc>
          <w:tcPr>
            <w:tcW w:w="50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250,555</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60"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(6,315)</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87"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(6,315)</w:t>
            </w:r>
          </w:p>
        </w:tc>
      </w:tr>
      <w:tr>
        <w:trPr/>
        <w:tc>
          <w:tcPr>
            <w:tcW w:w="2497"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Net income (loss)</w:t>
            </w:r>
          </w:p>
        </w:tc>
        <w:tc>
          <w:tcPr>
            <w:tcW w:w="146" w:type="dxa"/>
            <w:tcBorders/>
            <w:shd w:fill="CCEEFF" w:val="clear"/>
            <w:vAlign w:val="center"/>
          </w:tcPr>
          <w:p>
            <w:pPr>
              <w:pStyle w:val="TableContents"/>
              <w:bidi w:val="0"/>
              <w:spacing w:before="0" w:after="0"/>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5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871</w:t>
            </w:r>
          </w:p>
        </w:tc>
        <w:tc>
          <w:tcPr>
            <w:tcW w:w="146" w:type="dxa"/>
            <w:tcBorders/>
            <w:shd w:fill="CCEEFF" w:val="clear"/>
            <w:vAlign w:val="center"/>
          </w:tcPr>
          <w:p>
            <w:pPr>
              <w:pStyle w:val="TableContents"/>
              <w:bidi w:val="0"/>
              <w:spacing w:before="0" w:after="0"/>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6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8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871</w:t>
            </w:r>
          </w:p>
        </w:tc>
      </w:tr>
      <w:tr>
        <w:trPr/>
        <w:tc>
          <w:tcPr>
            <w:tcW w:w="2497"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Balances — May 3, 2025</w:t>
            </w:r>
          </w:p>
        </w:tc>
        <w:tc>
          <w:tcPr>
            <w:tcW w:w="146" w:type="dxa"/>
            <w:tcBorders/>
            <w:vAlign w:val="center"/>
          </w:tcPr>
          <w:p>
            <w:pPr>
              <w:pStyle w:val="TableContents"/>
              <w:bidi w:val="0"/>
              <w:spacing w:before="0" w:after="0"/>
              <w:ind w:left="0" w:right="0" w:hanging="0"/>
              <w:jc w:val="left"/>
              <w:rPr/>
            </w:pPr>
            <w:r>
              <w:rPr/>
              <w:t> </w:t>
            </w:r>
          </w:p>
        </w:tc>
        <w:tc>
          <w:tcPr>
            <w:tcW w:w="1036"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16,472,844</w:t>
            </w:r>
          </w:p>
        </w:tc>
        <w:tc>
          <w:tcPr>
            <w:tcW w:w="109" w:type="dxa"/>
            <w:tcBorders/>
            <w:vAlign w:val="center"/>
          </w:tcPr>
          <w:p>
            <w:pPr>
              <w:pStyle w:val="TableContents"/>
              <w:bidi w:val="0"/>
              <w:spacing w:before="0" w:after="0"/>
              <w:ind w:left="0" w:right="0" w:hanging="0"/>
              <w:jc w:val="left"/>
              <w:rPr/>
            </w:pPr>
            <w:r>
              <w:rPr/>
              <w:t>​</w:t>
            </w:r>
          </w:p>
        </w:tc>
        <w:tc>
          <w:tcPr>
            <w:tcW w:w="250"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501"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162</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108,928</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276,772</w:t>
            </w:r>
          </w:p>
        </w:tc>
        <w:tc>
          <w:tcPr>
            <w:tcW w:w="146" w:type="dxa"/>
            <w:tcBorders/>
            <w:vAlign w:val="center"/>
          </w:tcPr>
          <w:p>
            <w:pPr>
              <w:pStyle w:val="TableContents"/>
              <w:bidi w:val="0"/>
              <w:spacing w:before="0" w:after="0"/>
              <w:ind w:left="0" w:right="0" w:hanging="0"/>
              <w:jc w:val="left"/>
              <w:rPr/>
            </w:pPr>
            <w:r>
              <w:rPr/>
              <w:t> </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8,199,806</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860"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(277,303)</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887"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108,559</w:t>
            </w:r>
          </w:p>
        </w:tc>
      </w:tr>
      <w:tr>
        <w:trPr/>
        <w:tc>
          <w:tcPr>
            <w:tcW w:w="2497"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Grant of restricted shares</w:t>
            </w:r>
          </w:p>
        </w:tc>
        <w:tc>
          <w:tcPr>
            <w:tcW w:w="146"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60,357</w:t>
            </w:r>
          </w:p>
        </w:tc>
        <w:tc>
          <w:tcPr>
            <w:tcW w:w="109" w:type="dxa"/>
            <w:tcBorders/>
            <w:shd w:fill="CCEEFF" w:val="clear"/>
            <w:vAlign w:val="center"/>
          </w:tcPr>
          <w:p>
            <w:pPr>
              <w:pStyle w:val="TableContents"/>
              <w:bidi w:val="0"/>
              <w:spacing w:before="0" w:after="0"/>
              <w:ind w:left="0" w:right="0" w:hanging="0"/>
              <w:jc w:val="left"/>
              <w:rPr/>
            </w:pPr>
            <w:r>
              <w:rPr/>
              <w:t>​</w:t>
            </w:r>
          </w:p>
        </w:tc>
        <w:tc>
          <w:tcPr>
            <w:tcW w:w="250" w:type="dxa"/>
            <w:tcBorders/>
            <w:shd w:fill="CCEEFF" w:val="clear"/>
            <w:vAlign w:val="center"/>
          </w:tcPr>
          <w:p>
            <w:pPr>
              <w:pStyle w:val="TableContents"/>
              <w:bidi w:val="0"/>
              <w:spacing w:before="0" w:after="0"/>
              <w:ind w:left="0" w:right="0" w:hanging="0"/>
              <w:jc w:val="left"/>
              <w:rPr/>
            </w:pPr>
            <w:r>
              <w:rPr/>
              <w:t>​</w:t>
            </w:r>
          </w:p>
        </w:tc>
        <w:tc>
          <w:tcPr>
            <w:tcW w:w="50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60"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87" w:type="dxa"/>
            <w:tcBorders/>
            <w:shd w:fill="CCEEFF" w:val="clear"/>
            <w:vAlign w:val="center"/>
          </w:tcPr>
          <w:p>
            <w:pPr>
              <w:pStyle w:val="TableContents"/>
              <w:bidi w:val="0"/>
              <w:spacing w:before="0" w:after="0"/>
              <w:ind w:left="0" w:right="0" w:hanging="0"/>
              <w:jc w:val="right"/>
              <w:rPr/>
            </w:pPr>
            <w:r>
              <w:rPr/>
              <w:t>—</w:t>
            </w:r>
          </w:p>
        </w:tc>
      </w:tr>
      <w:tr>
        <w:trPr/>
        <w:tc>
          <w:tcPr>
            <w:tcW w:w="2497"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Forfeiture of restricted shares</w:t>
            </w:r>
          </w:p>
        </w:tc>
        <w:tc>
          <w:tcPr>
            <w:tcW w:w="14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(2,620)</w:t>
            </w:r>
          </w:p>
        </w:tc>
        <w:tc>
          <w:tcPr>
            <w:tcW w:w="109" w:type="dxa"/>
            <w:tcBorders/>
            <w:vAlign w:val="center"/>
          </w:tcPr>
          <w:p>
            <w:pPr>
              <w:pStyle w:val="TableContents"/>
              <w:bidi w:val="0"/>
              <w:spacing w:before="0" w:after="0"/>
              <w:ind w:left="0" w:right="0" w:hanging="0"/>
              <w:jc w:val="left"/>
              <w:rPr/>
            </w:pPr>
            <w:r>
              <w:rPr/>
              <w:t>​</w:t>
            </w:r>
          </w:p>
        </w:tc>
        <w:tc>
          <w:tcPr>
            <w:tcW w:w="250" w:type="dxa"/>
            <w:tcBorders/>
            <w:vAlign w:val="center"/>
          </w:tcPr>
          <w:p>
            <w:pPr>
              <w:pStyle w:val="TableContents"/>
              <w:bidi w:val="0"/>
              <w:spacing w:before="0" w:after="0"/>
              <w:ind w:left="0" w:right="0" w:hanging="0"/>
              <w:jc w:val="left"/>
              <w:rPr/>
            </w:pPr>
            <w:r>
              <w:rPr/>
              <w:t>​</w:t>
            </w:r>
          </w:p>
        </w:tc>
        <w:tc>
          <w:tcPr>
            <w:tcW w:w="50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60"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87" w:type="dxa"/>
            <w:tcBorders/>
            <w:vAlign w:val="center"/>
          </w:tcPr>
          <w:p>
            <w:pPr>
              <w:pStyle w:val="TableContents"/>
              <w:bidi w:val="0"/>
              <w:spacing w:before="0" w:after="0"/>
              <w:ind w:left="0" w:right="0" w:hanging="0"/>
              <w:jc w:val="right"/>
              <w:rPr/>
            </w:pPr>
            <w:r>
              <w:rPr/>
              <w:t>—</w:t>
            </w:r>
          </w:p>
        </w:tc>
      </w:tr>
      <w:tr>
        <w:trPr/>
        <w:tc>
          <w:tcPr>
            <w:tcW w:w="2497"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Stock-based compensation expense</w:t>
            </w:r>
          </w:p>
        </w:tc>
        <w:tc>
          <w:tcPr>
            <w:tcW w:w="146"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50" w:type="dxa"/>
            <w:tcBorders/>
            <w:shd w:fill="CCEEFF" w:val="clear"/>
            <w:vAlign w:val="center"/>
          </w:tcPr>
          <w:p>
            <w:pPr>
              <w:pStyle w:val="TableContents"/>
              <w:bidi w:val="0"/>
              <w:spacing w:before="0" w:after="0"/>
              <w:ind w:left="0" w:right="0" w:hanging="0"/>
              <w:jc w:val="left"/>
              <w:rPr/>
            </w:pPr>
            <w:r>
              <w:rPr/>
              <w:t>​</w:t>
            </w:r>
          </w:p>
        </w:tc>
        <w:tc>
          <w:tcPr>
            <w:tcW w:w="50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1,483</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60"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87"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1,483</w:t>
            </w:r>
          </w:p>
        </w:tc>
      </w:tr>
      <w:tr>
        <w:trPr/>
        <w:tc>
          <w:tcPr>
            <w:tcW w:w="2497"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Shares withheld for settlement of employee taxes on vesting</w:t>
            </w:r>
          </w:p>
        </w:tc>
        <w:tc>
          <w:tcPr>
            <w:tcW w:w="14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(24,863)</w:t>
            </w:r>
          </w:p>
        </w:tc>
        <w:tc>
          <w:tcPr>
            <w:tcW w:w="109" w:type="dxa"/>
            <w:tcBorders/>
            <w:vAlign w:val="center"/>
          </w:tcPr>
          <w:p>
            <w:pPr>
              <w:pStyle w:val="TableContents"/>
              <w:bidi w:val="0"/>
              <w:spacing w:before="0" w:after="0"/>
              <w:ind w:left="0" w:right="0" w:hanging="0"/>
              <w:jc w:val="left"/>
              <w:rPr/>
            </w:pPr>
            <w:r>
              <w:rPr/>
              <w:t>​</w:t>
            </w:r>
          </w:p>
        </w:tc>
        <w:tc>
          <w:tcPr>
            <w:tcW w:w="250" w:type="dxa"/>
            <w:tcBorders/>
            <w:vAlign w:val="center"/>
          </w:tcPr>
          <w:p>
            <w:pPr>
              <w:pStyle w:val="TableContents"/>
              <w:bidi w:val="0"/>
              <w:spacing w:before="0" w:after="0"/>
              <w:ind w:left="0" w:right="0" w:hanging="0"/>
              <w:jc w:val="left"/>
              <w:rPr/>
            </w:pPr>
            <w:r>
              <w:rPr/>
              <w:t>​</w:t>
            </w:r>
          </w:p>
        </w:tc>
        <w:tc>
          <w:tcPr>
            <w:tcW w:w="50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(620)</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60"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87"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(620)</w:t>
            </w:r>
          </w:p>
        </w:tc>
      </w:tr>
      <w:tr>
        <w:trPr/>
        <w:tc>
          <w:tcPr>
            <w:tcW w:w="2497"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Net income (loss)</w:t>
            </w:r>
          </w:p>
        </w:tc>
        <w:tc>
          <w:tcPr>
            <w:tcW w:w="146" w:type="dxa"/>
            <w:tcBorders/>
            <w:shd w:fill="CCEEFF" w:val="clear"/>
            <w:vAlign w:val="center"/>
          </w:tcPr>
          <w:p>
            <w:pPr>
              <w:pStyle w:val="TableContents"/>
              <w:bidi w:val="0"/>
              <w:spacing w:before="0" w:after="0"/>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5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3,818</w:t>
            </w:r>
          </w:p>
        </w:tc>
        <w:tc>
          <w:tcPr>
            <w:tcW w:w="146" w:type="dxa"/>
            <w:tcBorders/>
            <w:shd w:fill="CCEEFF" w:val="clear"/>
            <w:vAlign w:val="center"/>
          </w:tcPr>
          <w:p>
            <w:pPr>
              <w:pStyle w:val="TableContents"/>
              <w:bidi w:val="0"/>
              <w:spacing w:before="0" w:after="0"/>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6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8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3,818</w:t>
            </w:r>
          </w:p>
        </w:tc>
      </w:tr>
      <w:tr>
        <w:trPr/>
        <w:tc>
          <w:tcPr>
            <w:tcW w:w="2497"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Balances — August 2, 2025</w:t>
            </w:r>
          </w:p>
        </w:tc>
        <w:tc>
          <w:tcPr>
            <w:tcW w:w="146" w:type="dxa"/>
            <w:tcBorders/>
            <w:vAlign w:val="center"/>
          </w:tcPr>
          <w:p>
            <w:pPr>
              <w:pStyle w:val="TableContents"/>
              <w:bidi w:val="0"/>
              <w:spacing w:before="0" w:after="0"/>
              <w:ind w:left="0" w:right="0" w:hanging="0"/>
              <w:jc w:val="left"/>
              <w:rPr/>
            </w:pPr>
            <w:r>
              <w:rPr/>
              <w:t> </w:t>
            </w:r>
          </w:p>
        </w:tc>
        <w:tc>
          <w:tcPr>
            <w:tcW w:w="1036"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16,505,718</w:t>
            </w:r>
          </w:p>
        </w:tc>
        <w:tc>
          <w:tcPr>
            <w:tcW w:w="109" w:type="dxa"/>
            <w:tcBorders/>
            <w:vAlign w:val="center"/>
          </w:tcPr>
          <w:p>
            <w:pPr>
              <w:pStyle w:val="TableContents"/>
              <w:bidi w:val="0"/>
              <w:spacing w:before="0" w:after="0"/>
              <w:ind w:left="0" w:right="0" w:hanging="0"/>
              <w:jc w:val="left"/>
              <w:rPr/>
            </w:pPr>
            <w:r>
              <w:rPr/>
              <w:t>​</w:t>
            </w:r>
          </w:p>
        </w:tc>
        <w:tc>
          <w:tcPr>
            <w:tcW w:w="250"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501"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162</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109,791</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280,590</w:t>
            </w:r>
          </w:p>
        </w:tc>
        <w:tc>
          <w:tcPr>
            <w:tcW w:w="146" w:type="dxa"/>
            <w:tcBorders/>
            <w:vAlign w:val="center"/>
          </w:tcPr>
          <w:p>
            <w:pPr>
              <w:pStyle w:val="TableContents"/>
              <w:bidi w:val="0"/>
              <w:spacing w:before="0" w:after="0"/>
              <w:ind w:left="0" w:right="0" w:hanging="0"/>
              <w:jc w:val="left"/>
              <w:rPr/>
            </w:pPr>
            <w:r>
              <w:rPr/>
              <w:t> </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8,199,806</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860"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(277,303)</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887" w:type="dxa"/>
            <w:tcBorders>
              <w:bottom w:val="double" w:sz="6" w:space="0" w:color="000000"/>
            </w:tcBorders>
            <w:tcMar>
              <w:bottom w:w="28" w:type="dxa"/>
            </w:tcMar>
            <w:vAlign w:val="center"/>
          </w:tcPr>
          <w:p>
            <w:pPr>
              <w:pStyle w:val="TableContents"/>
              <w:bidi w:val="0"/>
              <w:spacing w:before="0" w:after="0"/>
              <w:ind w:left="0" w:right="60" w:hanging="0"/>
              <w:jc w:val="right"/>
              <w:rPr>
                <w:rFonts w:ascii="Arial;Helvetica;sans-serif" w:hAnsi="Arial;Helvetica;sans-serif"/>
                <w:sz w:val="18"/>
              </w:rPr>
            </w:pPr>
            <w:r>
              <w:rPr>
                <w:rFonts w:ascii="Arial;Helvetica;sans-serif" w:hAnsi="Arial;Helvetica;sans-serif"/>
                <w:sz w:val="18"/>
              </w:rPr>
              <w:t>113,240</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Helvetica" w:hAnsi="Helvetica"/>
          <w:sz w:val="18"/>
        </w:rPr>
      </w:pPr>
      <w:r>
        <w:rPr>
          <w:rFonts w:ascii="Helvetica" w:hAnsi="Helvetica"/>
          <w:sz w:val="18"/>
        </w:rPr>
        <w:t>See accompanying notes to the condensed consolidated financial statements (unaudited).</w:t>
      </w:r>
    </w:p>
    <w:p>
      <w:pPr>
        <w:pStyle w:val="TextBody"/>
        <w:bidi w:val="0"/>
        <w:spacing w:before="480" w:after="0"/>
        <w:ind w:left="0" w:right="0" w:hanging="0"/>
        <w:jc w:val="center"/>
        <w:rPr>
          <w:rFonts w:ascii="Helvetica" w:hAnsi="Helvetica"/>
          <w:sz w:val="18"/>
        </w:rPr>
      </w:pPr>
      <w:r>
        <w:rPr>
          <w:rFonts w:ascii="Helvetica" w:hAnsi="Helvetica"/>
          <w:sz w:val="18"/>
        </w:rPr>
        <w:t>7</w:t>
      </w:r>
    </w:p>
    <w:p>
      <w:pPr>
        <w:pStyle w:val="TextBody"/>
        <w:bidi w:val="0"/>
        <w:spacing w:before="0" w:after="6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53"/>
        <w:ind w:left="0" w:right="0" w:hanging="0"/>
        <w:jc w:val="left"/>
        <w:rPr>
          <w:rFonts w:ascii="Helvetica" w:hAnsi="Helvetica"/>
          <w:b/>
          <w:sz w:val="18"/>
        </w:rPr>
      </w:pPr>
      <w:bookmarkStart w:id="790" w:name="_cf04bc6c_85e6_4a94_b732_354a2487a996"/>
      <w:bookmarkEnd w:id="790"/>
      <w:r>
        <w:rPr>
          <w:rFonts w:ascii="Helvetica" w:hAnsi="Helvetica"/>
          <w:b/>
          <w:sz w:val="18"/>
        </w:rPr>
        <w:t>Citi Trends, Inc.</w:t>
      </w:r>
    </w:p>
    <w:p>
      <w:pPr>
        <w:pStyle w:val="TextBody"/>
        <w:bidi w:val="0"/>
        <w:spacing w:before="0" w:after="53"/>
        <w:ind w:left="0" w:right="0" w:hanging="0"/>
        <w:jc w:val="left"/>
        <w:rPr>
          <w:rFonts w:ascii="Helvetica" w:hAnsi="Helvetica"/>
          <w:b/>
          <w:sz w:val="18"/>
        </w:rPr>
      </w:pPr>
      <w:bookmarkStart w:id="791" w:name="Notes_435113"/>
      <w:bookmarkEnd w:id="791"/>
      <w:r>
        <w:rPr>
          <w:rFonts w:ascii="Helvetica" w:hAnsi="Helvetica"/>
          <w:b/>
          <w:sz w:val="18"/>
        </w:rPr>
        <w:t>Notes to the Condensed Consolidated Financial Statements (unaudited)</w:t>
      </w:r>
    </w:p>
    <w:p>
      <w:pPr>
        <w:pStyle w:val="TextBody"/>
        <w:bidi w:val="0"/>
        <w:spacing w:before="0" w:after="53"/>
        <w:ind w:left="0" w:right="0" w:hanging="0"/>
        <w:jc w:val="left"/>
        <w:rPr>
          <w:rFonts w:ascii="Helvetica" w:hAnsi="Helvetica"/>
          <w:b/>
          <w:sz w:val="18"/>
        </w:rPr>
      </w:pPr>
      <w:r>
        <w:rPr>
          <w:rFonts w:ascii="Helvetica" w:hAnsi="Helvetica"/>
          <w:b/>
          <w:sz w:val="18"/>
        </w:rPr>
        <w:t>August 1, 2026</w:t>
      </w:r>
    </w:p>
    <w:p>
      <w:pPr>
        <w:pStyle w:val="TextBody"/>
        <w:bidi w:val="0"/>
        <w:spacing w:before="0" w:after="53"/>
        <w:ind w:left="0" w:right="0" w:hanging="0"/>
        <w:jc w:val="center"/>
        <w:rPr/>
      </w:pPr>
      <w:r>
        <w:rPr/>
        <w:t>​</w:t>
      </w:r>
    </w:p>
    <w:p>
      <w:pPr>
        <w:pStyle w:val="TextBody"/>
        <w:pBdr/>
        <w:bidi w:val="0"/>
        <w:spacing w:lineRule="auto" w:line="307" w:before="0" w:after="240"/>
        <w:ind w:left="0" w:right="0" w:hanging="245"/>
        <w:jc w:val="left"/>
        <w:rPr>
          <w:rFonts w:ascii="Helvetica" w:hAnsi="Helvetica"/>
          <w:sz w:val="18"/>
        </w:rPr>
      </w:pPr>
      <w:r>
        <w:rPr>
          <w:rFonts w:ascii="Helvetica" w:hAnsi="Helvetica"/>
          <w:sz w:val="18"/>
        </w:rPr>
        <w:t>1. Significant Accounting Policies</w:t>
      </w:r>
    </w:p>
    <w:p>
      <w:pPr>
        <w:pStyle w:val="TextBody"/>
        <w:pBdr/>
        <w:bidi w:val="0"/>
        <w:spacing w:lineRule="auto" w:line="307" w:before="0" w:after="0"/>
        <w:ind w:left="0" w:right="0" w:hanging="245"/>
        <w:jc w:val="left"/>
        <w:rPr>
          <w:rFonts w:ascii="Helvetica" w:hAnsi="Helvetica"/>
          <w:i/>
          <w:sz w:val="18"/>
        </w:rPr>
      </w:pPr>
      <w:r>
        <w:rPr>
          <w:rFonts w:ascii="Helvetica" w:hAnsi="Helvetica"/>
          <w:i/>
          <w:sz w:val="18"/>
        </w:rPr>
        <w:t>Basis of Presentation</w:t>
      </w:r>
    </w:p>
    <w:p>
      <w:pPr>
        <w:pStyle w:val="TextBody"/>
        <w:bidi w:val="0"/>
        <w:spacing w:lineRule="auto" w:line="307" w:before="0" w:after="0"/>
        <w:ind w:left="0" w:right="0" w:hanging="0"/>
        <w:jc w:val="left"/>
        <w:rPr>
          <w:rFonts w:ascii="Times New Roman;Times;serif" w:hAnsi="Times New Roman;Times;serif"/>
          <w:sz w:val="18"/>
        </w:rPr>
      </w:pPr>
      <w:r>
        <w:rPr>
          <w:rFonts w:ascii="Helvetica" w:hAnsi="Helvetica"/>
          <w:sz w:val="18"/>
        </w:rPr>
        <w:t>Citi Trends, Inc. and its subsidiary (the “Company”) is a leading off-price value retailer of apparel, accessories and home trends primarily for Black families in the United States. As of August 1, 2026, the Company operated 594</w:t>
      </w:r>
      <w:r>
        <w:rPr>
          <w:rFonts w:ascii="Times New Roman;Times;serif" w:hAnsi="Times New Roman;Times;serif"/>
          <w:sz w:val="18"/>
        </w:rPr>
        <w:t xml:space="preserve"> </w:t>
      </w:r>
      <w:r>
        <w:rPr>
          <w:rFonts w:ascii="Helvetica" w:hAnsi="Helvetica"/>
          <w:sz w:val="18"/>
        </w:rPr>
        <w:t>stores in urban, suburban, and rural markets in 33</w:t>
      </w:r>
      <w:r>
        <w:rPr>
          <w:rFonts w:ascii="Times New Roman;Times;serif" w:hAnsi="Times New Roman;Times;serif"/>
          <w:sz w:val="18"/>
        </w:rPr>
        <w:t xml:space="preserve"> </w:t>
      </w:r>
      <w:r>
        <w:rPr>
          <w:rFonts w:ascii="Helvetica" w:hAnsi="Helvetica"/>
          <w:sz w:val="18"/>
        </w:rPr>
        <w:t>states.</w:t>
      </w:r>
    </w:p>
    <w:p>
      <w:pPr>
        <w:pStyle w:val="TextBody"/>
        <w:bidi w:val="0"/>
        <w:spacing w:lineRule="auto" w:line="307" w:before="0" w:after="0"/>
        <w:ind w:left="0" w:right="0" w:hanging="0"/>
        <w:jc w:val="left"/>
        <w:rPr/>
      </w:pPr>
      <w:r>
        <w:rPr/>
        <w:t>​</w:t>
      </w:r>
    </w:p>
    <w:p>
      <w:pPr>
        <w:pStyle w:val="TextBody"/>
        <w:bidi w:val="0"/>
        <w:spacing w:lineRule="auto" w:line="307" w:before="0" w:after="240"/>
        <w:ind w:left="0" w:right="0" w:hanging="0"/>
        <w:jc w:val="left"/>
        <w:rPr>
          <w:rFonts w:ascii="Helvetica" w:hAnsi="Helvetica"/>
          <w:sz w:val="18"/>
        </w:rPr>
      </w:pPr>
      <w:r>
        <w:rPr>
          <w:rFonts w:ascii="Helvetica" w:hAnsi="Helvetica"/>
          <w:sz w:val="18"/>
        </w:rPr>
        <w:t>The condensed consolidated financial statements are prepared in accordance with U.S. generally accepted accounting principles (“U.S. GAAP”) for interim reporting and are unaudited. In the opinion of management, the condensed consolidated financial statements reflect all adjustments, which are normal and recurring in nature, necessary for fair financial statement presentation. The condensed consolidated balance sheet as of January 31, 2026 is derived from the audited financial statements in the Company’s Annual Report on Form 10-K for the fiscal year ended January 31, 2026 (the “2025 Form 10-K”). These condensed consolidated financial statements should be read in conjunction with the audited consolidated financial statements and notes thereto included in the 2025 Form 10-K. Operating results for the first two quarters of 2026 are not necessarily indicative of the results that may be expected for the fiscal year as a result of the seasonality of the business, and the current economic uncertainty.</w:t>
      </w:r>
    </w:p>
    <w:p>
      <w:pPr>
        <w:pStyle w:val="TextBody"/>
        <w:bidi w:val="0"/>
        <w:spacing w:lineRule="auto" w:line="307" w:before="0" w:after="0"/>
        <w:ind w:left="0" w:right="0" w:hanging="0"/>
        <w:jc w:val="left"/>
        <w:rPr>
          <w:rFonts w:ascii="Helvetica" w:hAnsi="Helvetica"/>
          <w:i/>
          <w:sz w:val="18"/>
        </w:rPr>
      </w:pPr>
      <w:r>
        <w:rPr>
          <w:rFonts w:ascii="Helvetica" w:hAnsi="Helvetica"/>
          <w:i/>
          <w:sz w:val="18"/>
        </w:rPr>
        <w:t>Fiscal Year</w:t>
      </w:r>
    </w:p>
    <w:p>
      <w:pPr>
        <w:pStyle w:val="TextBody"/>
        <w:bidi w:val="0"/>
        <w:spacing w:lineRule="auto" w:line="307" w:before="0" w:after="0"/>
        <w:ind w:left="0" w:right="0" w:hanging="0"/>
        <w:jc w:val="left"/>
        <w:rPr>
          <w:rFonts w:ascii="Helvetica" w:hAnsi="Helvetica"/>
          <w:sz w:val="18"/>
        </w:rPr>
      </w:pPr>
      <w:r>
        <w:rPr>
          <w:rFonts w:ascii="Helvetica" w:hAnsi="Helvetica"/>
          <w:sz w:val="18"/>
        </w:rPr>
        <w:t>The following contains references to fiscal years 2026 and 2025, which represent fiscal years ending or ended on January 30, 2027 and January 31, 2026, respectively. Fiscal 2026 and fiscal 2025 both have 52-week accounting periods.</w:t>
      </w:r>
    </w:p>
    <w:p>
      <w:pPr>
        <w:pStyle w:val="TextBody"/>
        <w:bidi w:val="0"/>
        <w:spacing w:before="0" w:after="53"/>
        <w:ind w:left="0" w:right="0" w:hanging="0"/>
        <w:jc w:val="left"/>
        <w:rPr/>
      </w:pPr>
      <w:r>
        <w:rPr/>
        <w:t>​</w:t>
      </w:r>
    </w:p>
    <w:p>
      <w:pPr>
        <w:pStyle w:val="TextBody"/>
        <w:bidi w:val="0"/>
        <w:spacing w:lineRule="auto" w:line="307" w:before="0" w:after="240"/>
        <w:ind w:left="0" w:right="0" w:hanging="0"/>
        <w:jc w:val="left"/>
        <w:rPr>
          <w:rFonts w:ascii="Helvetica" w:hAnsi="Helvetica"/>
          <w:sz w:val="18"/>
        </w:rPr>
      </w:pPr>
      <w:bookmarkStart w:id="792" w:name="_9d8946ee_d744_44be_afc0_e295d6cb4b51"/>
      <w:bookmarkEnd w:id="792"/>
      <w:r>
        <w:rPr>
          <w:rFonts w:ascii="Helvetica" w:hAnsi="Helvetica"/>
          <w:sz w:val="18"/>
        </w:rPr>
        <w:t>2. Cash and Cash Equivalents/Concentration of Credit Risk</w:t>
      </w:r>
    </w:p>
    <w:p>
      <w:pPr>
        <w:pStyle w:val="TextBody"/>
        <w:bidi w:val="0"/>
        <w:spacing w:lineRule="auto" w:line="307" w:before="0" w:after="2"/>
        <w:ind w:left="0" w:right="0" w:hanging="0"/>
        <w:jc w:val="left"/>
        <w:rPr>
          <w:rFonts w:ascii="Helvetica" w:hAnsi="Helvetica"/>
          <w:sz w:val="18"/>
        </w:rPr>
      </w:pPr>
      <w:r>
        <w:rPr>
          <w:rFonts w:ascii="Helvetica" w:hAnsi="Helvetica"/>
          <w:sz w:val="18"/>
        </w:rPr>
        <w:t>For purposes of the condensed consolidated balance sheets and condensed consolidated statements of cash flows, the Company considers all highly liquid investments with maturities at date of purchase of three months or less to be cash equivalents. Financial instruments that potentially subject the Company to a concentration of credit risk consist principally of cash and cash equivalents. The Company places its cash and cash equivalents in what it believes to be high credit quality banks and institutional money market funds. The Company maintains cash accounts that exceed federally insured limits.</w:t>
      </w:r>
    </w:p>
    <w:p>
      <w:pPr>
        <w:pStyle w:val="TextBody"/>
        <w:bidi w:val="0"/>
        <w:spacing w:before="0" w:after="53"/>
        <w:ind w:left="0" w:right="0" w:hanging="0"/>
        <w:jc w:val="left"/>
        <w:rPr/>
      </w:pPr>
      <w:r>
        <w:rPr/>
        <w:t>​</w:t>
      </w:r>
    </w:p>
    <w:p>
      <w:pPr>
        <w:pStyle w:val="TextBody"/>
        <w:bidi w:val="0"/>
        <w:spacing w:lineRule="auto" w:line="307" w:before="0" w:after="240"/>
        <w:ind w:left="0" w:right="0" w:hanging="0"/>
        <w:jc w:val="left"/>
        <w:rPr>
          <w:rFonts w:ascii="Helvetica" w:hAnsi="Helvetica"/>
          <w:sz w:val="18"/>
        </w:rPr>
      </w:pPr>
      <w:r>
        <w:rPr>
          <w:rFonts w:ascii="Helvetica" w:hAnsi="Helvetica"/>
          <w:sz w:val="18"/>
        </w:rPr>
        <w:t>3. Earnings per Share</w:t>
      </w:r>
    </w:p>
    <w:p>
      <w:pPr>
        <w:pStyle w:val="TextBody"/>
        <w:bidi w:val="0"/>
        <w:spacing w:lineRule="auto" w:line="307" w:before="0" w:after="48"/>
        <w:ind w:left="0" w:right="0" w:hanging="0"/>
        <w:jc w:val="left"/>
        <w:rPr>
          <w:rFonts w:ascii="Helvetica" w:hAnsi="Helvetica"/>
          <w:sz w:val="18"/>
        </w:rPr>
      </w:pPr>
      <w:r>
        <w:rPr>
          <w:rFonts w:ascii="Helvetica" w:hAnsi="Helvetica"/>
          <w:sz w:val="18"/>
        </w:rPr>
        <w:t>Basic earnings per common share amounts are calculated using the weighted average number of common shares outstanding for the period. Diluted earnings per common share amounts are calculated using the weighted average number of common shares outstanding plus the additional dilution for all potentially dilutive securities, such as nonvested restricted stock. During loss periods, diluted loss per share amounts are based on the weighted average number of common shares outstanding because the inclusion of common stock equivalents would be antidilutive.</w:t>
      </w:r>
    </w:p>
    <w:p>
      <w:pPr>
        <w:pStyle w:val="TextBody"/>
        <w:bidi w:val="0"/>
        <w:spacing w:lineRule="auto" w:line="307" w:before="0" w:after="48"/>
        <w:ind w:left="0" w:right="0" w:hanging="0"/>
        <w:jc w:val="left"/>
        <w:rPr/>
      </w:pPr>
      <w:r>
        <w:rPr/>
        <w:t>​</w:t>
      </w:r>
    </w:p>
    <w:p>
      <w:pPr>
        <w:pStyle w:val="TextBody"/>
        <w:bidi w:val="0"/>
        <w:spacing w:lineRule="auto" w:line="307" w:before="0" w:after="48"/>
        <w:ind w:left="0" w:right="0" w:hanging="0"/>
        <w:jc w:val="left"/>
        <w:rPr>
          <w:rFonts w:ascii="Times New Roman;Times;serif" w:hAnsi="Times New Roman;Times;serif"/>
          <w:sz w:val="18"/>
        </w:rPr>
      </w:pPr>
      <w:r>
        <w:rPr>
          <w:rFonts w:ascii="Helvetica" w:hAnsi="Helvetica"/>
          <w:sz w:val="18"/>
        </w:rPr>
        <w:t>The dilutive effect of stock-based compensation arrangements is accounted for using the treasury stock method. The Company includes the amount of compensation cost attributed to future services and not yet recognized as assumed proceeds. For the second quarter of 2026 and 2025, there were 287,366</w:t>
      </w:r>
      <w:r>
        <w:rPr>
          <w:rFonts w:ascii="Times New Roman;Times;serif" w:hAnsi="Times New Roman;Times;serif"/>
          <w:sz w:val="18"/>
        </w:rPr>
        <w:t xml:space="preserve"> </w:t>
      </w:r>
      <w:r>
        <w:rPr>
          <w:rFonts w:ascii="Helvetica" w:hAnsi="Helvetica"/>
          <w:sz w:val="18"/>
        </w:rPr>
        <w:t>shares and no</w:t>
      </w:r>
      <w:r>
        <w:rPr>
          <w:rFonts w:ascii="Times New Roman;Times;serif" w:hAnsi="Times New Roman;Times;serif"/>
          <w:sz w:val="18"/>
        </w:rPr>
        <w:t xml:space="preserve"> </w:t>
      </w:r>
      <w:r>
        <w:rPr>
          <w:rFonts w:ascii="Helvetica" w:hAnsi="Helvetica"/>
          <w:sz w:val="18"/>
        </w:rPr>
        <w:t>shares of nonvested restricted stock, respectively, excluded from the calculation of diluted earnings per share because of antidilution. For the twenty-six weeks ended August 1, 2026 and August 2, 2025, there were no</w:t>
      </w:r>
      <w:r>
        <w:rPr>
          <w:rFonts w:ascii="Times New Roman;Times;serif" w:hAnsi="Times New Roman;Times;serif"/>
          <w:sz w:val="18"/>
        </w:rPr>
        <w:t xml:space="preserve"> </w:t>
      </w:r>
      <w:r>
        <w:rPr>
          <w:rFonts w:ascii="Helvetica" w:hAnsi="Helvetica"/>
          <w:sz w:val="18"/>
        </w:rPr>
        <w:t>shares of nonvested restricted stock excluded from the calculation of diluted earnings per share because of antidilution.</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Helvetica" w:hAnsi="Helvetica"/>
          <w:sz w:val="18"/>
        </w:rPr>
      </w:pPr>
      <w:r>
        <w:rPr>
          <w:rFonts w:ascii="Helvetica" w:hAnsi="Helvetica"/>
          <w:sz w:val="18"/>
        </w:rPr>
        <w:t>8</w:t>
      </w:r>
    </w:p>
    <w:p>
      <w:pPr>
        <w:pStyle w:val="TextBody"/>
        <w:bidi w:val="0"/>
        <w:spacing w:before="0" w:after="6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lineRule="auto" w:line="307" w:before="0" w:after="48"/>
        <w:ind w:left="0" w:right="0" w:hanging="0"/>
        <w:jc w:val="left"/>
        <w:rPr>
          <w:rFonts w:ascii="Helvetica" w:hAnsi="Helvetica"/>
          <w:sz w:val="18"/>
        </w:rPr>
      </w:pPr>
      <w:bookmarkStart w:id="793" w:name="Tc_FGhGGg-lp0-TjP6mEpIj4Q_5_0"/>
      <w:bookmarkStart w:id="794" w:name="Tc_pijiE8LzqkuI8uIMNefbyA_4_0"/>
      <w:bookmarkStart w:id="795" w:name="Tc_hnhFIHdLxkSESziJ63vHyQ_3_0"/>
      <w:bookmarkStart w:id="796" w:name="Tc_ix4_CMyvCEi_VUdv6AO2og_2_4"/>
      <w:bookmarkStart w:id="797" w:name="Tc_S8U5fEwIFUOMAkAxq53EoQ_2_2"/>
      <w:bookmarkStart w:id="798" w:name="Tc_4ihRzIIU10eOAf41poS1fg_1_2"/>
      <w:bookmarkStart w:id="799" w:name="_892bb1cf_55b8_4860_8808_2503342f7aa3"/>
      <w:bookmarkStart w:id="800" w:name="Tc_7v3JBeUqck2rv6PE63htMA_5_0"/>
      <w:bookmarkStart w:id="801" w:name="Tc_-GSpT3BR0kqC0cKf5Vo9QQ_4_2"/>
      <w:bookmarkStart w:id="802" w:name="Tc_J_VyktPT3EW5xLWcP6vhzA_4_0"/>
      <w:bookmarkStart w:id="803" w:name="Tc_bjoBeQPzmE6MHzZvEt09-g_3_0"/>
      <w:bookmarkStart w:id="804" w:name="Tc_MRymyikQL0m-dOcKiFQtlQ_2_4"/>
      <w:bookmarkStart w:id="805" w:name="Tc_hDoCkhB4YU68d9KsuJtWdA_2_2"/>
      <w:bookmarkStart w:id="806" w:name="Tc_1Nx12pLqRUGNW5jc35ZDRQ_1_2"/>
      <w:bookmarkStart w:id="807" w:name="_e4a69207_1237_426b_ae93_6892e1e6e617"/>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r>
        <w:rPr>
          <w:rFonts w:ascii="Helvetica" w:hAnsi="Helvetica"/>
          <w:sz w:val="18"/>
        </w:rPr>
        <w:t>The following table provides the weighted average number of common shares outstanding used to calculate basic earnings per share to the number of common shares and common stock equivalents outstanding used in calculating diluted earnings per share:</w:t>
      </w:r>
    </w:p>
    <w:p>
      <w:pPr>
        <w:pStyle w:val="TextBody"/>
        <w:bidi w:val="0"/>
        <w:spacing w:lineRule="auto" w:line="307" w:before="0" w:after="48"/>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6916"/>
        <w:gridCol w:w="346"/>
        <w:gridCol w:w="1276"/>
        <w:gridCol w:w="346"/>
        <w:gridCol w:w="1321"/>
      </w:tblGrid>
      <w:tr>
        <w:trPr/>
        <w:tc>
          <w:tcPr>
            <w:tcW w:w="69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4391660" cy="175260"/>
                      <wp:effectExtent l="0" t="0" r="0" b="0"/>
                      <wp:wrapNone/>
                      <wp:docPr id="75" name="Frame75"/>
                      <a:graphic xmlns:a="http://schemas.openxmlformats.org/drawingml/2006/main">
                        <a:graphicData uri="http://schemas.microsoft.com/office/word/2010/wordprocessingShape">
                          <wps:wsp>
                            <wps:cNvSpPr txBox="1"/>
                            <wps:spPr>
                              <a:xfrm>
                                <a:off x="0" y="0"/>
                                <a:ext cx="4391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219710" cy="175260"/>
                      <wp:effectExtent l="0" t="0" r="0" b="0"/>
                      <wp:wrapNone/>
                      <wp:docPr id="76" name="Frame7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810260" cy="175260"/>
                      <wp:effectExtent l="0" t="0" r="0" b="0"/>
                      <wp:wrapNone/>
                      <wp:docPr id="77" name="Frame77"/>
                      <a:graphic xmlns:a="http://schemas.openxmlformats.org/drawingml/2006/main">
                        <a:graphicData uri="http://schemas.microsoft.com/office/word/2010/wordprocessingShape">
                          <wps:wsp>
                            <wps:cNvSpPr txBox="1"/>
                            <wps:spPr>
                              <a:xfrm>
                                <a:off x="0" y="0"/>
                                <a:ext cx="810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219710" cy="175260"/>
                      <wp:effectExtent l="0" t="0" r="0" b="0"/>
                      <wp:wrapNone/>
                      <wp:docPr id="78" name="Frame7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838835" cy="175260"/>
                      <wp:effectExtent l="0" t="0" r="0" b="0"/>
                      <wp:wrapNone/>
                      <wp:docPr id="79" name="Frame79"/>
                      <a:graphic xmlns:a="http://schemas.openxmlformats.org/drawingml/2006/main">
                        <a:graphicData uri="http://schemas.microsoft.com/office/word/2010/wordprocessingShape">
                          <wps:wsp>
                            <wps:cNvSpPr txBox="1"/>
                            <wps:spPr>
                              <a:xfrm>
                                <a:off x="0" y="0"/>
                                <a:ext cx="838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6916" w:type="dxa"/>
            <w:tcBorders/>
            <w:vAlign w:val="center"/>
          </w:tcPr>
          <w:p>
            <w:pPr>
              <w:pStyle w:val="TableContents"/>
              <w:bidi w:val="0"/>
              <w:spacing w:before="0" w:after="0"/>
              <w:ind w:left="0" w:right="0" w:hanging="0"/>
              <w:jc w:val="left"/>
              <w:rPr/>
            </w:pPr>
            <w:r>
              <w:rPr/>
              <w:t>​</w:t>
            </w:r>
          </w:p>
        </w:tc>
        <w:tc>
          <w:tcPr>
            <w:tcW w:w="346" w:type="dxa"/>
            <w:tcBorders/>
            <w:shd w:fill="FFFFFF" w:val="clear"/>
            <w:vAlign w:val="center"/>
          </w:tcPr>
          <w:p>
            <w:pPr>
              <w:pStyle w:val="TableContents"/>
              <w:bidi w:val="0"/>
              <w:spacing w:before="0" w:after="0"/>
              <w:ind w:left="0" w:right="0" w:hanging="0"/>
              <w:jc w:val="left"/>
              <w:rPr/>
            </w:pPr>
            <w:r>
              <w:rPr/>
              <w:t>​</w:t>
            </w:r>
          </w:p>
        </w:tc>
        <w:tc>
          <w:tcPr>
            <w:tcW w:w="2943" w:type="dxa"/>
            <w:gridSpan w:val="3"/>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Thirteen Weeks Ended</w:t>
            </w:r>
          </w:p>
        </w:tc>
      </w:tr>
      <w:tr>
        <w:trPr/>
        <w:tc>
          <w:tcPr>
            <w:tcW w:w="691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1276" w:type="dxa"/>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August 1, 2026</w:t>
            </w:r>
          </w:p>
        </w:tc>
        <w:tc>
          <w:tcPr>
            <w:tcW w:w="346" w:type="dxa"/>
            <w:tcBorders/>
            <w:shd w:fill="FFFFFF" w:val="clear"/>
            <w:vAlign w:val="center"/>
          </w:tcPr>
          <w:p>
            <w:pPr>
              <w:pStyle w:val="TableContents"/>
              <w:bidi w:val="0"/>
              <w:spacing w:before="0" w:after="0"/>
              <w:ind w:left="0" w:right="0" w:hanging="0"/>
              <w:jc w:val="left"/>
              <w:rPr/>
            </w:pPr>
            <w:r>
              <w:rPr/>
              <w:t>  ​ ​ ​</w:t>
            </w:r>
          </w:p>
        </w:tc>
        <w:tc>
          <w:tcPr>
            <w:tcW w:w="1321" w:type="dxa"/>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August 2, 2025</w:t>
            </w:r>
          </w:p>
        </w:tc>
      </w:tr>
      <w:tr>
        <w:trPr/>
        <w:tc>
          <w:tcPr>
            <w:tcW w:w="6916"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Weighted average number of common shares outstanding (basic)</w:t>
            </w:r>
          </w:p>
        </w:tc>
        <w:tc>
          <w:tcPr>
            <w:tcW w:w="346" w:type="dxa"/>
            <w:tcBorders/>
            <w:shd w:fill="CCEEFF" w:val="clear"/>
            <w:vAlign w:val="center"/>
          </w:tcPr>
          <w:p>
            <w:pPr>
              <w:pStyle w:val="TableContents"/>
              <w:bidi w:val="0"/>
              <w:spacing w:before="0" w:after="0"/>
              <w:ind w:left="0" w:right="0" w:hanging="0"/>
              <w:jc w:val="left"/>
              <w:rPr/>
            </w:pPr>
            <w:r>
              <w:rPr/>
              <w:t>​</w:t>
            </w:r>
          </w:p>
        </w:tc>
        <w:tc>
          <w:tcPr>
            <w:tcW w:w="1276"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8,183,389</w:t>
            </w:r>
          </w:p>
        </w:tc>
        <w:tc>
          <w:tcPr>
            <w:tcW w:w="346" w:type="dxa"/>
            <w:tcBorders/>
            <w:shd w:fill="CCEEFF" w:val="clear"/>
            <w:vAlign w:val="center"/>
          </w:tcPr>
          <w:p>
            <w:pPr>
              <w:pStyle w:val="TableContents"/>
              <w:bidi w:val="0"/>
              <w:spacing w:before="0" w:after="0"/>
              <w:ind w:left="0" w:right="0" w:hanging="0"/>
              <w:jc w:val="left"/>
              <w:rPr/>
            </w:pPr>
            <w:r>
              <w:rPr/>
              <w:t>​</w:t>
            </w:r>
          </w:p>
        </w:tc>
        <w:tc>
          <w:tcPr>
            <w:tcW w:w="1321"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8,033,100</w:t>
            </w:r>
          </w:p>
        </w:tc>
      </w:tr>
      <w:tr>
        <w:trPr/>
        <w:tc>
          <w:tcPr>
            <w:tcW w:w="6916"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Incremental shares from assumed vesting of nonvested restricted stock</w:t>
            </w:r>
          </w:p>
        </w:tc>
        <w:tc>
          <w:tcPr>
            <w:tcW w:w="346" w:type="dxa"/>
            <w:tcBorders/>
            <w:vAlign w:val="center"/>
          </w:tcPr>
          <w:p>
            <w:pPr>
              <w:pStyle w:val="TableContents"/>
              <w:bidi w:val="0"/>
              <w:spacing w:before="0" w:after="0"/>
              <w:ind w:left="0" w:right="0" w:hanging="0"/>
              <w:jc w:val="left"/>
              <w:rPr/>
            </w:pPr>
            <w:r>
              <w:rPr/>
              <w:t>​</w:t>
            </w:r>
          </w:p>
        </w:tc>
        <w:tc>
          <w:tcPr>
            <w:tcW w:w="127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32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280,741</w:t>
            </w:r>
          </w:p>
        </w:tc>
      </w:tr>
      <w:tr>
        <w:trPr/>
        <w:tc>
          <w:tcPr>
            <w:tcW w:w="6916"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Weighted average number of common shares and common stock equivalents outstanding (diluted)</w:t>
            </w:r>
          </w:p>
        </w:tc>
        <w:tc>
          <w:tcPr>
            <w:tcW w:w="346" w:type="dxa"/>
            <w:tcBorders/>
            <w:shd w:fill="CCEEFF" w:val="clear"/>
            <w:vAlign w:val="center"/>
          </w:tcPr>
          <w:p>
            <w:pPr>
              <w:pStyle w:val="TableContents"/>
              <w:bidi w:val="0"/>
              <w:spacing w:before="0" w:after="0"/>
              <w:ind w:left="0" w:right="0" w:hanging="0"/>
              <w:jc w:val="left"/>
              <w:rPr/>
            </w:pPr>
            <w:r>
              <w:rPr/>
              <w:t>​</w:t>
            </w:r>
          </w:p>
        </w:tc>
        <w:tc>
          <w:tcPr>
            <w:tcW w:w="12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8,183,389</w:t>
            </w:r>
          </w:p>
        </w:tc>
        <w:tc>
          <w:tcPr>
            <w:tcW w:w="346" w:type="dxa"/>
            <w:tcBorders/>
            <w:shd w:fill="CCEEFF" w:val="clear"/>
            <w:vAlign w:val="center"/>
          </w:tcPr>
          <w:p>
            <w:pPr>
              <w:pStyle w:val="TableContents"/>
              <w:bidi w:val="0"/>
              <w:spacing w:before="0" w:after="0"/>
              <w:ind w:left="0" w:right="0" w:hanging="0"/>
              <w:jc w:val="left"/>
              <w:rPr/>
            </w:pPr>
            <w:r>
              <w:rPr/>
              <w:t>​</w:t>
            </w:r>
          </w:p>
        </w:tc>
        <w:tc>
          <w:tcPr>
            <w:tcW w:w="1321"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Arial;Helvetica;sans-serif" w:hAnsi="Arial;Helvetica;sans-serif"/>
                <w:sz w:val="18"/>
              </w:rPr>
            </w:pPr>
            <w:r>
              <w:rPr>
                <w:rFonts w:ascii="Arial;Helvetica;sans-serif" w:hAnsi="Arial;Helvetica;sans-serif"/>
                <w:sz w:val="18"/>
              </w:rPr>
              <w:t>8,313,841</w:t>
            </w:r>
          </w:p>
        </w:tc>
      </w:tr>
    </w:tbl>
    <w:p>
      <w:pPr>
        <w:pStyle w:val="TextBody"/>
        <w:bidi w:val="0"/>
        <w:spacing w:lineRule="auto" w:line="307" w:before="0" w:after="48"/>
        <w:ind w:left="0" w:right="0" w:hanging="0"/>
        <w:jc w:val="left"/>
        <w:rPr/>
      </w:pPr>
      <w:r>
        <w:rPr/>
        <w:t>​</w:t>
      </w:r>
    </w:p>
    <w:p>
      <w:pPr>
        <w:pStyle w:val="TextBody"/>
        <w:bidi w:val="0"/>
        <w:spacing w:lineRule="auto" w:line="307" w:before="0" w:after="48"/>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6916"/>
        <w:gridCol w:w="346"/>
        <w:gridCol w:w="1276"/>
        <w:gridCol w:w="346"/>
        <w:gridCol w:w="1321"/>
      </w:tblGrid>
      <w:tr>
        <w:trPr/>
        <w:tc>
          <w:tcPr>
            <w:tcW w:w="69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4391660" cy="175260"/>
                      <wp:effectExtent l="0" t="0" r="0" b="0"/>
                      <wp:wrapNone/>
                      <wp:docPr id="80" name="Frame80"/>
                      <a:graphic xmlns:a="http://schemas.openxmlformats.org/drawingml/2006/main">
                        <a:graphicData uri="http://schemas.microsoft.com/office/word/2010/wordprocessingShape">
                          <wps:wsp>
                            <wps:cNvSpPr txBox="1"/>
                            <wps:spPr>
                              <a:xfrm>
                                <a:off x="0" y="0"/>
                                <a:ext cx="4391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219710" cy="175260"/>
                      <wp:effectExtent l="0" t="0" r="0" b="0"/>
                      <wp:wrapNone/>
                      <wp:docPr id="81" name="Frame8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810260" cy="175260"/>
                      <wp:effectExtent l="0" t="0" r="0" b="0"/>
                      <wp:wrapNone/>
                      <wp:docPr id="82" name="Frame82"/>
                      <a:graphic xmlns:a="http://schemas.openxmlformats.org/drawingml/2006/main">
                        <a:graphicData uri="http://schemas.microsoft.com/office/word/2010/wordprocessingShape">
                          <wps:wsp>
                            <wps:cNvSpPr txBox="1"/>
                            <wps:spPr>
                              <a:xfrm>
                                <a:off x="0" y="0"/>
                                <a:ext cx="810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219710" cy="175260"/>
                      <wp:effectExtent l="0" t="0" r="0" b="0"/>
                      <wp:wrapNone/>
                      <wp:docPr id="83" name="Frame8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838835" cy="175260"/>
                      <wp:effectExtent l="0" t="0" r="0" b="0"/>
                      <wp:wrapNone/>
                      <wp:docPr id="84" name="Frame84"/>
                      <a:graphic xmlns:a="http://schemas.openxmlformats.org/drawingml/2006/main">
                        <a:graphicData uri="http://schemas.microsoft.com/office/word/2010/wordprocessingShape">
                          <wps:wsp>
                            <wps:cNvSpPr txBox="1"/>
                            <wps:spPr>
                              <a:xfrm>
                                <a:off x="0" y="0"/>
                                <a:ext cx="838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6916" w:type="dxa"/>
            <w:tcBorders/>
            <w:vAlign w:val="center"/>
          </w:tcPr>
          <w:p>
            <w:pPr>
              <w:pStyle w:val="TableContents"/>
              <w:bidi w:val="0"/>
              <w:spacing w:before="0" w:after="0"/>
              <w:ind w:left="0" w:right="0" w:hanging="0"/>
              <w:jc w:val="left"/>
              <w:rPr/>
            </w:pPr>
            <w:r>
              <w:rPr/>
              <w:t>​</w:t>
            </w:r>
          </w:p>
        </w:tc>
        <w:tc>
          <w:tcPr>
            <w:tcW w:w="346" w:type="dxa"/>
            <w:tcBorders/>
            <w:shd w:fill="FFFFFF" w:val="clear"/>
            <w:vAlign w:val="center"/>
          </w:tcPr>
          <w:p>
            <w:pPr>
              <w:pStyle w:val="TableContents"/>
              <w:bidi w:val="0"/>
              <w:spacing w:before="0" w:after="0"/>
              <w:ind w:left="0" w:right="0" w:hanging="0"/>
              <w:jc w:val="left"/>
              <w:rPr/>
            </w:pPr>
            <w:r>
              <w:rPr/>
              <w:t>​</w:t>
            </w:r>
          </w:p>
        </w:tc>
        <w:tc>
          <w:tcPr>
            <w:tcW w:w="2943" w:type="dxa"/>
            <w:gridSpan w:val="3"/>
            <w:tcBorders/>
            <w:shd w:fill="FFFFFF" w:val="cle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Twenty-Six Weeks Ended</w:t>
            </w:r>
          </w:p>
        </w:tc>
      </w:tr>
      <w:tr>
        <w:trPr/>
        <w:tc>
          <w:tcPr>
            <w:tcW w:w="691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1276" w:type="dxa"/>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August 1, 2026</w:t>
            </w:r>
          </w:p>
        </w:tc>
        <w:tc>
          <w:tcPr>
            <w:tcW w:w="346" w:type="dxa"/>
            <w:tcBorders/>
            <w:shd w:fill="FFFFFF" w:val="clear"/>
            <w:vAlign w:val="center"/>
          </w:tcPr>
          <w:p>
            <w:pPr>
              <w:pStyle w:val="TableContents"/>
              <w:bidi w:val="0"/>
              <w:spacing w:before="0" w:after="0"/>
              <w:ind w:left="0" w:right="0" w:hanging="0"/>
              <w:jc w:val="left"/>
              <w:rPr/>
            </w:pPr>
            <w:r>
              <w:rPr/>
              <w:t>  ​ ​ ​</w:t>
            </w:r>
          </w:p>
        </w:tc>
        <w:tc>
          <w:tcPr>
            <w:tcW w:w="1321" w:type="dxa"/>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August 2, 2025</w:t>
            </w:r>
          </w:p>
        </w:tc>
      </w:tr>
      <w:tr>
        <w:trPr/>
        <w:tc>
          <w:tcPr>
            <w:tcW w:w="6916"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Weighted average number of common shares outstanding (basic)</w:t>
            </w:r>
          </w:p>
        </w:tc>
        <w:tc>
          <w:tcPr>
            <w:tcW w:w="346" w:type="dxa"/>
            <w:tcBorders/>
            <w:shd w:fill="CCEEFF" w:val="clear"/>
            <w:vAlign w:val="center"/>
          </w:tcPr>
          <w:p>
            <w:pPr>
              <w:pStyle w:val="TableContents"/>
              <w:bidi w:val="0"/>
              <w:spacing w:before="0" w:after="0"/>
              <w:ind w:left="0" w:right="0" w:hanging="0"/>
              <w:jc w:val="left"/>
              <w:rPr/>
            </w:pPr>
            <w:r>
              <w:rPr/>
              <w:t>​</w:t>
            </w:r>
          </w:p>
        </w:tc>
        <w:tc>
          <w:tcPr>
            <w:tcW w:w="1276"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8,154,770</w:t>
            </w:r>
          </w:p>
        </w:tc>
        <w:tc>
          <w:tcPr>
            <w:tcW w:w="346" w:type="dxa"/>
            <w:tcBorders/>
            <w:shd w:fill="CCEEFF" w:val="clear"/>
            <w:vAlign w:val="center"/>
          </w:tcPr>
          <w:p>
            <w:pPr>
              <w:pStyle w:val="TableContents"/>
              <w:bidi w:val="0"/>
              <w:spacing w:before="0" w:after="0"/>
              <w:ind w:left="0" w:right="0" w:hanging="0"/>
              <w:jc w:val="left"/>
              <w:rPr/>
            </w:pPr>
            <w:r>
              <w:rPr/>
              <w:t>​</w:t>
            </w:r>
          </w:p>
        </w:tc>
        <w:tc>
          <w:tcPr>
            <w:tcW w:w="1321"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8,033,361</w:t>
            </w:r>
          </w:p>
        </w:tc>
      </w:tr>
      <w:tr>
        <w:trPr/>
        <w:tc>
          <w:tcPr>
            <w:tcW w:w="6916"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Incremental shares from assumed vesting of nonvested restricted stock</w:t>
            </w:r>
          </w:p>
        </w:tc>
        <w:tc>
          <w:tcPr>
            <w:tcW w:w="346" w:type="dxa"/>
            <w:tcBorders/>
            <w:vAlign w:val="center"/>
          </w:tcPr>
          <w:p>
            <w:pPr>
              <w:pStyle w:val="TableContents"/>
              <w:bidi w:val="0"/>
              <w:spacing w:before="0" w:after="0"/>
              <w:ind w:left="0" w:right="0" w:hanging="0"/>
              <w:jc w:val="left"/>
              <w:rPr/>
            </w:pPr>
            <w:r>
              <w:rPr/>
              <w:t>​</w:t>
            </w:r>
          </w:p>
        </w:tc>
        <w:tc>
          <w:tcPr>
            <w:tcW w:w="127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322,645</w:t>
            </w:r>
          </w:p>
        </w:tc>
        <w:tc>
          <w:tcPr>
            <w:tcW w:w="346" w:type="dxa"/>
            <w:tcBorders/>
            <w:vAlign w:val="center"/>
          </w:tcPr>
          <w:p>
            <w:pPr>
              <w:pStyle w:val="TableContents"/>
              <w:bidi w:val="0"/>
              <w:spacing w:before="0" w:after="0"/>
              <w:ind w:left="0" w:right="0" w:hanging="0"/>
              <w:jc w:val="left"/>
              <w:rPr/>
            </w:pPr>
            <w:r>
              <w:rPr/>
              <w:t>​</w:t>
            </w:r>
          </w:p>
        </w:tc>
        <w:tc>
          <w:tcPr>
            <w:tcW w:w="132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208,787</w:t>
            </w:r>
          </w:p>
        </w:tc>
      </w:tr>
      <w:tr>
        <w:trPr/>
        <w:tc>
          <w:tcPr>
            <w:tcW w:w="6916"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Weighted average number of common shares and common stock equivalents outstanding (diluted)</w:t>
            </w:r>
          </w:p>
        </w:tc>
        <w:tc>
          <w:tcPr>
            <w:tcW w:w="346" w:type="dxa"/>
            <w:tcBorders/>
            <w:shd w:fill="CCEEFF" w:val="clear"/>
            <w:vAlign w:val="center"/>
          </w:tcPr>
          <w:p>
            <w:pPr>
              <w:pStyle w:val="TableContents"/>
              <w:bidi w:val="0"/>
              <w:spacing w:before="0" w:after="0"/>
              <w:ind w:left="0" w:right="0" w:hanging="0"/>
              <w:jc w:val="left"/>
              <w:rPr/>
            </w:pPr>
            <w:r>
              <w:rPr/>
              <w:t>​</w:t>
            </w:r>
          </w:p>
        </w:tc>
        <w:tc>
          <w:tcPr>
            <w:tcW w:w="12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8,477,415</w:t>
            </w:r>
          </w:p>
        </w:tc>
        <w:tc>
          <w:tcPr>
            <w:tcW w:w="346" w:type="dxa"/>
            <w:tcBorders/>
            <w:shd w:fill="CCEEFF" w:val="clear"/>
            <w:vAlign w:val="center"/>
          </w:tcPr>
          <w:p>
            <w:pPr>
              <w:pStyle w:val="TableContents"/>
              <w:bidi w:val="0"/>
              <w:spacing w:before="0" w:after="0"/>
              <w:ind w:left="0" w:right="0" w:hanging="0"/>
              <w:jc w:val="left"/>
              <w:rPr/>
            </w:pPr>
            <w:r>
              <w:rPr/>
              <w:t>​</w:t>
            </w:r>
          </w:p>
        </w:tc>
        <w:tc>
          <w:tcPr>
            <w:tcW w:w="1321"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Arial;Helvetica;sans-serif" w:hAnsi="Arial;Helvetica;sans-serif"/>
                <w:sz w:val="18"/>
              </w:rPr>
            </w:pPr>
            <w:r>
              <w:rPr>
                <w:rFonts w:ascii="Arial;Helvetica;sans-serif" w:hAnsi="Arial;Helvetica;sans-serif"/>
                <w:sz w:val="18"/>
              </w:rPr>
              <w:t>8,242,148</w:t>
            </w:r>
          </w:p>
        </w:tc>
      </w:tr>
    </w:tbl>
    <w:p>
      <w:pPr>
        <w:pStyle w:val="TextBody"/>
        <w:bidi w:val="0"/>
        <w:spacing w:lineRule="auto" w:line="307" w:before="0" w:after="48"/>
        <w:ind w:left="0" w:right="0" w:hanging="0"/>
        <w:jc w:val="left"/>
        <w:rPr/>
      </w:pPr>
      <w:r>
        <w:rPr/>
        <w:t>​</w:t>
      </w:r>
    </w:p>
    <w:p>
      <w:pPr>
        <w:pStyle w:val="TextBody"/>
        <w:bidi w:val="0"/>
        <w:spacing w:lineRule="auto" w:line="307" w:before="0" w:after="48"/>
        <w:ind w:left="0" w:right="0" w:hanging="0"/>
        <w:jc w:val="left"/>
        <w:rPr/>
      </w:pPr>
      <w:r>
        <w:rPr/>
        <w:t>​</w:t>
      </w:r>
    </w:p>
    <w:p>
      <w:pPr>
        <w:pStyle w:val="TextBody"/>
        <w:bidi w:val="0"/>
        <w:spacing w:lineRule="auto" w:line="307" w:before="0" w:after="0"/>
        <w:ind w:left="0" w:right="0" w:hanging="0"/>
        <w:jc w:val="left"/>
        <w:rPr/>
      </w:pPr>
      <w:r>
        <w:rPr/>
        <w:t>​</w:t>
      </w:r>
    </w:p>
    <w:p>
      <w:pPr>
        <w:pStyle w:val="TextBody"/>
        <w:bidi w:val="0"/>
        <w:spacing w:lineRule="auto" w:line="307" w:before="0" w:after="240"/>
        <w:ind w:left="0" w:right="0" w:hanging="0"/>
        <w:jc w:val="left"/>
        <w:rPr>
          <w:rFonts w:ascii="Helvetica" w:hAnsi="Helvetica"/>
          <w:sz w:val="18"/>
        </w:rPr>
      </w:pPr>
      <w:r>
        <w:rPr>
          <w:rFonts w:ascii="Helvetica" w:hAnsi="Helvetica"/>
          <w:sz w:val="18"/>
        </w:rPr>
        <w:t>4. Revolving Credit Facility</w:t>
      </w:r>
    </w:p>
    <w:p>
      <w:pPr>
        <w:pStyle w:val="TextBody"/>
        <w:bidi w:val="0"/>
        <w:spacing w:lineRule="auto" w:line="307" w:before="0" w:after="48"/>
        <w:ind w:left="0" w:right="0" w:hanging="0"/>
        <w:jc w:val="left"/>
        <w:rPr>
          <w:rFonts w:ascii="Times New Roman;Times;serif" w:hAnsi="Times New Roman;Times;serif"/>
          <w:sz w:val="20"/>
        </w:rPr>
      </w:pPr>
      <w:r>
        <w:rPr>
          <w:rFonts w:ascii="Helvetica" w:hAnsi="Helvetica"/>
          <w:sz w:val="18"/>
        </w:rPr>
        <w:t>In October 2011, the Company entered a five-year, $50</w:t>
      </w:r>
      <w:r>
        <w:rPr>
          <w:rFonts w:ascii="Times New Roman;Times;serif" w:hAnsi="Times New Roman;Times;serif"/>
          <w:sz w:val="20"/>
        </w:rPr>
        <w:t xml:space="preserve"> </w:t>
      </w:r>
      <w:r>
        <w:rPr>
          <w:rFonts w:ascii="Helvetica" w:hAnsi="Helvetica"/>
          <w:sz w:val="18"/>
        </w:rPr>
        <w:t>million credit facility with Bank of America. The facility was amended in August 2015, May 2020 and April 2021 to modify terms and extend the maturity dates. The facility was further amended on April 10, 2025 to extend the maturity date to April 10, 2030. The amended facility provides a $75</w:t>
      </w:r>
      <w:r>
        <w:rPr>
          <w:rFonts w:ascii="Times New Roman;Times;serif" w:hAnsi="Times New Roman;Times;serif"/>
          <w:sz w:val="20"/>
        </w:rPr>
        <w:t xml:space="preserve"> </w:t>
      </w:r>
      <w:r>
        <w:rPr>
          <w:rFonts w:ascii="Helvetica" w:hAnsi="Helvetica"/>
          <w:sz w:val="18"/>
        </w:rPr>
        <w:t>million credit commitment and a $25</w:t>
      </w:r>
      <w:r>
        <w:rPr>
          <w:rFonts w:ascii="Times New Roman;Times;serif" w:hAnsi="Times New Roman;Times;serif"/>
          <w:sz w:val="20"/>
        </w:rPr>
        <w:t xml:space="preserve"> </w:t>
      </w:r>
      <w:r>
        <w:rPr>
          <w:rFonts w:ascii="Helvetica" w:hAnsi="Helvetica"/>
          <w:sz w:val="18"/>
        </w:rPr>
        <w:t>million uncommitted “accordion” feature that under certain circumstances could allow the Company to increase the size of the facility to $100</w:t>
      </w:r>
      <w:r>
        <w:rPr>
          <w:rFonts w:ascii="Times New Roman;Times;serif" w:hAnsi="Times New Roman;Times;serif"/>
          <w:sz w:val="20"/>
        </w:rPr>
        <w:t xml:space="preserve"> </w:t>
      </w:r>
      <w:r>
        <w:rPr>
          <w:rFonts w:ascii="Helvetica" w:hAnsi="Helvetica"/>
          <w:sz w:val="18"/>
        </w:rPr>
        <w:t>million.</w:t>
      </w:r>
    </w:p>
    <w:p>
      <w:pPr>
        <w:pStyle w:val="TextBody"/>
        <w:bidi w:val="0"/>
        <w:spacing w:lineRule="auto" w:line="307" w:before="0" w:after="48"/>
        <w:ind w:left="0" w:right="0" w:hanging="0"/>
        <w:jc w:val="left"/>
        <w:rPr/>
      </w:pPr>
      <w:r>
        <w:rPr/>
        <w:t>​</w:t>
      </w:r>
    </w:p>
    <w:p>
      <w:pPr>
        <w:pStyle w:val="TextBody"/>
        <w:bidi w:val="0"/>
        <w:spacing w:lineRule="auto" w:line="307" w:before="0" w:after="48"/>
        <w:ind w:left="0" w:right="0" w:hanging="0"/>
        <w:jc w:val="left"/>
        <w:rPr>
          <w:rFonts w:ascii="Times New Roman;Times;serif" w:hAnsi="Times New Roman;Times;serif"/>
          <w:sz w:val="18"/>
        </w:rPr>
      </w:pPr>
      <w:r>
        <w:rPr>
          <w:rFonts w:ascii="Helvetica" w:hAnsi="Helvetica"/>
          <w:sz w:val="18"/>
        </w:rPr>
        <w:t>The facility is secured by the Company’s inventory, accounts receivable and related assets, but not its real estate, fixtures and equipment, and it contains one</w:t>
      </w:r>
      <w:r>
        <w:rPr>
          <w:rFonts w:ascii="Times New Roman;Times;serif" w:hAnsi="Times New Roman;Times;serif"/>
          <w:sz w:val="18"/>
        </w:rPr>
        <w:t xml:space="preserve"> </w:t>
      </w:r>
      <w:r>
        <w:rPr>
          <w:rFonts w:ascii="Helvetica" w:hAnsi="Helvetica"/>
          <w:sz w:val="18"/>
        </w:rPr>
        <w:t>financial covenant, a fixed charge coverage ratio, which is applicable and tested only in certain circumstances. The facility has an unused commitment fee of 0.25%</w:t>
      </w:r>
      <w:r>
        <w:rPr>
          <w:rFonts w:ascii="Times New Roman;Times;serif" w:hAnsi="Times New Roman;Times;serif"/>
          <w:sz w:val="18"/>
        </w:rPr>
        <w:t xml:space="preserve"> </w:t>
      </w:r>
      <w:r>
        <w:rPr>
          <w:rFonts w:ascii="Helvetica" w:hAnsi="Helvetica"/>
          <w:sz w:val="18"/>
        </w:rPr>
        <w:t xml:space="preserve">and permits the payment of cash dividends subject to certain limitations. </w:t>
      </w:r>
    </w:p>
    <w:p>
      <w:pPr>
        <w:pStyle w:val="TextBody"/>
        <w:bidi w:val="0"/>
        <w:spacing w:lineRule="auto" w:line="307" w:before="0" w:after="48"/>
        <w:ind w:left="0" w:right="0" w:hanging="0"/>
        <w:jc w:val="left"/>
        <w:rPr/>
      </w:pPr>
      <w:r>
        <w:rPr/>
        <w:t>​</w:t>
      </w:r>
    </w:p>
    <w:p>
      <w:pPr>
        <w:pStyle w:val="TextBody"/>
        <w:bidi w:val="0"/>
        <w:spacing w:lineRule="auto" w:line="307" w:before="0" w:after="48"/>
        <w:ind w:left="0" w:right="0" w:hanging="0"/>
        <w:jc w:val="left"/>
        <w:rPr>
          <w:rFonts w:ascii="Times New Roman;Times;serif" w:hAnsi="Times New Roman;Times;serif"/>
          <w:sz w:val="18"/>
        </w:rPr>
      </w:pPr>
      <w:r>
        <w:rPr>
          <w:rFonts w:ascii="Helvetica" w:hAnsi="Helvetica"/>
          <w:sz w:val="18"/>
        </w:rPr>
        <w:t>Borrowings under the credit facility bear interest (a) for SOFR Loans, at a rate equal to the SOFR Rate plus a SOFR adjustment equal to 0.10%</w:t>
      </w:r>
      <w:r>
        <w:rPr>
          <w:rFonts w:ascii="Times New Roman;Times;serif" w:hAnsi="Times New Roman;Times;serif"/>
          <w:sz w:val="18"/>
        </w:rPr>
        <w:t xml:space="preserve"> </w:t>
      </w:r>
      <w:r>
        <w:rPr>
          <w:rFonts w:ascii="Helvetica" w:hAnsi="Helvetica"/>
          <w:sz w:val="18"/>
        </w:rPr>
        <w:t>plus either 1.50%, 1.75%</w:t>
      </w:r>
      <w:r>
        <w:rPr>
          <w:rFonts w:ascii="Times New Roman;Times;serif" w:hAnsi="Times New Roman;Times;serif"/>
          <w:sz w:val="18"/>
        </w:rPr>
        <w:t xml:space="preserve"> </w:t>
      </w:r>
      <w:r>
        <w:rPr>
          <w:rFonts w:ascii="Helvetica" w:hAnsi="Helvetica"/>
          <w:sz w:val="18"/>
        </w:rPr>
        <w:t>or 2.00%, or (b) for Base Rate Loans, at a rate equal to the highest of (i) the prime rate, (ii) the Federal Funds Rate plus 0.5%</w:t>
      </w:r>
      <w:r>
        <w:rPr>
          <w:rFonts w:ascii="Times New Roman;Times;serif" w:hAnsi="Times New Roman;Times;serif"/>
          <w:sz w:val="18"/>
        </w:rPr>
        <w:t xml:space="preserve"> </w:t>
      </w:r>
      <w:r>
        <w:rPr>
          <w:rFonts w:ascii="Helvetica" w:hAnsi="Helvetica"/>
          <w:sz w:val="18"/>
        </w:rPr>
        <w:t>and (iii) the Term SOFR Rate plus 1.0%, plus, in each case either 0.50%, 0.75%</w:t>
      </w:r>
      <w:r>
        <w:rPr>
          <w:rFonts w:ascii="Times New Roman;Times;serif" w:hAnsi="Times New Roman;Times;serif"/>
          <w:sz w:val="18"/>
        </w:rPr>
        <w:t xml:space="preserve"> </w:t>
      </w:r>
      <w:r>
        <w:rPr>
          <w:rFonts w:ascii="Helvetica" w:hAnsi="Helvetica"/>
          <w:sz w:val="18"/>
        </w:rPr>
        <w:t xml:space="preserve">or 1.00%, based in any such case on the average daily availability for borrowings under the facility. </w:t>
      </w:r>
    </w:p>
    <w:p>
      <w:pPr>
        <w:pStyle w:val="TextBody"/>
        <w:bidi w:val="0"/>
        <w:spacing w:lineRule="auto" w:line="307" w:before="0" w:after="48"/>
        <w:ind w:left="0" w:right="0" w:hanging="0"/>
        <w:jc w:val="left"/>
        <w:rPr/>
      </w:pPr>
      <w:r>
        <w:rPr/>
        <w:t>​</w:t>
      </w:r>
    </w:p>
    <w:p>
      <w:pPr>
        <w:pStyle w:val="TextBody"/>
        <w:bidi w:val="0"/>
        <w:spacing w:lineRule="auto" w:line="307" w:before="0" w:after="48"/>
        <w:ind w:left="0" w:right="0" w:hanging="0"/>
        <w:jc w:val="left"/>
        <w:rPr>
          <w:rFonts w:ascii="Times New Roman;Times;serif" w:hAnsi="Times New Roman;Times;serif"/>
          <w:sz w:val="18"/>
        </w:rPr>
      </w:pPr>
      <w:r>
        <w:rPr>
          <w:rFonts w:ascii="Helvetica" w:hAnsi="Helvetica"/>
          <w:sz w:val="18"/>
        </w:rPr>
        <w:t>As of August 1, 2026, the Company had no</w:t>
      </w:r>
      <w:r>
        <w:rPr>
          <w:rFonts w:ascii="Times New Roman;Times;serif" w:hAnsi="Times New Roman;Times;serif"/>
          <w:sz w:val="18"/>
        </w:rPr>
        <w:t xml:space="preserve"> </w:t>
      </w:r>
      <w:r>
        <w:rPr>
          <w:rFonts w:ascii="Helvetica" w:hAnsi="Helvetica"/>
          <w:sz w:val="18"/>
        </w:rPr>
        <w:t>borrowings under the credit facility and $2.2</w:t>
      </w:r>
      <w:r>
        <w:rPr>
          <w:rFonts w:ascii="Times New Roman;Times;serif" w:hAnsi="Times New Roman;Times;serif"/>
          <w:sz w:val="18"/>
        </w:rPr>
        <w:t xml:space="preserve"> </w:t>
      </w:r>
      <w:r>
        <w:rPr>
          <w:rFonts w:ascii="Helvetica" w:hAnsi="Helvetica"/>
          <w:sz w:val="18"/>
        </w:rPr>
        <w:t>million of letters of credit outstanding.</w:t>
      </w:r>
    </w:p>
    <w:p>
      <w:pPr>
        <w:pStyle w:val="TextBody"/>
        <w:bidi w:val="0"/>
        <w:spacing w:lineRule="auto" w:line="307" w:before="0" w:after="48"/>
        <w:ind w:left="0" w:right="0" w:hanging="0"/>
        <w:jc w:val="left"/>
        <w:rPr/>
      </w:pPr>
      <w:r>
        <w:rPr/>
        <w:t>​</w:t>
      </w:r>
    </w:p>
    <w:p>
      <w:pPr>
        <w:pStyle w:val="TextBody"/>
        <w:bidi w:val="0"/>
        <w:spacing w:lineRule="auto" w:line="304" w:before="0" w:after="240"/>
        <w:ind w:left="0" w:right="0" w:hanging="0"/>
        <w:jc w:val="left"/>
        <w:rPr>
          <w:rFonts w:ascii="Helvetica" w:hAnsi="Helvetica"/>
          <w:sz w:val="18"/>
        </w:rPr>
      </w:pPr>
      <w:r>
        <w:rPr>
          <w:rFonts w:ascii="Helvetica" w:hAnsi="Helvetica"/>
          <w:sz w:val="18"/>
        </w:rPr>
        <w:t>5. Impairment of Assets</w:t>
      </w:r>
    </w:p>
    <w:p>
      <w:pPr>
        <w:pStyle w:val="TextBody"/>
        <w:bidi w:val="0"/>
        <w:spacing w:lineRule="auto" w:line="304" w:before="0" w:after="48"/>
        <w:ind w:left="0" w:right="0" w:hanging="0"/>
        <w:jc w:val="left"/>
        <w:rPr>
          <w:rFonts w:ascii="Times New Roman;Times;serif" w:hAnsi="Times New Roman;Times;serif"/>
          <w:sz w:val="18"/>
        </w:rPr>
      </w:pPr>
      <w:r>
        <w:rPr>
          <w:rFonts w:ascii="Helvetica" w:hAnsi="Helvetica"/>
          <w:sz w:val="18"/>
        </w:rPr>
        <w:t>If facts and circumstances indicate that a long-lived asset or operating lease right-of-use asset may be impaired, the carrying value is reviewed. If this review indicates that the carrying value of the asset will not be recovered as determined based on projected undiscounted cash flows related to the asset over its remaining life, the carrying value of the asset is reduced to its estimated fair value. No</w:t>
      </w:r>
      <w:r>
        <w:rPr>
          <w:rFonts w:ascii="Times New Roman;Times;serif" w:hAnsi="Times New Roman;Times;serif"/>
          <w:sz w:val="18"/>
        </w:rPr>
        <w:t xml:space="preserve"> </w:t>
      </w:r>
      <w:r>
        <w:rPr>
          <w:rFonts w:ascii="Helvetica" w:hAnsi="Helvetica"/>
          <w:sz w:val="18"/>
        </w:rPr>
        <w:t>impairments were recorded in the twenty-six weeks ended August 1, 2026. In the twenty-six weeks ended August 2, 2025, non-cash impairment expense related to underperforming stores totaled $0.3</w:t>
      </w:r>
      <w:r>
        <w:rPr>
          <w:rFonts w:ascii="Times New Roman;Times;serif" w:hAnsi="Times New Roman;Times;serif"/>
          <w:sz w:val="18"/>
        </w:rPr>
        <w:t xml:space="preserve"> </w:t>
      </w:r>
      <w:r>
        <w:rPr>
          <w:rFonts w:ascii="Helvetica" w:hAnsi="Helvetica"/>
          <w:sz w:val="18"/>
        </w:rPr>
        <w:t>million, comprised of $0.2</w:t>
      </w:r>
      <w:r>
        <w:rPr>
          <w:rFonts w:ascii="Times New Roman;Times;serif" w:hAnsi="Times New Roman;Times;serif"/>
          <w:sz w:val="18"/>
        </w:rPr>
        <w:t xml:space="preserve"> </w:t>
      </w:r>
      <w:r>
        <w:rPr>
          <w:rFonts w:ascii="Helvetica" w:hAnsi="Helvetica"/>
          <w:sz w:val="18"/>
        </w:rPr>
        <w:t>million for leasehold improvements and fixtures and equipment, and $0.1</w:t>
      </w:r>
      <w:r>
        <w:rPr>
          <w:rFonts w:ascii="Times New Roman;Times;serif" w:hAnsi="Times New Roman;Times;serif"/>
          <w:sz w:val="18"/>
        </w:rPr>
        <w:t xml:space="preserve"> </w:t>
      </w:r>
      <w:r>
        <w:rPr>
          <w:rFonts w:ascii="Helvetica" w:hAnsi="Helvetica"/>
          <w:sz w:val="18"/>
        </w:rPr>
        <w:t>million for operating lease right of use assets. </w:t>
      </w:r>
    </w:p>
    <w:p>
      <w:pPr>
        <w:pStyle w:val="TextBody"/>
        <w:bidi w:val="0"/>
        <w:spacing w:lineRule="auto" w:line="304" w:before="0" w:after="48"/>
        <w:ind w:left="0" w:right="0" w:hanging="0"/>
        <w:jc w:val="left"/>
        <w:rPr/>
      </w:pPr>
      <w:r>
        <w:rPr/>
        <w:t>​</w:t>
      </w:r>
    </w:p>
    <w:p>
      <w:pPr>
        <w:pStyle w:val="TextBody"/>
        <w:bidi w:val="0"/>
        <w:spacing w:lineRule="auto" w:line="307" w:before="0" w:after="240"/>
        <w:ind w:left="0" w:right="0" w:hanging="0"/>
        <w:jc w:val="left"/>
        <w:rPr>
          <w:rFonts w:ascii="Helvetica" w:hAnsi="Helvetica"/>
          <w:sz w:val="18"/>
        </w:rPr>
      </w:pPr>
      <w:r>
        <w:rPr>
          <w:rFonts w:ascii="Helvetica" w:hAnsi="Helvetica"/>
          <w:sz w:val="18"/>
        </w:rPr>
        <w:t>6. Income Taxes</w:t>
      </w:r>
    </w:p>
    <w:p>
      <w:pPr>
        <w:pStyle w:val="TextBody"/>
        <w:bidi w:val="0"/>
        <w:spacing w:lineRule="auto" w:line="307" w:before="0" w:after="0"/>
        <w:ind w:left="0" w:right="0" w:hanging="0"/>
        <w:jc w:val="left"/>
        <w:rPr>
          <w:rFonts w:ascii="Helvetica" w:hAnsi="Helvetica"/>
          <w:sz w:val="18"/>
        </w:rPr>
      </w:pPr>
      <w:r>
        <w:rPr>
          <w:rFonts w:ascii="Helvetica" w:hAnsi="Helvetica"/>
          <w:sz w:val="18"/>
        </w:rPr>
        <w:t xml:space="preserve">Income taxes are accounted for under the asset and liability method. Deferred tax assets and liabilities are recognized for the future tax consequences attributable to differences between the financial statement carrying amounts of existing assets and liabilities and their respective tax bases and operating loss and tax credit carryforwards. Deferred tax assets and liabilities are measured using enacted tax </w:t>
      </w:r>
    </w:p>
    <w:p>
      <w:pPr>
        <w:pStyle w:val="TextBody"/>
        <w:bidi w:val="0"/>
        <w:spacing w:before="480" w:after="0"/>
        <w:ind w:left="0" w:right="0" w:hanging="0"/>
        <w:jc w:val="center"/>
        <w:rPr>
          <w:rFonts w:ascii="Helvetica" w:hAnsi="Helvetica"/>
          <w:sz w:val="18"/>
        </w:rPr>
      </w:pPr>
      <w:r>
        <w:rPr>
          <w:rFonts w:ascii="Helvetica" w:hAnsi="Helvetica"/>
          <w:sz w:val="18"/>
        </w:rPr>
        <w:t>9</w:t>
      </w:r>
    </w:p>
    <w:p>
      <w:pPr>
        <w:pStyle w:val="TextBody"/>
        <w:bidi w:val="0"/>
        <w:spacing w:before="0" w:after="6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lineRule="auto" w:line="307" w:before="0" w:after="240"/>
        <w:ind w:left="0" w:right="0" w:hanging="0"/>
        <w:jc w:val="left"/>
        <w:rPr>
          <w:rFonts w:ascii="Helvetica" w:hAnsi="Helvetica"/>
          <w:sz w:val="18"/>
        </w:rPr>
      </w:pPr>
      <w:r>
        <w:rPr>
          <w:rFonts w:ascii="Helvetica" w:hAnsi="Helvetica"/>
          <w:sz w:val="18"/>
        </w:rPr>
        <w:t>rates expected to apply to taxable income in the years in which those temporary differences are expected to be recovered or settled. The effect on deferred tax assets and liabilities of a change in tax rates is recognized in income in the period that includes the enactment date. In assessing the realizability of deferred tax assets, management considers whether it is more likely than not that some portion or all of the deferred tax assets will not be realized. If realization of the deferred tax asset is not considered more likely than not, then a valuation allowance is recorded to reduce the deferred tax asset to its net realizable value.</w:t>
      </w:r>
    </w:p>
    <w:p>
      <w:pPr>
        <w:pStyle w:val="TextBody"/>
        <w:bidi w:val="0"/>
        <w:spacing w:lineRule="auto" w:line="307" w:before="0" w:after="240"/>
        <w:ind w:left="0" w:right="0" w:hanging="0"/>
        <w:jc w:val="left"/>
        <w:rPr>
          <w:rFonts w:ascii="Helvetica" w:hAnsi="Helvetica"/>
          <w:sz w:val="18"/>
        </w:rPr>
      </w:pPr>
      <w:r>
        <w:rPr>
          <w:rFonts w:ascii="Helvetica" w:hAnsi="Helvetica"/>
          <w:sz w:val="18"/>
        </w:rPr>
        <w:t xml:space="preserve">The ultimate realization of deferred tax assets is dependent upon the generation of future taxable income during the periods in which those temporary differences become deductible. Management considers the scheduled reversal of deferred tax liabilities, projected future taxable income, and tax planning strategies in making this assessment. Based upon the level of historical taxable income and projections for future taxable income over the periods in which the deferred tax assets are deductible and income tax credits may be utilized, management believes sufficient negative evidence exists to require a valuation allowance. We intend to maintain a valuation allowance until sufficient positive evidence exists to support its reversal, resulting in no deferred tax asset balance being recognized. </w:t>
      </w:r>
    </w:p>
    <w:p>
      <w:pPr>
        <w:pStyle w:val="TextBody"/>
        <w:bidi w:val="0"/>
        <w:spacing w:before="0" w:after="0"/>
        <w:ind w:left="0" w:right="0" w:hanging="0"/>
        <w:jc w:val="left"/>
        <w:rPr>
          <w:rFonts w:ascii="Helvetica" w:hAnsi="Helvetica"/>
          <w:sz w:val="18"/>
        </w:rPr>
      </w:pPr>
      <w:r>
        <w:rPr>
          <w:rFonts w:ascii="Helvetica" w:hAnsi="Helvetica"/>
          <w:sz w:val="18"/>
        </w:rPr>
        <w:t>On July 4, 2025, the President signed H.R. 1, the “One Big Beautiful Bill Act,” into law. The legislation has multiple effective dates, with certain provisions effective in 2025 and others implemented through 2027. The legislation includes several changes to federal tax law that generally allow for more favorable deductibility of certain business expenses beginning in 2025, including the restoration of immediate expensing of domestic R&amp;D expenditures, reinstatement of 100% bonus depreciation, and more favorable rules for determining the limitation on business interest expense. The Company expects to utilize the more favorable tax legislation in its corresponding tax filings.</w:t>
      </w:r>
    </w:p>
    <w:p>
      <w:pPr>
        <w:pStyle w:val="TextBody"/>
        <w:bidi w:val="0"/>
        <w:spacing w:before="100" w:after="100"/>
        <w:ind w:left="0" w:right="0" w:hanging="0"/>
        <w:jc w:val="left"/>
        <w:rPr/>
      </w:pPr>
      <w:r>
        <w:rPr/>
        <w:t>​</w:t>
      </w:r>
    </w:p>
    <w:p>
      <w:pPr>
        <w:pStyle w:val="TextBody"/>
        <w:bidi w:val="0"/>
        <w:spacing w:lineRule="auto" w:line="307" w:before="0" w:after="240"/>
        <w:ind w:left="0" w:right="0" w:hanging="0"/>
        <w:jc w:val="left"/>
        <w:rPr>
          <w:rFonts w:ascii="Helvetica" w:hAnsi="Helvetica"/>
          <w:sz w:val="18"/>
        </w:rPr>
      </w:pPr>
      <w:r>
        <w:rPr>
          <w:rFonts w:ascii="Helvetica" w:hAnsi="Helvetica"/>
          <w:sz w:val="18"/>
        </w:rPr>
        <w:t>7. Commitments and Contingencies</w:t>
      </w:r>
    </w:p>
    <w:p>
      <w:pPr>
        <w:pStyle w:val="TextBody"/>
        <w:bidi w:val="0"/>
        <w:spacing w:lineRule="auto" w:line="307" w:before="0" w:after="240"/>
        <w:ind w:left="0" w:right="0" w:hanging="0"/>
        <w:jc w:val="left"/>
        <w:rPr>
          <w:rFonts w:ascii="Helvetica" w:hAnsi="Helvetica"/>
          <w:sz w:val="18"/>
        </w:rPr>
      </w:pPr>
      <w:r>
        <w:rPr>
          <w:rFonts w:ascii="Helvetica" w:hAnsi="Helvetica"/>
          <w:sz w:val="18"/>
        </w:rPr>
        <w:t xml:space="preserve">The Company from time to time is involved in various legal proceedings incidental to the conduct of its business, including claims by customers, landlords, employees or former employees. Once it becomes probable that the Company will incur costs in connection with a legal proceeding and such costs can be reasonably estimated, the Company establishes appropriate reserves. </w:t>
      </w:r>
    </w:p>
    <w:p>
      <w:pPr>
        <w:pStyle w:val="TextBody"/>
        <w:bidi w:val="0"/>
        <w:spacing w:lineRule="auto" w:line="307" w:before="0" w:after="240"/>
        <w:ind w:left="0" w:right="0" w:hanging="0"/>
        <w:jc w:val="left"/>
        <w:rPr>
          <w:rFonts w:ascii="Helvetica" w:hAnsi="Helvetica"/>
          <w:sz w:val="18"/>
        </w:rPr>
      </w:pPr>
      <w:r>
        <w:rPr>
          <w:rFonts w:ascii="Helvetica" w:hAnsi="Helvetica"/>
          <w:sz w:val="18"/>
        </w:rPr>
        <w:t>While legal proceedings are subject to uncertainties and the outcome of any such matter is not predictable, the Company is not aware of any legal proceedings pending or threatened against it that it expects to have a material adverse effect on its financial condition, results of operations or liquidity.</w:t>
      </w:r>
    </w:p>
    <w:p>
      <w:pPr>
        <w:pStyle w:val="TextBody"/>
        <w:bidi w:val="0"/>
        <w:spacing w:lineRule="auto" w:line="307" w:before="0" w:after="240"/>
        <w:ind w:left="0" w:right="0" w:hanging="0"/>
        <w:jc w:val="left"/>
        <w:rPr>
          <w:rFonts w:ascii="Helvetica" w:hAnsi="Helvetica"/>
          <w:sz w:val="18"/>
        </w:rPr>
      </w:pPr>
      <w:bookmarkStart w:id="808" w:name="Tc_WOrfAjirwkCecyfcvRgSAQ_5_10"/>
      <w:bookmarkStart w:id="809" w:name="Tc_mTZy1VPRekWtckzm2dHpig_5_8"/>
      <w:bookmarkStart w:id="810" w:name="Tc_qUOxoIvGck-9uhORipHPfA_5_7"/>
      <w:bookmarkStart w:id="811" w:name="Tc_lhDPSqzc-UCfDZsVR82qUQ_5_5"/>
      <w:bookmarkStart w:id="812" w:name="Tc_UBWkk0e42EyR3LuAj1K8_w_5_4"/>
      <w:bookmarkStart w:id="813" w:name="Tc_tclr23cJLE28f2oFYKQmxg_5_2"/>
      <w:bookmarkStart w:id="814" w:name="Tc_xBMgBrWKR0KVDyeaolViyA_5_1"/>
      <w:bookmarkStart w:id="815" w:name="Tc_X-FVDzAYlEempcZm-aczzw_5_0"/>
      <w:bookmarkStart w:id="816" w:name="Tc_GDus4X4yZkSRpK67FBLW1w_4_10"/>
      <w:bookmarkStart w:id="817" w:name="Tc_T8kYZ2USM0W43sBNiiLTGA_4_8"/>
      <w:bookmarkStart w:id="818" w:name="Tc_oewGR4cbvkGWFNf_jV_zsg_4_7"/>
      <w:bookmarkStart w:id="819" w:name="Tc_lW_0uCTLzUSuXiW9-U5Aug_4_5"/>
      <w:bookmarkStart w:id="820" w:name="Tc_y-MuMfNx4UOP9q6gaDX40A_4_4"/>
      <w:bookmarkStart w:id="821" w:name="Tc_5omuQnNMqUuAUwg9hchHsg_4_2"/>
      <w:bookmarkStart w:id="822" w:name="Tc_nnrrzdR9gka3wevUaaehGw_4_1"/>
      <w:bookmarkStart w:id="823" w:name="Tc_edq-nfwty0CpikM8BmRU_w_4_0"/>
      <w:bookmarkStart w:id="824" w:name="Tc_LE45ZQ7nrECgGmVeMGGQSg_3_8"/>
      <w:bookmarkStart w:id="825" w:name="Tc_zCkORmDzKkmN04x9Xd8U7g_3_5"/>
      <w:bookmarkStart w:id="826" w:name="Tc_UntpYJU4L0y4pBDnu1ZFHg_3_2"/>
      <w:bookmarkStart w:id="827" w:name="Tc_kLvTG8hPOEeOGWVnMgG16g_3_0"/>
      <w:bookmarkStart w:id="828" w:name="Tc_jErEDSvZZke1SGxLgu5MKA_2_10"/>
      <w:bookmarkStart w:id="829" w:name="Tc__ERGfVUunUO27wKEkAf7TA_2_7"/>
      <w:bookmarkStart w:id="830" w:name="Tc_6EHAk0WLTUKElWMZpPkUaA_2_4"/>
      <w:bookmarkStart w:id="831" w:name="Tc_4EM55ioJRUySUqzvD6icCQ_2_1"/>
      <w:bookmarkStart w:id="832" w:name="Tc_wQVmYkw-4UKUPK01agCYMw_1_7"/>
      <w:bookmarkStart w:id="833" w:name="Tc_g67kw0lUVEKl7ylWQwCqJw_1_1"/>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bookmarkEnd w:id="828"/>
      <w:bookmarkEnd w:id="829"/>
      <w:bookmarkEnd w:id="830"/>
      <w:bookmarkEnd w:id="831"/>
      <w:bookmarkEnd w:id="832"/>
      <w:bookmarkEnd w:id="833"/>
      <w:r>
        <w:rPr>
          <w:rFonts w:ascii="Helvetica" w:hAnsi="Helvetica"/>
          <w:sz w:val="18"/>
        </w:rPr>
        <w:t>8. Stock Repurchases</w:t>
      </w:r>
    </w:p>
    <w:p>
      <w:pPr>
        <w:pStyle w:val="TextBody"/>
        <w:bidi w:val="0"/>
        <w:spacing w:lineRule="auto" w:line="307" w:before="0" w:after="0"/>
        <w:ind w:left="0" w:right="0" w:hanging="0"/>
        <w:jc w:val="left"/>
        <w:rPr>
          <w:rFonts w:ascii="Helvetica" w:hAnsi="Helvetica"/>
          <w:sz w:val="18"/>
        </w:rPr>
      </w:pPr>
      <w:r>
        <w:rPr>
          <w:rFonts w:ascii="Helvetica" w:hAnsi="Helvetica"/>
          <w:sz w:val="18"/>
        </w:rPr>
        <w:t>The Company periodically repurchases shares of its common stock under board-authorized repurchase programs. Such repurchases may be made in the open market, through block trades or through other negotiated transactions. Share repurchases were as follows (in thousands, except per share data):</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4109"/>
        <w:gridCol w:w="483"/>
        <w:gridCol w:w="793"/>
        <w:gridCol w:w="432"/>
        <w:gridCol w:w="483"/>
        <w:gridCol w:w="793"/>
        <w:gridCol w:w="109"/>
        <w:gridCol w:w="483"/>
        <w:gridCol w:w="793"/>
        <w:gridCol w:w="405"/>
        <w:gridCol w:w="314"/>
        <w:gridCol w:w="1008"/>
      </w:tblGrid>
      <w:tr>
        <w:trPr/>
        <w:tc>
          <w:tcPr>
            <w:tcW w:w="4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2609215" cy="175260"/>
                      <wp:effectExtent l="0" t="0" r="0" b="0"/>
                      <wp:wrapNone/>
                      <wp:docPr id="85" name="Frame85"/>
                      <a:graphic xmlns:a="http://schemas.openxmlformats.org/drawingml/2006/main">
                        <a:graphicData uri="http://schemas.microsoft.com/office/word/2010/wordprocessingShape">
                          <wps:wsp>
                            <wps:cNvSpPr txBox="1"/>
                            <wps:spPr>
                              <a:xfrm>
                                <a:off x="0" y="0"/>
                                <a:ext cx="260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8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306705" cy="175260"/>
                      <wp:effectExtent l="0" t="0" r="0" b="0"/>
                      <wp:wrapNone/>
                      <wp:docPr id="86" name="Frame86"/>
                      <a:graphic xmlns:a="http://schemas.openxmlformats.org/drawingml/2006/main">
                        <a:graphicData uri="http://schemas.microsoft.com/office/word/2010/wordprocessingShape">
                          <wps:wsp>
                            <wps:cNvSpPr txBox="1"/>
                            <wps:spPr>
                              <a:xfrm>
                                <a:off x="0" y="0"/>
                                <a:ext cx="3067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503555" cy="175260"/>
                      <wp:effectExtent l="0" t="0" r="0" b="0"/>
                      <wp:wrapNone/>
                      <wp:docPr id="87" name="Frame87"/>
                      <a:graphic xmlns:a="http://schemas.openxmlformats.org/drawingml/2006/main">
                        <a:graphicData uri="http://schemas.microsoft.com/office/word/2010/wordprocessingShape">
                          <wps:wsp>
                            <wps:cNvSpPr txBox="1"/>
                            <wps:spPr>
                              <a:xfrm>
                                <a:off x="0" y="0"/>
                                <a:ext cx="5035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3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274320" cy="175260"/>
                      <wp:effectExtent l="0" t="0" r="0" b="0"/>
                      <wp:wrapNone/>
                      <wp:docPr id="88" name="Frame88"/>
                      <a:graphic xmlns:a="http://schemas.openxmlformats.org/drawingml/2006/main">
                        <a:graphicData uri="http://schemas.microsoft.com/office/word/2010/wordprocessingShape">
                          <wps:wsp>
                            <wps:cNvSpPr txBox="1"/>
                            <wps:spPr>
                              <a:xfrm>
                                <a:off x="0" y="0"/>
                                <a:ext cx="2743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8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306705" cy="175260"/>
                      <wp:effectExtent l="0" t="0" r="0" b="0"/>
                      <wp:wrapNone/>
                      <wp:docPr id="89" name="Frame89"/>
                      <a:graphic xmlns:a="http://schemas.openxmlformats.org/drawingml/2006/main">
                        <a:graphicData uri="http://schemas.microsoft.com/office/word/2010/wordprocessingShape">
                          <wps:wsp>
                            <wps:cNvSpPr txBox="1"/>
                            <wps:spPr>
                              <a:xfrm>
                                <a:off x="0" y="0"/>
                                <a:ext cx="3067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503555" cy="175260"/>
                      <wp:effectExtent l="0" t="0" r="0" b="0"/>
                      <wp:wrapNone/>
                      <wp:docPr id="90" name="Frame90"/>
                      <a:graphic xmlns:a="http://schemas.openxmlformats.org/drawingml/2006/main">
                        <a:graphicData uri="http://schemas.microsoft.com/office/word/2010/wordprocessingShape">
                          <wps:wsp>
                            <wps:cNvSpPr txBox="1"/>
                            <wps:spPr>
                              <a:xfrm>
                                <a:off x="0" y="0"/>
                                <a:ext cx="5035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9215" cy="175260"/>
                      <wp:effectExtent l="0" t="0" r="0" b="0"/>
                      <wp:wrapNone/>
                      <wp:docPr id="91" name="Frame9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8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306705" cy="175260"/>
                      <wp:effectExtent l="0" t="0" r="0" b="0"/>
                      <wp:wrapNone/>
                      <wp:docPr id="92" name="Frame92"/>
                      <a:graphic xmlns:a="http://schemas.openxmlformats.org/drawingml/2006/main">
                        <a:graphicData uri="http://schemas.microsoft.com/office/word/2010/wordprocessingShape">
                          <wps:wsp>
                            <wps:cNvSpPr txBox="1"/>
                            <wps:spPr>
                              <a:xfrm>
                                <a:off x="0" y="0"/>
                                <a:ext cx="3067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503555" cy="175260"/>
                      <wp:effectExtent l="0" t="0" r="0" b="0"/>
                      <wp:wrapNone/>
                      <wp:docPr id="93" name="Frame93"/>
                      <a:graphic xmlns:a="http://schemas.openxmlformats.org/drawingml/2006/main">
                        <a:graphicData uri="http://schemas.microsoft.com/office/word/2010/wordprocessingShape">
                          <wps:wsp>
                            <wps:cNvSpPr txBox="1"/>
                            <wps:spPr>
                              <a:xfrm>
                                <a:off x="0" y="0"/>
                                <a:ext cx="5035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257175" cy="175260"/>
                      <wp:effectExtent l="0" t="0" r="0" b="0"/>
                      <wp:wrapNone/>
                      <wp:docPr id="94" name="Frame94"/>
                      <a:graphic xmlns:a="http://schemas.openxmlformats.org/drawingml/2006/main">
                        <a:graphicData uri="http://schemas.microsoft.com/office/word/2010/wordprocessingShape">
                          <wps:wsp>
                            <wps:cNvSpPr txBox="1"/>
                            <wps:spPr>
                              <a:xfrm>
                                <a:off x="0" y="0"/>
                                <a:ext cx="2571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199390" cy="175260"/>
                      <wp:effectExtent l="0" t="0" r="0" b="0"/>
                      <wp:wrapNone/>
                      <wp:docPr id="95" name="Frame95"/>
                      <a:graphic xmlns:a="http://schemas.openxmlformats.org/drawingml/2006/main">
                        <a:graphicData uri="http://schemas.microsoft.com/office/word/2010/wordprocessingShape">
                          <wps:wsp>
                            <wps:cNvSpPr txBox="1"/>
                            <wps:spPr>
                              <a:xfrm>
                                <a:off x="0" y="0"/>
                                <a:ext cx="1993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0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0080" cy="175260"/>
                      <wp:effectExtent l="0" t="0" r="0" b="0"/>
                      <wp:wrapNone/>
                      <wp:docPr id="96" name="Frame96"/>
                      <a:graphic xmlns:a="http://schemas.openxmlformats.org/drawingml/2006/main">
                        <a:graphicData uri="http://schemas.microsoft.com/office/word/2010/wordprocessingShape">
                          <wps:wsp>
                            <wps:cNvSpPr txBox="1"/>
                            <wps:spPr>
                              <a:xfrm>
                                <a:off x="0" y="0"/>
                                <a:ext cx="6400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109" w:type="dxa"/>
            <w:tcBorders/>
            <w:vAlign w:val="center"/>
          </w:tcPr>
          <w:p>
            <w:pPr>
              <w:pStyle w:val="TableContents"/>
              <w:bidi w:val="0"/>
              <w:spacing w:before="0" w:after="0"/>
              <w:ind w:left="0" w:right="0" w:hanging="0"/>
              <w:jc w:val="left"/>
              <w:rPr/>
            </w:pPr>
            <w:r>
              <w:rPr/>
              <w:t>​</w:t>
            </w:r>
          </w:p>
        </w:tc>
        <w:tc>
          <w:tcPr>
            <w:tcW w:w="2984"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Thirteen Weeks Ended</w:t>
            </w:r>
          </w:p>
        </w:tc>
        <w:tc>
          <w:tcPr>
            <w:tcW w:w="109" w:type="dxa"/>
            <w:tcBorders/>
            <w:vAlign w:val="center"/>
          </w:tcPr>
          <w:p>
            <w:pPr>
              <w:pStyle w:val="TableContents"/>
              <w:bidi w:val="0"/>
              <w:spacing w:before="0" w:after="0"/>
              <w:ind w:left="0" w:right="0" w:hanging="0"/>
              <w:jc w:val="center"/>
              <w:rPr/>
            </w:pPr>
            <w:r>
              <w:rPr/>
              <w:t>​</w:t>
            </w:r>
          </w:p>
        </w:tc>
        <w:tc>
          <w:tcPr>
            <w:tcW w:w="3003"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Twenty-Six Weeks Ended</w:t>
            </w:r>
          </w:p>
        </w:tc>
      </w:tr>
      <w:tr>
        <w:trPr/>
        <w:tc>
          <w:tcPr>
            <w:tcW w:w="4109" w:type="dxa"/>
            <w:tcBorders/>
            <w:vAlign w:val="center"/>
          </w:tcPr>
          <w:p>
            <w:pPr>
              <w:pStyle w:val="TableContents"/>
              <w:bidi w:val="0"/>
              <w:spacing w:before="0" w:after="0"/>
              <w:ind w:left="0" w:right="0" w:hanging="0"/>
              <w:jc w:val="left"/>
              <w:rPr/>
            </w:pPr>
            <w:r>
              <w:rPr/>
              <w:t>​</w:t>
            </w:r>
          </w:p>
        </w:tc>
        <w:tc>
          <w:tcPr>
            <w:tcW w:w="127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August 1, 2026</w:t>
            </w:r>
          </w:p>
        </w:tc>
        <w:tc>
          <w:tcPr>
            <w:tcW w:w="432" w:type="dxa"/>
            <w:tcBorders/>
            <w:vAlign w:val="center"/>
          </w:tcPr>
          <w:p>
            <w:pPr>
              <w:pStyle w:val="TableContents"/>
              <w:bidi w:val="0"/>
              <w:spacing w:before="0" w:after="0"/>
              <w:ind w:left="0" w:right="0" w:hanging="0"/>
              <w:jc w:val="left"/>
              <w:rPr/>
            </w:pPr>
            <w:r>
              <w:rPr/>
              <w:t>  ​ ​ ​</w:t>
            </w:r>
          </w:p>
        </w:tc>
        <w:tc>
          <w:tcPr>
            <w:tcW w:w="127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August 2, 2025</w:t>
            </w:r>
          </w:p>
        </w:tc>
        <w:tc>
          <w:tcPr>
            <w:tcW w:w="109" w:type="dxa"/>
            <w:tcBorders/>
            <w:vAlign w:val="center"/>
          </w:tcPr>
          <w:p>
            <w:pPr>
              <w:pStyle w:val="TableContents"/>
              <w:bidi w:val="0"/>
              <w:spacing w:before="0" w:after="0"/>
              <w:ind w:left="0" w:right="0" w:hanging="0"/>
              <w:jc w:val="center"/>
              <w:rPr/>
            </w:pPr>
            <w:r>
              <w:rPr/>
              <w:t>​</w:t>
            </w:r>
          </w:p>
        </w:tc>
        <w:tc>
          <w:tcPr>
            <w:tcW w:w="127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August 1, 2026</w:t>
            </w:r>
          </w:p>
        </w:tc>
        <w:tc>
          <w:tcPr>
            <w:tcW w:w="405" w:type="dxa"/>
            <w:tcBorders/>
            <w:vAlign w:val="center"/>
          </w:tcPr>
          <w:p>
            <w:pPr>
              <w:pStyle w:val="TableContents"/>
              <w:bidi w:val="0"/>
              <w:spacing w:before="0" w:after="0"/>
              <w:ind w:left="0" w:right="0" w:hanging="0"/>
              <w:jc w:val="left"/>
              <w:rPr/>
            </w:pPr>
            <w:r>
              <w:rPr/>
              <w:t>  ​ ​ ​</w:t>
            </w:r>
          </w:p>
        </w:tc>
        <w:tc>
          <w:tcPr>
            <w:tcW w:w="132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August 2, 2025</w:t>
            </w:r>
          </w:p>
        </w:tc>
      </w:tr>
      <w:tr>
        <w:trPr/>
        <w:tc>
          <w:tcPr>
            <w:tcW w:w="4109"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Total number of shares purchased</w:t>
            </w:r>
          </w:p>
        </w:tc>
        <w:tc>
          <w:tcPr>
            <w:tcW w:w="483" w:type="dxa"/>
            <w:tcBorders/>
            <w:shd w:fill="CCEEFF" w:val="clear"/>
            <w:vAlign w:val="center"/>
          </w:tcPr>
          <w:p>
            <w:pPr>
              <w:pStyle w:val="TableContents"/>
              <w:bidi w:val="0"/>
              <w:spacing w:before="0" w:after="0"/>
              <w:ind w:left="0" w:right="0" w:hanging="0"/>
              <w:jc w:val="left"/>
              <w:rPr/>
            </w:pPr>
            <w:r>
              <w:rPr/>
              <w:t>​</w:t>
            </w:r>
          </w:p>
        </w:tc>
        <w:tc>
          <w:tcPr>
            <w:tcW w:w="793" w:type="dxa"/>
            <w:tcBorders/>
            <w:shd w:fill="CCEEFF" w:val="clear"/>
            <w:vAlign w:val="center"/>
          </w:tcPr>
          <w:p>
            <w:pPr>
              <w:pStyle w:val="TableContents"/>
              <w:bidi w:val="0"/>
              <w:spacing w:before="0" w:after="0"/>
              <w:ind w:left="0" w:right="0" w:hanging="0"/>
              <w:jc w:val="right"/>
              <w:rPr/>
            </w:pPr>
            <w:r>
              <w:rPr/>
              <w:t>—</w:t>
            </w:r>
          </w:p>
        </w:tc>
        <w:tc>
          <w:tcPr>
            <w:tcW w:w="432" w:type="dxa"/>
            <w:tcBorders/>
            <w:shd w:fill="CCEEFF" w:val="clear"/>
            <w:vAlign w:val="center"/>
          </w:tcPr>
          <w:p>
            <w:pPr>
              <w:pStyle w:val="TableContents"/>
              <w:bidi w:val="0"/>
              <w:spacing w:before="0" w:after="0"/>
              <w:ind w:left="0" w:right="0" w:hanging="0"/>
              <w:jc w:val="left"/>
              <w:rPr/>
            </w:pPr>
            <w:r>
              <w:rPr/>
              <w:t>​</w:t>
            </w:r>
          </w:p>
        </w:tc>
        <w:tc>
          <w:tcPr>
            <w:tcW w:w="483" w:type="dxa"/>
            <w:tcBorders/>
            <w:shd w:fill="CCEEFF" w:val="clear"/>
            <w:vAlign w:val="center"/>
          </w:tcPr>
          <w:p>
            <w:pPr>
              <w:pStyle w:val="TableContents"/>
              <w:bidi w:val="0"/>
              <w:spacing w:before="0" w:after="0"/>
              <w:ind w:left="0" w:right="0" w:hanging="0"/>
              <w:jc w:val="left"/>
              <w:rPr/>
            </w:pPr>
            <w:r>
              <w:rPr/>
              <w:t>​</w:t>
            </w:r>
          </w:p>
        </w:tc>
        <w:tc>
          <w:tcPr>
            <w:tcW w:w="793"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483" w:type="dxa"/>
            <w:tcBorders/>
            <w:shd w:fill="CCEEFF" w:val="clear"/>
            <w:vAlign w:val="center"/>
          </w:tcPr>
          <w:p>
            <w:pPr>
              <w:pStyle w:val="TableContents"/>
              <w:bidi w:val="0"/>
              <w:spacing w:before="0" w:after="0"/>
              <w:ind w:left="0" w:right="0" w:hanging="0"/>
              <w:jc w:val="left"/>
              <w:rPr/>
            </w:pPr>
            <w:r>
              <w:rPr/>
              <w:t>​</w:t>
            </w:r>
          </w:p>
        </w:tc>
        <w:tc>
          <w:tcPr>
            <w:tcW w:w="793" w:type="dxa"/>
            <w:tcBorders/>
            <w:shd w:fill="CCEEFF" w:val="clear"/>
            <w:vAlign w:val="center"/>
          </w:tcPr>
          <w:p>
            <w:pPr>
              <w:pStyle w:val="TableContents"/>
              <w:bidi w:val="0"/>
              <w:spacing w:before="0" w:after="0"/>
              <w:ind w:left="0" w:right="0" w:hanging="0"/>
              <w:jc w:val="right"/>
              <w:rPr/>
            </w:pPr>
            <w:r>
              <w:rPr/>
              <w:t>—</w:t>
            </w:r>
          </w:p>
        </w:tc>
        <w:tc>
          <w:tcPr>
            <w:tcW w:w="405" w:type="dxa"/>
            <w:tcBorders/>
            <w:shd w:fill="CCEEFF" w:val="clear"/>
            <w:vAlign w:val="center"/>
          </w:tcPr>
          <w:p>
            <w:pPr>
              <w:pStyle w:val="TableContents"/>
              <w:bidi w:val="0"/>
              <w:spacing w:before="0" w:after="0"/>
              <w:ind w:left="0" w:right="0" w:hanging="0"/>
              <w:jc w:val="left"/>
              <w:rPr/>
            </w:pPr>
            <w:r>
              <w:rPr/>
              <w:t>​</w:t>
            </w:r>
          </w:p>
        </w:tc>
        <w:tc>
          <w:tcPr>
            <w:tcW w:w="314" w:type="dxa"/>
            <w:tcBorders/>
            <w:shd w:fill="CCEEFF" w:val="clear"/>
            <w:vAlign w:val="center"/>
          </w:tcPr>
          <w:p>
            <w:pPr>
              <w:pStyle w:val="TableContents"/>
              <w:bidi w:val="0"/>
              <w:spacing w:before="0" w:after="0"/>
              <w:ind w:left="0" w:right="0" w:hanging="0"/>
              <w:jc w:val="left"/>
              <w:rPr/>
            </w:pPr>
            <w:r>
              <w:rPr/>
              <w:t>​</w:t>
            </w:r>
          </w:p>
        </w:tc>
        <w:tc>
          <w:tcPr>
            <w:tcW w:w="1008"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251</w:t>
            </w:r>
          </w:p>
        </w:tc>
      </w:tr>
      <w:tr>
        <w:trPr/>
        <w:tc>
          <w:tcPr>
            <w:tcW w:w="4109"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Average price paid per share (including commissions)</w:t>
            </w:r>
          </w:p>
        </w:tc>
        <w:tc>
          <w:tcPr>
            <w:tcW w:w="483"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793" w:type="dxa"/>
            <w:tcBorders/>
            <w:vAlign w:val="center"/>
          </w:tcPr>
          <w:p>
            <w:pPr>
              <w:pStyle w:val="TableContents"/>
              <w:bidi w:val="0"/>
              <w:spacing w:before="0" w:after="0"/>
              <w:ind w:left="0" w:right="0" w:hanging="0"/>
              <w:jc w:val="right"/>
              <w:rPr/>
            </w:pPr>
            <w:r>
              <w:rPr/>
              <w:t>—</w:t>
            </w:r>
          </w:p>
        </w:tc>
        <w:tc>
          <w:tcPr>
            <w:tcW w:w="432" w:type="dxa"/>
            <w:tcBorders/>
            <w:vAlign w:val="center"/>
          </w:tcPr>
          <w:p>
            <w:pPr>
              <w:pStyle w:val="TableContents"/>
              <w:bidi w:val="0"/>
              <w:spacing w:before="0" w:after="0"/>
              <w:ind w:left="0" w:right="0" w:hanging="0"/>
              <w:jc w:val="left"/>
              <w:rPr/>
            </w:pPr>
            <w:r>
              <w:rPr/>
              <w:t>​</w:t>
            </w:r>
          </w:p>
        </w:tc>
        <w:tc>
          <w:tcPr>
            <w:tcW w:w="483"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793"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483"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793" w:type="dxa"/>
            <w:tcBorders/>
            <w:vAlign w:val="center"/>
          </w:tcPr>
          <w:p>
            <w:pPr>
              <w:pStyle w:val="TableContents"/>
              <w:bidi w:val="0"/>
              <w:spacing w:before="0" w:after="0"/>
              <w:ind w:left="0" w:right="0" w:hanging="0"/>
              <w:jc w:val="right"/>
              <w:rPr/>
            </w:pPr>
            <w:r>
              <w:rPr/>
              <w:t>—</w:t>
            </w:r>
          </w:p>
        </w:tc>
        <w:tc>
          <w:tcPr>
            <w:tcW w:w="405" w:type="dxa"/>
            <w:tcBorders/>
            <w:vAlign w:val="center"/>
          </w:tcPr>
          <w:p>
            <w:pPr>
              <w:pStyle w:val="TableContents"/>
              <w:bidi w:val="0"/>
              <w:spacing w:before="0" w:after="0"/>
              <w:ind w:left="0" w:right="0" w:hanging="0"/>
              <w:jc w:val="left"/>
              <w:rPr/>
            </w:pPr>
            <w:r>
              <w:rPr/>
              <w:t>​</w:t>
            </w:r>
          </w:p>
        </w:tc>
        <w:tc>
          <w:tcPr>
            <w:tcW w:w="314"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1008"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25</w:t>
            </w:r>
          </w:p>
        </w:tc>
      </w:tr>
      <w:tr>
        <w:trPr/>
        <w:tc>
          <w:tcPr>
            <w:tcW w:w="4109"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Total investment</w:t>
            </w:r>
          </w:p>
        </w:tc>
        <w:tc>
          <w:tcPr>
            <w:tcW w:w="483"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793" w:type="dxa"/>
            <w:tcBorders/>
            <w:shd w:fill="CCEEFF" w:val="clear"/>
            <w:vAlign w:val="center"/>
          </w:tcPr>
          <w:p>
            <w:pPr>
              <w:pStyle w:val="TableContents"/>
              <w:bidi w:val="0"/>
              <w:spacing w:before="0" w:after="0"/>
              <w:ind w:left="0" w:right="0" w:hanging="0"/>
              <w:jc w:val="right"/>
              <w:rPr/>
            </w:pPr>
            <w:r>
              <w:rPr/>
              <w:t>—</w:t>
            </w:r>
          </w:p>
        </w:tc>
        <w:tc>
          <w:tcPr>
            <w:tcW w:w="432" w:type="dxa"/>
            <w:tcBorders/>
            <w:shd w:fill="CCEEFF" w:val="clear"/>
            <w:vAlign w:val="center"/>
          </w:tcPr>
          <w:p>
            <w:pPr>
              <w:pStyle w:val="TableContents"/>
              <w:bidi w:val="0"/>
              <w:spacing w:before="0" w:after="0"/>
              <w:ind w:left="0" w:right="0" w:hanging="0"/>
              <w:jc w:val="left"/>
              <w:rPr/>
            </w:pPr>
            <w:r>
              <w:rPr/>
              <w:t>​</w:t>
            </w:r>
          </w:p>
        </w:tc>
        <w:tc>
          <w:tcPr>
            <w:tcW w:w="483"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793"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483"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793" w:type="dxa"/>
            <w:tcBorders/>
            <w:shd w:fill="CCEEFF" w:val="clear"/>
            <w:vAlign w:val="center"/>
          </w:tcPr>
          <w:p>
            <w:pPr>
              <w:pStyle w:val="TableContents"/>
              <w:bidi w:val="0"/>
              <w:spacing w:before="0" w:after="0"/>
              <w:ind w:left="0" w:right="0" w:hanging="0"/>
              <w:jc w:val="right"/>
              <w:rPr/>
            </w:pPr>
            <w:r>
              <w:rPr/>
              <w:t>—</w:t>
            </w:r>
          </w:p>
        </w:tc>
        <w:tc>
          <w:tcPr>
            <w:tcW w:w="405" w:type="dxa"/>
            <w:tcBorders/>
            <w:shd w:fill="CCEEFF" w:val="clear"/>
            <w:vAlign w:val="center"/>
          </w:tcPr>
          <w:p>
            <w:pPr>
              <w:pStyle w:val="TableContents"/>
              <w:bidi w:val="0"/>
              <w:spacing w:before="0" w:after="0"/>
              <w:ind w:left="0" w:right="0" w:hanging="0"/>
              <w:jc w:val="left"/>
              <w:rPr/>
            </w:pPr>
            <w:r>
              <w:rPr/>
              <w:t>​</w:t>
            </w:r>
          </w:p>
        </w:tc>
        <w:tc>
          <w:tcPr>
            <w:tcW w:w="314"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1008" w:type="dxa"/>
            <w:tcBorders/>
            <w:shd w:fill="CCEEFF" w:val="clear"/>
            <w:vAlign w:val="center"/>
          </w:tcPr>
          <w:p>
            <w:pPr>
              <w:pStyle w:val="TableContents"/>
              <w:bidi w:val="0"/>
              <w:spacing w:before="0" w:after="0"/>
              <w:ind w:left="0" w:right="60" w:hanging="0"/>
              <w:jc w:val="right"/>
              <w:rPr>
                <w:rFonts w:ascii="Arial;Helvetica;sans-serif" w:hAnsi="Arial;Helvetica;sans-serif"/>
                <w:sz w:val="18"/>
              </w:rPr>
            </w:pPr>
            <w:r>
              <w:rPr>
                <w:rFonts w:ascii="Arial;Helvetica;sans-serif" w:hAnsi="Arial;Helvetica;sans-serif"/>
                <w:sz w:val="18"/>
              </w:rPr>
              <w:t>6,315</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18"/>
        </w:rPr>
      </w:pPr>
      <w:r>
        <w:rPr>
          <w:rFonts w:ascii="Helvetica" w:hAnsi="Helvetica"/>
          <w:sz w:val="18"/>
        </w:rPr>
        <w:t>At August 1, 2026, $40.0</w:t>
      </w:r>
      <w:r>
        <w:rPr>
          <w:rFonts w:ascii="Times New Roman;Times;serif" w:hAnsi="Times New Roman;Times;serif"/>
          <w:sz w:val="18"/>
        </w:rPr>
        <w:t xml:space="preserve"> </w:t>
      </w:r>
      <w:r>
        <w:rPr>
          <w:rFonts w:ascii="Helvetica" w:hAnsi="Helvetica"/>
          <w:sz w:val="18"/>
        </w:rPr>
        <w:t>million remained available under the Company’s stock repurchase authorization.</w:t>
      </w:r>
    </w:p>
    <w:p>
      <w:pPr>
        <w:pStyle w:val="TextBody"/>
        <w:bidi w:val="0"/>
        <w:spacing w:lineRule="auto" w:line="307" w:before="0" w:after="240"/>
        <w:ind w:left="0" w:right="0" w:hanging="0"/>
        <w:jc w:val="left"/>
        <w:rPr>
          <w:rFonts w:ascii="Helvetica" w:hAnsi="Helvetica"/>
          <w:sz w:val="18"/>
        </w:rPr>
      </w:pPr>
      <w:r>
        <w:rPr>
          <w:rFonts w:ascii="Helvetica" w:hAnsi="Helvetica"/>
          <w:sz w:val="18"/>
        </w:rPr>
        <w:t>9. Recent Accounting Pronouncements</w:t>
      </w:r>
    </w:p>
    <w:p>
      <w:pPr>
        <w:pStyle w:val="TextBody"/>
        <w:bidi w:val="0"/>
        <w:spacing w:lineRule="auto" w:line="307" w:before="0" w:after="240"/>
        <w:ind w:left="0" w:right="0" w:hanging="0"/>
        <w:jc w:val="left"/>
        <w:rPr>
          <w:rFonts w:ascii="Helvetica" w:hAnsi="Helvetica"/>
          <w:sz w:val="18"/>
        </w:rPr>
      </w:pPr>
      <w:r>
        <w:rPr>
          <w:rFonts w:ascii="Helvetica" w:hAnsi="Helvetica"/>
          <w:sz w:val="18"/>
        </w:rPr>
        <w:t>In December 2023, the FASB issued ASU 2023-09, “Improvement to Income Tax Disclosures (Topic 740)”, which requires additional disclosures for income tax rate reconciliations, income taxes paid, and certain other tax disclosures. ASU 2023-09 is intended to enhance the transparency and decision usefulness of income tax disclosures. The amendments in ASU 2023-09 address investor requests for enhanced income tax information primarily through changes to the rate reconciliation and income taxes paid information. Adoption is required for annual periods beginning after December 15, 2024. In fiscal 2025, the Company adopted the new accounting pronouncement ASU 2023-09 in the respective period and retrospectively. The adoption of ASU 2023-09 did not have a material impact on the Company’s consolidated financial statements as the requirements impact only annual income tax reporting disclosures in the Notes to the Company’s consolidated financial statements. Refer to “Note 5 Income Taxes” for additional information.</w:t>
      </w:r>
    </w:p>
    <w:p>
      <w:pPr>
        <w:pStyle w:val="TextBody"/>
        <w:bidi w:val="0"/>
        <w:spacing w:before="480" w:after="0"/>
        <w:ind w:left="0" w:right="0" w:hanging="0"/>
        <w:jc w:val="center"/>
        <w:rPr>
          <w:rFonts w:ascii="Helvetica" w:hAnsi="Helvetica"/>
          <w:sz w:val="18"/>
        </w:rPr>
      </w:pPr>
      <w:r>
        <w:rPr>
          <w:rFonts w:ascii="Helvetica" w:hAnsi="Helvetica"/>
          <w:sz w:val="18"/>
        </w:rPr>
        <w:t>10</w:t>
      </w:r>
    </w:p>
    <w:p>
      <w:pPr>
        <w:pStyle w:val="TextBody"/>
        <w:bidi w:val="0"/>
        <w:spacing w:before="0" w:after="6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lineRule="auto" w:line="307" w:before="0" w:after="240"/>
        <w:ind w:left="0" w:right="0" w:hanging="0"/>
        <w:jc w:val="left"/>
        <w:rPr>
          <w:rFonts w:ascii="Helvetica" w:hAnsi="Helvetica"/>
          <w:sz w:val="18"/>
        </w:rPr>
      </w:pPr>
      <w:r>
        <w:rPr>
          <w:rFonts w:ascii="Helvetica" w:hAnsi="Helvetica"/>
          <w:sz w:val="18"/>
        </w:rPr>
        <w:t>In November 2024, the FASB issued ASU 2024-03, “Expense Disaggregation Disclosures (Topic 220): Disaggregation of Income Statement Expenses” (“ASU 2024-03”), which requires public entities to disclose additional information that disaggregates certain expense captions into specified categories in the Notes to the consolidated financial statements. The new standard is effective for fiscal years beginning after December 15, 2026, and interim periods after December 15, 2027, with early adoption permitted. The disclosure updates are required to be applied prospectively with the option for retrospective application. The Company is currently evaluating the impact the amended guidance will have on its disclosures.</w:t>
      </w:r>
    </w:p>
    <w:p>
      <w:pPr>
        <w:pStyle w:val="TextBody"/>
        <w:bidi w:val="0"/>
        <w:spacing w:lineRule="auto" w:line="307" w:before="0" w:after="240"/>
        <w:ind w:left="0" w:right="0" w:hanging="0"/>
        <w:jc w:val="left"/>
        <w:rPr>
          <w:rFonts w:ascii="Helvetica" w:hAnsi="Helvetica"/>
          <w:sz w:val="18"/>
        </w:rPr>
      </w:pPr>
      <w:r>
        <w:rPr>
          <w:rFonts w:ascii="Helvetica" w:hAnsi="Helvetica"/>
          <w:sz w:val="18"/>
        </w:rPr>
        <w:t>In September 2025, the FASB issued ASU 2025-06, “Intangibles – Goodwill and Other Internal-Use Software: Targeted Improvements to the Accounting for Internal-Use Software” (“ASU 2025-06”), which amends the guidance in ASC 350 to revise the criteria for when an entity is required to start capitalizing software costs and requires an entity to consider whether there is significant uncertainty associated with the development activities of the software when evaluating the probable-to-complete recognition threshold. ASU 2025-06 is required to be adopted in the annual reporting periods beginning after December 15, 2027, including interim periods within those annual reporting periods, with early adoption permitted. The Company is currently evaluating the impact the amended guidance will have on its consolidated financial statements and related disclosures.</w:t>
      </w:r>
    </w:p>
    <w:p>
      <w:pPr>
        <w:pStyle w:val="TextBody"/>
        <w:bidi w:val="0"/>
        <w:spacing w:lineRule="auto" w:line="307" w:before="0" w:after="240"/>
        <w:ind w:left="0" w:right="0" w:hanging="0"/>
        <w:jc w:val="left"/>
        <w:rPr>
          <w:rFonts w:ascii="Helvetica" w:hAnsi="Helvetica"/>
          <w:sz w:val="18"/>
        </w:rPr>
      </w:pPr>
      <w:r>
        <w:rPr>
          <w:rFonts w:ascii="Helvetica" w:hAnsi="Helvetica"/>
          <w:sz w:val="18"/>
        </w:rPr>
        <w:t>In November 2025, the FASB issued ASU 2025-11, “Interim Reporting (Topic 270): Narrow-Scope Improvements” (“ASU 2025- 11”), which amends the guidance in ASC 270 to clarify the applicability of interim disclosure requirements and enhance the navigability of the existing guidance. ASU 2025-11 provides a comprehensive list of required interim disclosures and establishes a new disclosure principle requiring entities to disclose events that occur after the end of the last annual reporting period. The new standard is effective for interim periods within annual reporting periods beginning after December 15, 2027, with early adoption permitted. The Company is currently evaluating the impact the amended guidance will have on its consolidated financial statements and related disclosures.</w:t>
      </w:r>
    </w:p>
    <w:p>
      <w:pPr>
        <w:pStyle w:val="TextBody"/>
        <w:bidi w:val="0"/>
        <w:spacing w:lineRule="auto" w:line="307" w:before="0" w:after="240"/>
        <w:ind w:left="0" w:right="0" w:hanging="0"/>
        <w:jc w:val="left"/>
        <w:rPr>
          <w:rFonts w:ascii="Helvetica" w:hAnsi="Helvetica"/>
          <w:sz w:val="18"/>
        </w:rPr>
      </w:pPr>
      <w:r>
        <w:rPr>
          <w:rFonts w:ascii="Helvetica" w:hAnsi="Helvetica"/>
          <w:sz w:val="18"/>
        </w:rPr>
        <w:t>10. Revenue</w:t>
      </w:r>
    </w:p>
    <w:p>
      <w:pPr>
        <w:pStyle w:val="TextBody"/>
        <w:bidi w:val="0"/>
        <w:spacing w:lineRule="auto" w:line="307" w:before="0" w:after="0"/>
        <w:ind w:left="0" w:right="0" w:hanging="0"/>
        <w:jc w:val="left"/>
        <w:rPr>
          <w:rFonts w:ascii="Helvetica" w:hAnsi="Helvetica"/>
          <w:i/>
          <w:sz w:val="18"/>
        </w:rPr>
      </w:pPr>
      <w:r>
        <w:rPr>
          <w:rFonts w:ascii="Helvetica" w:hAnsi="Helvetica"/>
          <w:i/>
          <w:sz w:val="18"/>
        </w:rPr>
        <w:t>Revenue Recognition</w:t>
      </w:r>
    </w:p>
    <w:p>
      <w:pPr>
        <w:pStyle w:val="TextBody"/>
        <w:bidi w:val="0"/>
        <w:spacing w:lineRule="auto" w:line="307" w:before="0" w:after="0"/>
        <w:ind w:left="0" w:right="0" w:hanging="0"/>
        <w:jc w:val="left"/>
        <w:rPr>
          <w:rFonts w:ascii="Helvetica" w:hAnsi="Helvetica"/>
          <w:sz w:val="18"/>
        </w:rPr>
      </w:pPr>
      <w:r>
        <w:rPr>
          <w:rFonts w:ascii="Helvetica" w:hAnsi="Helvetica"/>
          <w:sz w:val="18"/>
        </w:rPr>
        <w:t>The Company’s primary source of revenue is derived from the sale of clothing and accessories to its customers with the Company’s performance obligations satisfied immediately when the customer pays for their purchase and receives the merchandise. Sales taxes collected by the Company from customers are excluded from revenue. Revenue from layaway sales is recognized at the point in time when the merchandise is paid for and control of the goods is transferred to the customer, thereby satisfying the Company’s performance obligation. The Company defers revenue from the sale of gift cards and recognizes the associated revenue upon the redemption of the cards by customers to purchase merchandise.</w:t>
      </w:r>
    </w:p>
    <w:p>
      <w:pPr>
        <w:pStyle w:val="TextBody"/>
        <w:bidi w:val="0"/>
        <w:spacing w:lineRule="auto" w:line="307" w:before="0" w:after="0"/>
        <w:ind w:left="0" w:right="0" w:hanging="0"/>
        <w:jc w:val="left"/>
        <w:rPr/>
      </w:pPr>
      <w:r>
        <w:rPr/>
        <w:t>​</w:t>
      </w:r>
    </w:p>
    <w:p>
      <w:pPr>
        <w:pStyle w:val="TextBody"/>
        <w:bidi w:val="0"/>
        <w:spacing w:lineRule="auto" w:line="307" w:before="0" w:after="0"/>
        <w:ind w:left="0" w:right="0" w:hanging="0"/>
        <w:jc w:val="left"/>
        <w:rPr>
          <w:rFonts w:ascii="Helvetica" w:hAnsi="Helvetica"/>
          <w:i/>
          <w:sz w:val="18"/>
        </w:rPr>
      </w:pPr>
      <w:r>
        <w:rPr>
          <w:rFonts w:ascii="Helvetica" w:hAnsi="Helvetica"/>
          <w:i/>
          <w:sz w:val="18"/>
        </w:rPr>
        <w:t>Sales Returns</w:t>
      </w:r>
    </w:p>
    <w:p>
      <w:pPr>
        <w:pStyle w:val="TextBody"/>
        <w:bidi w:val="0"/>
        <w:spacing w:lineRule="auto" w:line="307" w:before="0" w:after="0"/>
        <w:ind w:left="0" w:right="0" w:hanging="0"/>
        <w:jc w:val="left"/>
        <w:rPr>
          <w:rFonts w:ascii="Times New Roman;Times;serif" w:hAnsi="Times New Roman;Times;serif"/>
          <w:sz w:val="20"/>
        </w:rPr>
      </w:pPr>
      <w:r>
        <w:rPr>
          <w:rFonts w:ascii="Helvetica" w:hAnsi="Helvetica"/>
          <w:sz w:val="18"/>
        </w:rPr>
        <w:t>The Company allows customers to return merchandise for up to 30 days</w:t>
      </w:r>
      <w:r>
        <w:rPr>
          <w:rFonts w:ascii="Times New Roman;Times;serif" w:hAnsi="Times New Roman;Times;serif"/>
          <w:sz w:val="20"/>
        </w:rPr>
        <w:t xml:space="preserve"> </w:t>
      </w:r>
      <w:r>
        <w:rPr>
          <w:rFonts w:ascii="Helvetica" w:hAnsi="Helvetica"/>
          <w:sz w:val="18"/>
        </w:rPr>
        <w:t xml:space="preserve">after the date of sale. Expected refunds to customers are recorded based on estimated margin using historical return information. </w:t>
      </w:r>
    </w:p>
    <w:p>
      <w:pPr>
        <w:pStyle w:val="TextBody"/>
        <w:bidi w:val="0"/>
        <w:spacing w:lineRule="auto" w:line="307" w:before="0" w:after="0"/>
        <w:ind w:left="0" w:right="0" w:hanging="0"/>
        <w:jc w:val="left"/>
        <w:rPr/>
      </w:pPr>
      <w:r>
        <w:rPr/>
        <w:t>​</w:t>
      </w:r>
    </w:p>
    <w:p>
      <w:pPr>
        <w:pStyle w:val="TextBody"/>
        <w:bidi w:val="0"/>
        <w:spacing w:lineRule="auto" w:line="307" w:before="0" w:after="0"/>
        <w:ind w:left="0" w:right="0" w:hanging="0"/>
        <w:jc w:val="left"/>
        <w:rPr>
          <w:rFonts w:ascii="Helvetica" w:hAnsi="Helvetica"/>
          <w:i/>
          <w:sz w:val="18"/>
        </w:rPr>
      </w:pPr>
      <w:r>
        <w:rPr>
          <w:rFonts w:ascii="Helvetica" w:hAnsi="Helvetica"/>
          <w:i/>
          <w:sz w:val="18"/>
        </w:rPr>
        <w:t>Disaggregation of Revenue</w:t>
      </w:r>
    </w:p>
    <w:p>
      <w:pPr>
        <w:pStyle w:val="TextBody"/>
        <w:bidi w:val="0"/>
        <w:spacing w:lineRule="auto" w:line="307" w:before="0" w:after="0"/>
        <w:ind w:left="0" w:right="0" w:hanging="0"/>
        <w:jc w:val="left"/>
        <w:rPr>
          <w:rFonts w:ascii="Helvetica" w:hAnsi="Helvetica"/>
          <w:sz w:val="18"/>
        </w:rPr>
      </w:pPr>
      <w:r>
        <w:rPr>
          <w:rFonts w:ascii="Helvetica" w:hAnsi="Helvetica"/>
          <w:sz w:val="18"/>
        </w:rPr>
        <w:t>The Company’s retail operations represent a single operating segment based on the way the Company manages its business. Operating decisions and resource allocation decisions are made at the Company level to maintain a consistent retail store presentation. The Company’s retail stores sell similar products, use similar processes to sell those products and sell their products to similar classes of customers.</w:t>
      </w:r>
    </w:p>
    <w:p>
      <w:pPr>
        <w:pStyle w:val="TextBody"/>
        <w:bidi w:val="0"/>
        <w:spacing w:lineRule="auto" w:line="307" w:before="0" w:after="0"/>
        <w:ind w:left="0" w:right="0" w:hanging="0"/>
        <w:jc w:val="left"/>
        <w:rPr/>
      </w:pPr>
      <w:r>
        <w:rPr/>
        <w:t>​</w:t>
      </w:r>
    </w:p>
    <w:p>
      <w:pPr>
        <w:pStyle w:val="TextBody"/>
        <w:bidi w:val="0"/>
        <w:spacing w:before="480" w:after="0"/>
        <w:ind w:left="0" w:right="0" w:hanging="0"/>
        <w:jc w:val="center"/>
        <w:rPr>
          <w:rFonts w:ascii="Helvetica" w:hAnsi="Helvetica"/>
          <w:sz w:val="18"/>
        </w:rPr>
      </w:pPr>
      <w:r>
        <w:rPr>
          <w:rFonts w:ascii="Helvetica" w:hAnsi="Helvetica"/>
          <w:sz w:val="18"/>
        </w:rPr>
        <w:t>11</w:t>
      </w:r>
    </w:p>
    <w:p>
      <w:pPr>
        <w:pStyle w:val="TextBody"/>
        <w:bidi w:val="0"/>
        <w:spacing w:before="0" w:after="6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lineRule="auto" w:line="307" w:before="0" w:after="120"/>
        <w:ind w:left="0" w:right="0" w:hanging="0"/>
        <w:jc w:val="left"/>
        <w:rPr>
          <w:rFonts w:ascii="Helvetica" w:hAnsi="Helvetica"/>
          <w:sz w:val="18"/>
          <w:shd w:fill="FFFFFF" w:val="clear"/>
        </w:rPr>
      </w:pPr>
      <w:bookmarkStart w:id="834" w:name="Tc_UN2USN--wUW9OvgEMxH3Rw_9_11"/>
      <w:bookmarkStart w:id="835" w:name="Tc_8N5t0tM2JkCfDQ1U70Bxvw_9_8"/>
      <w:bookmarkStart w:id="836" w:name="Tc_LWd5hc-O0kCfdj9sLjvsxg_9_5"/>
      <w:bookmarkStart w:id="837" w:name="Tc_nNQtLEWpu0qIk-1t6fLzBQ_9_2"/>
      <w:bookmarkStart w:id="838" w:name="Tc_dFeF89Ri_UC40hQk8HjP1Q_9_0"/>
      <w:bookmarkStart w:id="839" w:name="Tc_AXRpLsHgmUyo2oFmV4Ynbg_8_11"/>
      <w:bookmarkStart w:id="840" w:name="Tc_xia3B2iEOU2PmFXAwiF1-w_8_8"/>
      <w:bookmarkStart w:id="841" w:name="Tc_wUK9N7rbikCXxwsRvX8McA_8_5"/>
      <w:bookmarkStart w:id="842" w:name="Tc_4VKoh1aqI0ibGkCDVShqUg_8_2"/>
      <w:bookmarkStart w:id="843" w:name="Tc__HPpnXDlo0qeadRSxkw2rw_8_0"/>
      <w:bookmarkStart w:id="844" w:name="Tc_NurUj_AgWUG4VbubIaQf5w_7_11"/>
      <w:bookmarkStart w:id="845" w:name="Tc_gTCFqunKa0K5WZS_b37zMA_7_8"/>
      <w:bookmarkStart w:id="846" w:name="Tc_AHVtOEx10UOXSEXrsDm8jg_7_5"/>
      <w:bookmarkStart w:id="847" w:name="Tc_JQX5oCL-X069liwW2gRNGA_7_2"/>
      <w:bookmarkStart w:id="848" w:name="Tc_iDBEUzedRkG7edMY1Rx-Dw_7_0"/>
      <w:bookmarkStart w:id="849" w:name="Tc_LrF0vgNm_kSV0o5k0znmdw_6_11"/>
      <w:bookmarkStart w:id="850" w:name="Tc_AX53XF3NqUaXPZgcp9pbnw_6_8"/>
      <w:bookmarkStart w:id="851" w:name="Tc_zJHqf6Z80UCBwCCD2uOLCQ_6_5"/>
      <w:bookmarkStart w:id="852" w:name="Tc__FEit4WxJUK5XqBSycWTgQ_6_2"/>
      <w:bookmarkStart w:id="853" w:name="Tc_TVyRjs2TSU2VQM82F-x3oQ_6_0"/>
      <w:bookmarkStart w:id="854" w:name="Tc_sWCQjA1sGU-gPZ-fABk8vA_5_11"/>
      <w:bookmarkStart w:id="855" w:name="Tc_ZcaHYi4PWke5JBtkN9UOuA_5_8"/>
      <w:bookmarkStart w:id="856" w:name="Tc_8DfuJE1TS0-6q7LPdTBS4A_5_5"/>
      <w:bookmarkStart w:id="857" w:name="Tc_obCrTsii00Ol55vOD-_YwQ_5_2"/>
      <w:bookmarkStart w:id="858" w:name="Tc_gVBnhtQDCEqdqZBvo0iZ_A_5_0"/>
      <w:bookmarkStart w:id="859" w:name="Tc_L2GlxpbPikmVuaPQUPFF_A_4_11"/>
      <w:bookmarkStart w:id="860" w:name="Tc_kcxYrJZlIkm6uzPzCjuUMw_4_8"/>
      <w:bookmarkStart w:id="861" w:name="Tc_1IT6syhI-E2lG2r11x_uPw_4_5"/>
      <w:bookmarkStart w:id="862" w:name="Tc_vcfmjhso406pBJSzoRdO0g_4_2"/>
      <w:bookmarkStart w:id="863" w:name="Tc_qzBF_MIdQkOEAdDxAA0zIQ_4_0"/>
      <w:bookmarkStart w:id="864" w:name="Tc_anmnFm9igUiPquQ2H-8jww_3_10"/>
      <w:bookmarkStart w:id="865" w:name="Tc_2nfGrNYZb0KDYAishI4CTw_3_7"/>
      <w:bookmarkStart w:id="866" w:name="Tc_fuCkarZc9kaCiTYzsGKnIg_3_4"/>
      <w:bookmarkStart w:id="867" w:name="Tc_urRC3M7Vpkek1aC1BfNrig_3_1"/>
      <w:bookmarkStart w:id="868" w:name="Tc_qyKIyrqLl02VHxFMU-eO9A_3_0"/>
      <w:bookmarkStart w:id="869" w:name="Tc_AEDAbahVWEO3dFdo1-vO0g_2_10"/>
      <w:bookmarkStart w:id="870" w:name="Tc_yu0VVPwu-E-bFLynm2H6BQ_2_7"/>
      <w:bookmarkStart w:id="871" w:name="Tc_saLTE1ykSk-rbpF5It3t8w_2_4"/>
      <w:bookmarkStart w:id="872" w:name="Tc_5hNwNYrLK02KXLFYNu4srw_2_1"/>
      <w:bookmarkStart w:id="873" w:name="Tc_Ad2aKUOEekOfTnv-RjNgrA_1_7"/>
      <w:bookmarkStart w:id="874" w:name="Tc_IChzQi7vyEGVA6YeT6v4eA_1_1"/>
      <w:bookmarkEnd w:id="834"/>
      <w:bookmarkEnd w:id="835"/>
      <w:bookmarkEnd w:id="836"/>
      <w:bookmarkEnd w:id="837"/>
      <w:bookmarkEnd w:id="838"/>
      <w:bookmarkEnd w:id="839"/>
      <w:bookmarkEnd w:id="840"/>
      <w:bookmarkEnd w:id="841"/>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bookmarkEnd w:id="856"/>
      <w:bookmarkEnd w:id="857"/>
      <w:bookmarkEnd w:id="858"/>
      <w:bookmarkEnd w:id="859"/>
      <w:bookmarkEnd w:id="860"/>
      <w:bookmarkEnd w:id="861"/>
      <w:bookmarkEnd w:id="862"/>
      <w:bookmarkEnd w:id="863"/>
      <w:bookmarkEnd w:id="864"/>
      <w:bookmarkEnd w:id="865"/>
      <w:bookmarkEnd w:id="866"/>
      <w:bookmarkEnd w:id="867"/>
      <w:bookmarkEnd w:id="868"/>
      <w:bookmarkEnd w:id="869"/>
      <w:bookmarkEnd w:id="870"/>
      <w:bookmarkEnd w:id="871"/>
      <w:bookmarkEnd w:id="872"/>
      <w:bookmarkEnd w:id="873"/>
      <w:bookmarkEnd w:id="874"/>
      <w:r>
        <w:rPr>
          <w:rFonts w:ascii="Helvetica" w:hAnsi="Helvetica"/>
          <w:sz w:val="18"/>
          <w:shd w:fill="FFFFFF" w:val="clear"/>
        </w:rPr>
        <w:t>In the following table, the Company’s revenue from contracts with customers is disaggregated by Division or product category. It also provides the percentage of net sales for each Division within the merchandise assortment.</w:t>
      </w:r>
    </w:p>
    <w:p>
      <w:pPr>
        <w:pStyle w:val="TextBody"/>
        <w:bidi w:val="0"/>
        <w:spacing w:before="0" w:after="0"/>
        <w:ind w:left="0" w:right="0" w:hanging="0"/>
        <w:jc w:val="left"/>
        <w:rPr/>
      </w:pPr>
      <w:r>
        <w:rPr/>
        <w:t>​</w:t>
      </w:r>
    </w:p>
    <w:tbl>
      <w:tblPr>
        <w:tblW w:w="6756" w:type="dxa"/>
        <w:jc w:val="left"/>
        <w:tblInd w:w="0" w:type="dxa"/>
        <w:tblLayout w:type="fixed"/>
        <w:tblCellMar>
          <w:top w:w="0" w:type="dxa"/>
          <w:left w:w="0" w:type="dxa"/>
          <w:bottom w:w="0" w:type="dxa"/>
          <w:right w:w="0" w:type="dxa"/>
        </w:tblCellMar>
      </w:tblPr>
      <w:tblGrid>
        <w:gridCol w:w="2071"/>
        <w:gridCol w:w="468"/>
        <w:gridCol w:w="402"/>
        <w:gridCol w:w="427"/>
        <w:gridCol w:w="468"/>
        <w:gridCol w:w="402"/>
        <w:gridCol w:w="146"/>
        <w:gridCol w:w="468"/>
        <w:gridCol w:w="402"/>
        <w:gridCol w:w="478"/>
        <w:gridCol w:w="468"/>
        <w:gridCol w:w="402"/>
        <w:gridCol w:w="154"/>
      </w:tblGrid>
      <w:tr>
        <w:trPr/>
        <w:tc>
          <w:tcPr>
            <w:tcW w:w="20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1315085" cy="175260"/>
                      <wp:effectExtent l="0" t="0" r="0" b="0"/>
                      <wp:wrapNone/>
                      <wp:docPr id="97" name="Frame97"/>
                      <a:graphic xmlns:a="http://schemas.openxmlformats.org/drawingml/2006/main">
                        <a:graphicData uri="http://schemas.microsoft.com/office/word/2010/wordprocessingShape">
                          <wps:wsp>
                            <wps:cNvSpPr txBox="1"/>
                            <wps:spPr>
                              <a:xfrm>
                                <a:off x="0" y="0"/>
                                <a:ext cx="1315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6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297180" cy="175260"/>
                      <wp:effectExtent l="0" t="0" r="0" b="0"/>
                      <wp:wrapNone/>
                      <wp:docPr id="98" name="Frame98"/>
                      <a:graphic xmlns:a="http://schemas.openxmlformats.org/drawingml/2006/main">
                        <a:graphicData uri="http://schemas.microsoft.com/office/word/2010/wordprocessingShape">
                          <wps:wsp>
                            <wps:cNvSpPr txBox="1"/>
                            <wps:spPr>
                              <a:xfrm>
                                <a:off x="0" y="0"/>
                                <a:ext cx="2971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255270" cy="175260"/>
                      <wp:effectExtent l="0" t="0" r="0" b="0"/>
                      <wp:wrapNone/>
                      <wp:docPr id="99" name="Frame99"/>
                      <a:graphic xmlns:a="http://schemas.openxmlformats.org/drawingml/2006/main">
                        <a:graphicData uri="http://schemas.microsoft.com/office/word/2010/wordprocessingShape">
                          <wps:wsp>
                            <wps:cNvSpPr txBox="1"/>
                            <wps:spPr>
                              <a:xfrm>
                                <a:off x="0" y="0"/>
                                <a:ext cx="2552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2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271145" cy="175260"/>
                      <wp:effectExtent l="0" t="0" r="0" b="0"/>
                      <wp:wrapNone/>
                      <wp:docPr id="100" name="Frame100"/>
                      <a:graphic xmlns:a="http://schemas.openxmlformats.org/drawingml/2006/main">
                        <a:graphicData uri="http://schemas.microsoft.com/office/word/2010/wordprocessingShape">
                          <wps:wsp>
                            <wps:cNvSpPr txBox="1"/>
                            <wps:spPr>
                              <a:xfrm>
                                <a:off x="0" y="0"/>
                                <a:ext cx="2711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6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297180" cy="175260"/>
                      <wp:effectExtent l="0" t="0" r="0" b="0"/>
                      <wp:wrapNone/>
                      <wp:docPr id="101" name="Frame101"/>
                      <a:graphic xmlns:a="http://schemas.openxmlformats.org/drawingml/2006/main">
                        <a:graphicData uri="http://schemas.microsoft.com/office/word/2010/wordprocessingShape">
                          <wps:wsp>
                            <wps:cNvSpPr txBox="1"/>
                            <wps:spPr>
                              <a:xfrm>
                                <a:off x="0" y="0"/>
                                <a:ext cx="2971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255270" cy="175260"/>
                      <wp:effectExtent l="0" t="0" r="0" b="0"/>
                      <wp:wrapNone/>
                      <wp:docPr id="102" name="Frame102"/>
                      <a:graphic xmlns:a="http://schemas.openxmlformats.org/drawingml/2006/main">
                        <a:graphicData uri="http://schemas.microsoft.com/office/word/2010/wordprocessingShape">
                          <wps:wsp>
                            <wps:cNvSpPr txBox="1"/>
                            <wps:spPr>
                              <a:xfrm>
                                <a:off x="0" y="0"/>
                                <a:ext cx="2552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92710" cy="175260"/>
                      <wp:effectExtent l="0" t="0" r="0" b="0"/>
                      <wp:wrapNone/>
                      <wp:docPr id="103" name="Frame103"/>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6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297180" cy="175260"/>
                      <wp:effectExtent l="0" t="0" r="0" b="0"/>
                      <wp:wrapNone/>
                      <wp:docPr id="104" name="Frame104"/>
                      <a:graphic xmlns:a="http://schemas.openxmlformats.org/drawingml/2006/main">
                        <a:graphicData uri="http://schemas.microsoft.com/office/word/2010/wordprocessingShape">
                          <wps:wsp>
                            <wps:cNvSpPr txBox="1"/>
                            <wps:spPr>
                              <a:xfrm>
                                <a:off x="0" y="0"/>
                                <a:ext cx="2971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255270" cy="175260"/>
                      <wp:effectExtent l="0" t="0" r="0" b="0"/>
                      <wp:wrapNone/>
                      <wp:docPr id="105" name="Frame105"/>
                      <a:graphic xmlns:a="http://schemas.openxmlformats.org/drawingml/2006/main">
                        <a:graphicData uri="http://schemas.microsoft.com/office/word/2010/wordprocessingShape">
                          <wps:wsp>
                            <wps:cNvSpPr txBox="1"/>
                            <wps:spPr>
                              <a:xfrm>
                                <a:off x="0" y="0"/>
                                <a:ext cx="2552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7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303530" cy="175260"/>
                      <wp:effectExtent l="0" t="0" r="0" b="0"/>
                      <wp:wrapNone/>
                      <wp:docPr id="106" name="Frame106"/>
                      <a:graphic xmlns:a="http://schemas.openxmlformats.org/drawingml/2006/main">
                        <a:graphicData uri="http://schemas.microsoft.com/office/word/2010/wordprocessingShape">
                          <wps:wsp>
                            <wps:cNvSpPr txBox="1"/>
                            <wps:spPr>
                              <a:xfrm>
                                <a:off x="0" y="0"/>
                                <a:ext cx="3035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6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297180" cy="175260"/>
                      <wp:effectExtent l="0" t="0" r="0" b="0"/>
                      <wp:wrapNone/>
                      <wp:docPr id="107" name="Frame107"/>
                      <a:graphic xmlns:a="http://schemas.openxmlformats.org/drawingml/2006/main">
                        <a:graphicData uri="http://schemas.microsoft.com/office/word/2010/wordprocessingShape">
                          <wps:wsp>
                            <wps:cNvSpPr txBox="1"/>
                            <wps:spPr>
                              <a:xfrm>
                                <a:off x="0" y="0"/>
                                <a:ext cx="2971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255270" cy="175260"/>
                      <wp:effectExtent l="0" t="0" r="0" b="0"/>
                      <wp:wrapNone/>
                      <wp:docPr id="108" name="Frame108"/>
                      <a:graphic xmlns:a="http://schemas.openxmlformats.org/drawingml/2006/main">
                        <a:graphicData uri="http://schemas.microsoft.com/office/word/2010/wordprocessingShape">
                          <wps:wsp>
                            <wps:cNvSpPr txBox="1"/>
                            <wps:spPr>
                              <a:xfrm>
                                <a:off x="0" y="0"/>
                                <a:ext cx="2552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97790" cy="175260"/>
                      <wp:effectExtent l="0" t="0" r="0" b="0"/>
                      <wp:wrapNone/>
                      <wp:docPr id="109" name="Frame109"/>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071" w:type="dxa"/>
            <w:tcBorders/>
            <w:vAlign w:val="center"/>
          </w:tcPr>
          <w:p>
            <w:pPr>
              <w:pStyle w:val="TableContents"/>
              <w:bidi w:val="0"/>
              <w:spacing w:before="0" w:after="0"/>
              <w:ind w:left="0" w:right="0" w:hanging="0"/>
              <w:jc w:val="left"/>
              <w:rPr/>
            </w:pPr>
            <w:r>
              <w:rPr/>
              <w:t>​</w:t>
            </w:r>
          </w:p>
        </w:tc>
        <w:tc>
          <w:tcPr>
            <w:tcW w:w="2167"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Thirteen Weeks Ended</w:t>
            </w:r>
          </w:p>
        </w:tc>
        <w:tc>
          <w:tcPr>
            <w:tcW w:w="146" w:type="dxa"/>
            <w:tcBorders/>
            <w:vAlign w:val="center"/>
          </w:tcPr>
          <w:p>
            <w:pPr>
              <w:pStyle w:val="TableContents"/>
              <w:bidi w:val="0"/>
              <w:spacing w:before="0" w:after="0"/>
              <w:ind w:left="0" w:right="0" w:hanging="0"/>
              <w:jc w:val="left"/>
              <w:rPr/>
            </w:pPr>
            <w:r>
              <w:rPr/>
              <w:t>​</w:t>
            </w:r>
          </w:p>
        </w:tc>
        <w:tc>
          <w:tcPr>
            <w:tcW w:w="2218"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Twenty-Six Weeks Ended</w:t>
            </w:r>
          </w:p>
        </w:tc>
        <w:tc>
          <w:tcPr>
            <w:tcW w:w="154" w:type="dxa"/>
            <w:tcBorders/>
            <w:vAlign w:val="center"/>
          </w:tcPr>
          <w:p>
            <w:pPr>
              <w:pStyle w:val="TableContents"/>
              <w:bidi w:val="0"/>
              <w:spacing w:before="0" w:after="0"/>
              <w:ind w:left="0" w:right="0" w:hanging="0"/>
              <w:jc w:val="left"/>
              <w:rPr/>
            </w:pPr>
            <w:r>
              <w:rPr/>
              <w:t>​</w:t>
            </w:r>
          </w:p>
        </w:tc>
      </w:tr>
      <w:tr>
        <w:trPr/>
        <w:tc>
          <w:tcPr>
            <w:tcW w:w="2071" w:type="dxa"/>
            <w:tcBorders/>
            <w:vAlign w:val="center"/>
          </w:tcPr>
          <w:p>
            <w:pPr>
              <w:pStyle w:val="TableContents"/>
              <w:bidi w:val="0"/>
              <w:spacing w:before="0" w:after="0"/>
              <w:ind w:left="0" w:right="0" w:hanging="0"/>
              <w:jc w:val="left"/>
              <w:rPr/>
            </w:pPr>
            <w:r>
              <w:rPr/>
              <w:t>​</w:t>
            </w:r>
          </w:p>
        </w:tc>
        <w:tc>
          <w:tcPr>
            <w:tcW w:w="870" w:type="dxa"/>
            <w:gridSpan w:val="2"/>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August 1,</w:t>
            </w:r>
          </w:p>
        </w:tc>
        <w:tc>
          <w:tcPr>
            <w:tcW w:w="427" w:type="dxa"/>
            <w:tcBorders/>
            <w:vAlign w:val="center"/>
          </w:tcPr>
          <w:p>
            <w:pPr>
              <w:pStyle w:val="TableContents"/>
              <w:bidi w:val="0"/>
              <w:spacing w:before="0" w:after="0"/>
              <w:ind w:left="0" w:right="0" w:hanging="0"/>
              <w:jc w:val="left"/>
              <w:rPr/>
            </w:pPr>
            <w:r>
              <w:rPr/>
              <w:t>  ​ ​ ​</w:t>
            </w:r>
          </w:p>
        </w:tc>
        <w:tc>
          <w:tcPr>
            <w:tcW w:w="870" w:type="dxa"/>
            <w:gridSpan w:val="2"/>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August 2,</w:t>
            </w:r>
          </w:p>
        </w:tc>
        <w:tc>
          <w:tcPr>
            <w:tcW w:w="146" w:type="dxa"/>
            <w:tcBorders/>
            <w:vAlign w:val="center"/>
          </w:tcPr>
          <w:p>
            <w:pPr>
              <w:pStyle w:val="TableContents"/>
              <w:bidi w:val="0"/>
              <w:spacing w:before="0" w:after="0"/>
              <w:ind w:left="0" w:right="0" w:hanging="0"/>
              <w:jc w:val="left"/>
              <w:rPr/>
            </w:pPr>
            <w:r>
              <w:rPr/>
              <w:t> </w:t>
            </w:r>
          </w:p>
        </w:tc>
        <w:tc>
          <w:tcPr>
            <w:tcW w:w="870" w:type="dxa"/>
            <w:gridSpan w:val="2"/>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August 1,</w:t>
            </w:r>
          </w:p>
        </w:tc>
        <w:tc>
          <w:tcPr>
            <w:tcW w:w="478" w:type="dxa"/>
            <w:tcBorders/>
            <w:vAlign w:val="center"/>
          </w:tcPr>
          <w:p>
            <w:pPr>
              <w:pStyle w:val="TableContents"/>
              <w:bidi w:val="0"/>
              <w:spacing w:before="0" w:after="0"/>
              <w:ind w:left="0" w:right="0" w:hanging="0"/>
              <w:jc w:val="left"/>
              <w:rPr/>
            </w:pPr>
            <w:r>
              <w:rPr/>
              <w:t>  ​ ​ ​</w:t>
            </w:r>
          </w:p>
        </w:tc>
        <w:tc>
          <w:tcPr>
            <w:tcW w:w="870" w:type="dxa"/>
            <w:gridSpan w:val="2"/>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August 2,</w:t>
            </w:r>
          </w:p>
        </w:tc>
        <w:tc>
          <w:tcPr>
            <w:tcW w:w="154" w:type="dxa"/>
            <w:tcBorders/>
            <w:vAlign w:val="center"/>
          </w:tcPr>
          <w:p>
            <w:pPr>
              <w:pStyle w:val="TableContents"/>
              <w:bidi w:val="0"/>
              <w:spacing w:before="0" w:after="0"/>
              <w:ind w:left="0" w:right="0" w:hanging="0"/>
              <w:jc w:val="left"/>
              <w:rPr/>
            </w:pPr>
            <w:r>
              <w:rPr/>
              <w:t>​</w:t>
            </w:r>
          </w:p>
        </w:tc>
      </w:tr>
      <w:tr>
        <w:trPr/>
        <w:tc>
          <w:tcPr>
            <w:tcW w:w="2071" w:type="dxa"/>
            <w:tcBorders>
              <w:bottom w:val="single" w:sz="2"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b/>
                <w:sz w:val="18"/>
              </w:rPr>
            </w:pPr>
            <w:r>
              <w:rPr>
                <w:rFonts w:ascii="Arial;Helvetica;sans-serif" w:hAnsi="Arial;Helvetica;sans-serif"/>
                <w:b/>
                <w:sz w:val="18"/>
              </w:rPr>
              <w:t>Division</w:t>
            </w:r>
          </w:p>
        </w:tc>
        <w:tc>
          <w:tcPr>
            <w:tcW w:w="87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2026</w:t>
            </w:r>
          </w:p>
        </w:tc>
        <w:tc>
          <w:tcPr>
            <w:tcW w:w="427" w:type="dxa"/>
            <w:tcBorders/>
            <w:vAlign w:val="center"/>
          </w:tcPr>
          <w:p>
            <w:pPr>
              <w:pStyle w:val="TableContents"/>
              <w:bidi w:val="0"/>
              <w:spacing w:before="0" w:after="0"/>
              <w:ind w:left="0" w:right="0" w:hanging="0"/>
              <w:jc w:val="left"/>
              <w:rPr/>
            </w:pPr>
            <w:r>
              <w:rPr/>
              <w:t>  ​ ​ ​</w:t>
            </w:r>
          </w:p>
        </w:tc>
        <w:tc>
          <w:tcPr>
            <w:tcW w:w="87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2025</w:t>
            </w:r>
          </w:p>
        </w:tc>
        <w:tc>
          <w:tcPr>
            <w:tcW w:w="146" w:type="dxa"/>
            <w:tcBorders/>
            <w:vAlign w:val="center"/>
          </w:tcPr>
          <w:p>
            <w:pPr>
              <w:pStyle w:val="TableContents"/>
              <w:bidi w:val="0"/>
              <w:spacing w:before="0" w:after="0"/>
              <w:ind w:left="0" w:right="0" w:hanging="0"/>
              <w:jc w:val="left"/>
              <w:rPr/>
            </w:pPr>
            <w:r>
              <w:rPr/>
              <w:t> </w:t>
            </w:r>
          </w:p>
        </w:tc>
        <w:tc>
          <w:tcPr>
            <w:tcW w:w="87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2026</w:t>
            </w:r>
          </w:p>
        </w:tc>
        <w:tc>
          <w:tcPr>
            <w:tcW w:w="478" w:type="dxa"/>
            <w:tcBorders/>
            <w:vAlign w:val="center"/>
          </w:tcPr>
          <w:p>
            <w:pPr>
              <w:pStyle w:val="TableContents"/>
              <w:bidi w:val="0"/>
              <w:spacing w:before="0" w:after="0"/>
              <w:ind w:left="0" w:right="0" w:hanging="0"/>
              <w:jc w:val="left"/>
              <w:rPr/>
            </w:pPr>
            <w:r>
              <w:rPr/>
              <w:t>  ​ ​ ​</w:t>
            </w:r>
          </w:p>
        </w:tc>
        <w:tc>
          <w:tcPr>
            <w:tcW w:w="87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2025</w:t>
            </w:r>
          </w:p>
        </w:tc>
        <w:tc>
          <w:tcPr>
            <w:tcW w:w="154" w:type="dxa"/>
            <w:tcBorders/>
            <w:vAlign w:val="center"/>
          </w:tcPr>
          <w:p>
            <w:pPr>
              <w:pStyle w:val="TableContents"/>
              <w:bidi w:val="0"/>
              <w:spacing w:before="0" w:after="0"/>
              <w:ind w:left="0" w:right="0" w:hanging="0"/>
              <w:jc w:val="left"/>
              <w:rPr/>
            </w:pPr>
            <w:r>
              <w:rPr/>
              <w:t>​</w:t>
            </w:r>
          </w:p>
        </w:tc>
      </w:tr>
      <w:tr>
        <w:trPr/>
        <w:tc>
          <w:tcPr>
            <w:tcW w:w="2071" w:type="dxa"/>
            <w:tcBorders/>
            <w:shd w:fill="CCEEFF" w:val="clear"/>
            <w:vAlign w:val="center"/>
          </w:tcPr>
          <w:p>
            <w:pPr>
              <w:pStyle w:val="TableContents"/>
              <w:bidi w:val="0"/>
              <w:spacing w:before="0" w:after="0"/>
              <w:ind w:left="0" w:right="0" w:hanging="0"/>
              <w:jc w:val="left"/>
              <w:rPr>
                <w:rFonts w:ascii="Arial;Helvetica;sans-serif" w:hAnsi="Arial;Helvetica;sans-serif"/>
                <w:sz w:val="19"/>
              </w:rPr>
            </w:pPr>
            <w:r>
              <w:rPr>
                <w:rFonts w:ascii="Arial;Helvetica;sans-serif" w:hAnsi="Arial;Helvetica;sans-serif"/>
                <w:sz w:val="19"/>
              </w:rPr>
              <w:t>Women's</w:t>
            </w:r>
          </w:p>
        </w:tc>
        <w:tc>
          <w:tcPr>
            <w:tcW w:w="468"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26</w:t>
            </w:r>
          </w:p>
        </w:tc>
        <w:tc>
          <w:tcPr>
            <w:tcW w:w="402"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w:t>
            </w:r>
          </w:p>
        </w:tc>
        <w:tc>
          <w:tcPr>
            <w:tcW w:w="427" w:type="dxa"/>
            <w:tcBorders/>
            <w:shd w:fill="CCEEFF" w:val="clear"/>
            <w:vAlign w:val="center"/>
          </w:tcPr>
          <w:p>
            <w:pPr>
              <w:pStyle w:val="TableContents"/>
              <w:bidi w:val="0"/>
              <w:spacing w:before="0" w:after="0"/>
              <w:ind w:left="0" w:right="0" w:hanging="0"/>
              <w:jc w:val="left"/>
              <w:rPr/>
            </w:pPr>
            <w:r>
              <w:rPr/>
              <w:t>​</w:t>
            </w:r>
          </w:p>
        </w:tc>
        <w:tc>
          <w:tcPr>
            <w:tcW w:w="468"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27</w:t>
            </w:r>
          </w:p>
        </w:tc>
        <w:tc>
          <w:tcPr>
            <w:tcW w:w="402"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w:t>
            </w:r>
          </w:p>
        </w:tc>
        <w:tc>
          <w:tcPr>
            <w:tcW w:w="146" w:type="dxa"/>
            <w:tcBorders/>
            <w:shd w:fill="CCEEFF" w:val="clear"/>
            <w:vAlign w:val="center"/>
          </w:tcPr>
          <w:p>
            <w:pPr>
              <w:pStyle w:val="TableContents"/>
              <w:bidi w:val="0"/>
              <w:spacing w:before="0" w:after="0"/>
              <w:ind w:left="0" w:right="0" w:hanging="0"/>
              <w:jc w:val="left"/>
              <w:rPr/>
            </w:pPr>
            <w:r>
              <w:rPr/>
              <w:t>​</w:t>
            </w:r>
          </w:p>
        </w:tc>
        <w:tc>
          <w:tcPr>
            <w:tcW w:w="468"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27</w:t>
            </w:r>
          </w:p>
        </w:tc>
        <w:tc>
          <w:tcPr>
            <w:tcW w:w="402"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w:t>
            </w:r>
          </w:p>
        </w:tc>
        <w:tc>
          <w:tcPr>
            <w:tcW w:w="478" w:type="dxa"/>
            <w:tcBorders/>
            <w:shd w:fill="CCEEFF" w:val="clear"/>
            <w:vAlign w:val="center"/>
          </w:tcPr>
          <w:p>
            <w:pPr>
              <w:pStyle w:val="TableContents"/>
              <w:bidi w:val="0"/>
              <w:spacing w:before="0" w:after="0"/>
              <w:ind w:left="0" w:right="0" w:hanging="0"/>
              <w:jc w:val="left"/>
              <w:rPr/>
            </w:pPr>
            <w:r>
              <w:rPr/>
              <w:t>​</w:t>
            </w:r>
          </w:p>
        </w:tc>
        <w:tc>
          <w:tcPr>
            <w:tcW w:w="468"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28</w:t>
            </w:r>
          </w:p>
        </w:tc>
        <w:tc>
          <w:tcPr>
            <w:tcW w:w="402"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2071" w:type="dxa"/>
            <w:tcBorders/>
            <w:vAlign w:val="center"/>
          </w:tcPr>
          <w:p>
            <w:pPr>
              <w:pStyle w:val="TableContents"/>
              <w:bidi w:val="0"/>
              <w:spacing w:before="0" w:after="0"/>
              <w:ind w:left="0" w:right="0" w:hanging="0"/>
              <w:jc w:val="left"/>
              <w:rPr>
                <w:rFonts w:ascii="Arial;Helvetica;sans-serif" w:hAnsi="Arial;Helvetica;sans-serif"/>
                <w:sz w:val="19"/>
              </w:rPr>
            </w:pPr>
            <w:r>
              <w:rPr>
                <w:rFonts w:ascii="Arial;Helvetica;sans-serif" w:hAnsi="Arial;Helvetica;sans-serif"/>
                <w:sz w:val="19"/>
              </w:rPr>
              <w:t>Children's</w:t>
            </w:r>
          </w:p>
        </w:tc>
        <w:tc>
          <w:tcPr>
            <w:tcW w:w="468"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22</w:t>
            </w:r>
          </w:p>
        </w:tc>
        <w:tc>
          <w:tcPr>
            <w:tcW w:w="402"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w:t>
            </w:r>
          </w:p>
        </w:tc>
        <w:tc>
          <w:tcPr>
            <w:tcW w:w="427" w:type="dxa"/>
            <w:tcBorders/>
            <w:vAlign w:val="center"/>
          </w:tcPr>
          <w:p>
            <w:pPr>
              <w:pStyle w:val="TableContents"/>
              <w:bidi w:val="0"/>
              <w:spacing w:before="0" w:after="0"/>
              <w:ind w:left="0" w:right="0" w:hanging="0"/>
              <w:jc w:val="left"/>
              <w:rPr/>
            </w:pPr>
            <w:r>
              <w:rPr/>
              <w:t>​</w:t>
            </w:r>
          </w:p>
        </w:tc>
        <w:tc>
          <w:tcPr>
            <w:tcW w:w="468"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22</w:t>
            </w:r>
          </w:p>
        </w:tc>
        <w:tc>
          <w:tcPr>
            <w:tcW w:w="402"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w:t>
            </w:r>
          </w:p>
        </w:tc>
        <w:tc>
          <w:tcPr>
            <w:tcW w:w="146" w:type="dxa"/>
            <w:tcBorders/>
            <w:vAlign w:val="center"/>
          </w:tcPr>
          <w:p>
            <w:pPr>
              <w:pStyle w:val="TableContents"/>
              <w:bidi w:val="0"/>
              <w:spacing w:before="0" w:after="0"/>
              <w:ind w:left="0" w:right="0" w:hanging="0"/>
              <w:jc w:val="left"/>
              <w:rPr/>
            </w:pPr>
            <w:r>
              <w:rPr/>
              <w:t>​</w:t>
            </w:r>
          </w:p>
        </w:tc>
        <w:tc>
          <w:tcPr>
            <w:tcW w:w="468"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23</w:t>
            </w:r>
          </w:p>
        </w:tc>
        <w:tc>
          <w:tcPr>
            <w:tcW w:w="402"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w:t>
            </w:r>
          </w:p>
        </w:tc>
        <w:tc>
          <w:tcPr>
            <w:tcW w:w="478" w:type="dxa"/>
            <w:tcBorders/>
            <w:vAlign w:val="center"/>
          </w:tcPr>
          <w:p>
            <w:pPr>
              <w:pStyle w:val="TableContents"/>
              <w:bidi w:val="0"/>
              <w:spacing w:before="0" w:after="0"/>
              <w:ind w:left="0" w:right="0" w:hanging="0"/>
              <w:jc w:val="left"/>
              <w:rPr/>
            </w:pPr>
            <w:r>
              <w:rPr/>
              <w:t>​</w:t>
            </w:r>
          </w:p>
        </w:tc>
        <w:tc>
          <w:tcPr>
            <w:tcW w:w="468"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22</w:t>
            </w:r>
          </w:p>
        </w:tc>
        <w:tc>
          <w:tcPr>
            <w:tcW w:w="402"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w:t>
            </w:r>
          </w:p>
        </w:tc>
        <w:tc>
          <w:tcPr>
            <w:tcW w:w="154" w:type="dxa"/>
            <w:tcBorders/>
            <w:vAlign w:val="center"/>
          </w:tcPr>
          <w:p>
            <w:pPr>
              <w:pStyle w:val="TableContents"/>
              <w:bidi w:val="0"/>
              <w:spacing w:before="0" w:after="0"/>
              <w:ind w:left="0" w:right="0" w:hanging="0"/>
              <w:jc w:val="left"/>
              <w:rPr/>
            </w:pPr>
            <w:r>
              <w:rPr/>
              <w:t>​</w:t>
            </w:r>
          </w:p>
        </w:tc>
      </w:tr>
      <w:tr>
        <w:trPr/>
        <w:tc>
          <w:tcPr>
            <w:tcW w:w="2071" w:type="dxa"/>
            <w:tcBorders/>
            <w:shd w:fill="CCEEFF" w:val="clear"/>
            <w:vAlign w:val="center"/>
          </w:tcPr>
          <w:p>
            <w:pPr>
              <w:pStyle w:val="TableContents"/>
              <w:bidi w:val="0"/>
              <w:spacing w:before="0" w:after="0"/>
              <w:ind w:left="0" w:right="0" w:hanging="0"/>
              <w:jc w:val="left"/>
              <w:rPr>
                <w:rFonts w:ascii="Arial;Helvetica;sans-serif" w:hAnsi="Arial;Helvetica;sans-serif"/>
                <w:sz w:val="19"/>
              </w:rPr>
            </w:pPr>
            <w:r>
              <w:rPr>
                <w:rFonts w:ascii="Arial;Helvetica;sans-serif" w:hAnsi="Arial;Helvetica;sans-serif"/>
                <w:sz w:val="19"/>
              </w:rPr>
              <w:t>Men's</w:t>
            </w:r>
          </w:p>
        </w:tc>
        <w:tc>
          <w:tcPr>
            <w:tcW w:w="468"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18</w:t>
            </w:r>
          </w:p>
        </w:tc>
        <w:tc>
          <w:tcPr>
            <w:tcW w:w="402"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w:t>
            </w:r>
          </w:p>
        </w:tc>
        <w:tc>
          <w:tcPr>
            <w:tcW w:w="427" w:type="dxa"/>
            <w:tcBorders/>
            <w:shd w:fill="CCEEFF" w:val="clear"/>
            <w:vAlign w:val="center"/>
          </w:tcPr>
          <w:p>
            <w:pPr>
              <w:pStyle w:val="TableContents"/>
              <w:bidi w:val="0"/>
              <w:spacing w:before="0" w:after="0"/>
              <w:ind w:left="0" w:right="0" w:hanging="0"/>
              <w:jc w:val="left"/>
              <w:rPr/>
            </w:pPr>
            <w:r>
              <w:rPr/>
              <w:t>​</w:t>
            </w:r>
          </w:p>
        </w:tc>
        <w:tc>
          <w:tcPr>
            <w:tcW w:w="468"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18</w:t>
            </w:r>
          </w:p>
        </w:tc>
        <w:tc>
          <w:tcPr>
            <w:tcW w:w="402"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w:t>
            </w:r>
          </w:p>
        </w:tc>
        <w:tc>
          <w:tcPr>
            <w:tcW w:w="146" w:type="dxa"/>
            <w:tcBorders/>
            <w:shd w:fill="CCEEFF" w:val="clear"/>
            <w:vAlign w:val="center"/>
          </w:tcPr>
          <w:p>
            <w:pPr>
              <w:pStyle w:val="TableContents"/>
              <w:bidi w:val="0"/>
              <w:spacing w:before="0" w:after="0"/>
              <w:ind w:left="0" w:right="0" w:hanging="0"/>
              <w:jc w:val="left"/>
              <w:rPr/>
            </w:pPr>
            <w:r>
              <w:rPr/>
              <w:t>​</w:t>
            </w:r>
          </w:p>
        </w:tc>
        <w:tc>
          <w:tcPr>
            <w:tcW w:w="468"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17</w:t>
            </w:r>
          </w:p>
        </w:tc>
        <w:tc>
          <w:tcPr>
            <w:tcW w:w="402"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w:t>
            </w:r>
          </w:p>
        </w:tc>
        <w:tc>
          <w:tcPr>
            <w:tcW w:w="478" w:type="dxa"/>
            <w:tcBorders/>
            <w:shd w:fill="CCEEFF" w:val="clear"/>
            <w:vAlign w:val="center"/>
          </w:tcPr>
          <w:p>
            <w:pPr>
              <w:pStyle w:val="TableContents"/>
              <w:bidi w:val="0"/>
              <w:spacing w:before="0" w:after="0"/>
              <w:ind w:left="0" w:right="0" w:hanging="0"/>
              <w:jc w:val="left"/>
              <w:rPr/>
            </w:pPr>
            <w:r>
              <w:rPr/>
              <w:t>​</w:t>
            </w:r>
          </w:p>
        </w:tc>
        <w:tc>
          <w:tcPr>
            <w:tcW w:w="468"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17</w:t>
            </w:r>
          </w:p>
        </w:tc>
        <w:tc>
          <w:tcPr>
            <w:tcW w:w="402"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2071" w:type="dxa"/>
            <w:tcBorders/>
            <w:vAlign w:val="center"/>
          </w:tcPr>
          <w:p>
            <w:pPr>
              <w:pStyle w:val="TableContents"/>
              <w:bidi w:val="0"/>
              <w:spacing w:before="0" w:after="0"/>
              <w:ind w:left="0" w:right="0" w:hanging="0"/>
              <w:jc w:val="left"/>
              <w:rPr>
                <w:rFonts w:ascii="Arial;Helvetica;sans-serif" w:hAnsi="Arial;Helvetica;sans-serif"/>
                <w:sz w:val="19"/>
              </w:rPr>
            </w:pPr>
            <w:r>
              <w:rPr>
                <w:rFonts w:ascii="Arial;Helvetica;sans-serif" w:hAnsi="Arial;Helvetica;sans-serif"/>
                <w:sz w:val="19"/>
              </w:rPr>
              <w:t>Accessories &amp; Beauty</w:t>
            </w:r>
          </w:p>
        </w:tc>
        <w:tc>
          <w:tcPr>
            <w:tcW w:w="468"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17</w:t>
            </w:r>
          </w:p>
        </w:tc>
        <w:tc>
          <w:tcPr>
            <w:tcW w:w="402"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w:t>
            </w:r>
          </w:p>
        </w:tc>
        <w:tc>
          <w:tcPr>
            <w:tcW w:w="427" w:type="dxa"/>
            <w:tcBorders/>
            <w:vAlign w:val="center"/>
          </w:tcPr>
          <w:p>
            <w:pPr>
              <w:pStyle w:val="TableContents"/>
              <w:bidi w:val="0"/>
              <w:spacing w:before="0" w:after="0"/>
              <w:ind w:left="0" w:right="0" w:hanging="0"/>
              <w:jc w:val="left"/>
              <w:rPr/>
            </w:pPr>
            <w:r>
              <w:rPr/>
              <w:t>​</w:t>
            </w:r>
          </w:p>
        </w:tc>
        <w:tc>
          <w:tcPr>
            <w:tcW w:w="468"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17</w:t>
            </w:r>
          </w:p>
        </w:tc>
        <w:tc>
          <w:tcPr>
            <w:tcW w:w="402"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w:t>
            </w:r>
          </w:p>
        </w:tc>
        <w:tc>
          <w:tcPr>
            <w:tcW w:w="146" w:type="dxa"/>
            <w:tcBorders/>
            <w:vAlign w:val="center"/>
          </w:tcPr>
          <w:p>
            <w:pPr>
              <w:pStyle w:val="TableContents"/>
              <w:bidi w:val="0"/>
              <w:spacing w:before="0" w:after="0"/>
              <w:ind w:left="0" w:right="0" w:hanging="0"/>
              <w:jc w:val="left"/>
              <w:rPr/>
            </w:pPr>
            <w:r>
              <w:rPr/>
              <w:t>​</w:t>
            </w:r>
          </w:p>
        </w:tc>
        <w:tc>
          <w:tcPr>
            <w:tcW w:w="468"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16</w:t>
            </w:r>
          </w:p>
        </w:tc>
        <w:tc>
          <w:tcPr>
            <w:tcW w:w="402"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w:t>
            </w:r>
          </w:p>
        </w:tc>
        <w:tc>
          <w:tcPr>
            <w:tcW w:w="478" w:type="dxa"/>
            <w:tcBorders/>
            <w:vAlign w:val="center"/>
          </w:tcPr>
          <w:p>
            <w:pPr>
              <w:pStyle w:val="TableContents"/>
              <w:bidi w:val="0"/>
              <w:spacing w:before="0" w:after="0"/>
              <w:ind w:left="0" w:right="0" w:hanging="0"/>
              <w:jc w:val="left"/>
              <w:rPr/>
            </w:pPr>
            <w:r>
              <w:rPr/>
              <w:t>​</w:t>
            </w:r>
          </w:p>
        </w:tc>
        <w:tc>
          <w:tcPr>
            <w:tcW w:w="468"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16</w:t>
            </w:r>
          </w:p>
        </w:tc>
        <w:tc>
          <w:tcPr>
            <w:tcW w:w="402"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w:t>
            </w:r>
          </w:p>
        </w:tc>
        <w:tc>
          <w:tcPr>
            <w:tcW w:w="154" w:type="dxa"/>
            <w:tcBorders/>
            <w:vAlign w:val="center"/>
          </w:tcPr>
          <w:p>
            <w:pPr>
              <w:pStyle w:val="TableContents"/>
              <w:bidi w:val="0"/>
              <w:spacing w:before="0" w:after="0"/>
              <w:ind w:left="0" w:right="0" w:hanging="0"/>
              <w:jc w:val="left"/>
              <w:rPr/>
            </w:pPr>
            <w:r>
              <w:rPr/>
              <w:t>​</w:t>
            </w:r>
          </w:p>
        </w:tc>
      </w:tr>
      <w:tr>
        <w:trPr/>
        <w:tc>
          <w:tcPr>
            <w:tcW w:w="2071" w:type="dxa"/>
            <w:tcBorders/>
            <w:shd w:fill="CCEEFF" w:val="clear"/>
            <w:vAlign w:val="center"/>
          </w:tcPr>
          <w:p>
            <w:pPr>
              <w:pStyle w:val="TableContents"/>
              <w:bidi w:val="0"/>
              <w:spacing w:before="0" w:after="0"/>
              <w:ind w:left="0" w:right="0" w:hanging="0"/>
              <w:jc w:val="left"/>
              <w:rPr>
                <w:rFonts w:ascii="Arial;Helvetica;sans-serif" w:hAnsi="Arial;Helvetica;sans-serif"/>
                <w:sz w:val="19"/>
              </w:rPr>
            </w:pPr>
            <w:r>
              <w:rPr>
                <w:rFonts w:ascii="Arial;Helvetica;sans-serif" w:hAnsi="Arial;Helvetica;sans-serif"/>
                <w:sz w:val="19"/>
              </w:rPr>
              <w:t>Home &amp; Lifestyle</w:t>
            </w:r>
          </w:p>
        </w:tc>
        <w:tc>
          <w:tcPr>
            <w:tcW w:w="468"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9</w:t>
            </w:r>
          </w:p>
        </w:tc>
        <w:tc>
          <w:tcPr>
            <w:tcW w:w="402"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w:t>
            </w:r>
          </w:p>
        </w:tc>
        <w:tc>
          <w:tcPr>
            <w:tcW w:w="427" w:type="dxa"/>
            <w:tcBorders/>
            <w:shd w:fill="CCEEFF" w:val="clear"/>
            <w:vAlign w:val="center"/>
          </w:tcPr>
          <w:p>
            <w:pPr>
              <w:pStyle w:val="TableContents"/>
              <w:bidi w:val="0"/>
              <w:spacing w:before="0" w:after="0"/>
              <w:ind w:left="0" w:right="0" w:hanging="0"/>
              <w:jc w:val="left"/>
              <w:rPr/>
            </w:pPr>
            <w:r>
              <w:rPr/>
              <w:t>​</w:t>
            </w:r>
          </w:p>
        </w:tc>
        <w:tc>
          <w:tcPr>
            <w:tcW w:w="468"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9</w:t>
            </w:r>
          </w:p>
        </w:tc>
        <w:tc>
          <w:tcPr>
            <w:tcW w:w="402"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w:t>
            </w:r>
          </w:p>
        </w:tc>
        <w:tc>
          <w:tcPr>
            <w:tcW w:w="146" w:type="dxa"/>
            <w:tcBorders/>
            <w:shd w:fill="CCEEFF" w:val="clear"/>
            <w:vAlign w:val="center"/>
          </w:tcPr>
          <w:p>
            <w:pPr>
              <w:pStyle w:val="TableContents"/>
              <w:bidi w:val="0"/>
              <w:spacing w:before="0" w:after="0"/>
              <w:ind w:left="0" w:right="0" w:hanging="0"/>
              <w:jc w:val="left"/>
              <w:rPr/>
            </w:pPr>
            <w:r>
              <w:rPr/>
              <w:t>​</w:t>
            </w:r>
          </w:p>
        </w:tc>
        <w:tc>
          <w:tcPr>
            <w:tcW w:w="468"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10</w:t>
            </w:r>
          </w:p>
        </w:tc>
        <w:tc>
          <w:tcPr>
            <w:tcW w:w="402"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w:t>
            </w:r>
          </w:p>
        </w:tc>
        <w:tc>
          <w:tcPr>
            <w:tcW w:w="478" w:type="dxa"/>
            <w:tcBorders/>
            <w:shd w:fill="CCEEFF" w:val="clear"/>
            <w:vAlign w:val="center"/>
          </w:tcPr>
          <w:p>
            <w:pPr>
              <w:pStyle w:val="TableContents"/>
              <w:bidi w:val="0"/>
              <w:spacing w:before="0" w:after="0"/>
              <w:ind w:left="0" w:right="0" w:hanging="0"/>
              <w:jc w:val="left"/>
              <w:rPr/>
            </w:pPr>
            <w:r>
              <w:rPr/>
              <w:t>​</w:t>
            </w:r>
          </w:p>
        </w:tc>
        <w:tc>
          <w:tcPr>
            <w:tcW w:w="468"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10</w:t>
            </w:r>
          </w:p>
        </w:tc>
        <w:tc>
          <w:tcPr>
            <w:tcW w:w="402"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2071" w:type="dxa"/>
            <w:tcBorders/>
            <w:vAlign w:val="center"/>
          </w:tcPr>
          <w:p>
            <w:pPr>
              <w:pStyle w:val="TableContents"/>
              <w:bidi w:val="0"/>
              <w:spacing w:before="0" w:after="0"/>
              <w:ind w:left="0" w:right="0" w:hanging="0"/>
              <w:jc w:val="left"/>
              <w:rPr>
                <w:rFonts w:ascii="Arial;Helvetica;sans-serif" w:hAnsi="Arial;Helvetica;sans-serif"/>
                <w:sz w:val="19"/>
              </w:rPr>
            </w:pPr>
            <w:r>
              <w:rPr>
                <w:rFonts w:ascii="Arial;Helvetica;sans-serif" w:hAnsi="Arial;Helvetica;sans-serif"/>
                <w:sz w:val="19"/>
              </w:rPr>
              <w:t>Footwear</w:t>
            </w:r>
          </w:p>
        </w:tc>
        <w:tc>
          <w:tcPr>
            <w:tcW w:w="468"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8</w:t>
            </w:r>
          </w:p>
        </w:tc>
        <w:tc>
          <w:tcPr>
            <w:tcW w:w="402"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w:t>
            </w:r>
          </w:p>
        </w:tc>
        <w:tc>
          <w:tcPr>
            <w:tcW w:w="427" w:type="dxa"/>
            <w:tcBorders/>
            <w:vAlign w:val="center"/>
          </w:tcPr>
          <w:p>
            <w:pPr>
              <w:pStyle w:val="TableContents"/>
              <w:bidi w:val="0"/>
              <w:spacing w:before="0" w:after="0"/>
              <w:ind w:left="0" w:right="0" w:hanging="0"/>
              <w:jc w:val="left"/>
              <w:rPr/>
            </w:pPr>
            <w:r>
              <w:rPr/>
              <w:t>​</w:t>
            </w:r>
          </w:p>
        </w:tc>
        <w:tc>
          <w:tcPr>
            <w:tcW w:w="468"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7</w:t>
            </w:r>
          </w:p>
        </w:tc>
        <w:tc>
          <w:tcPr>
            <w:tcW w:w="402"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w:t>
            </w:r>
          </w:p>
        </w:tc>
        <w:tc>
          <w:tcPr>
            <w:tcW w:w="146" w:type="dxa"/>
            <w:tcBorders/>
            <w:vAlign w:val="center"/>
          </w:tcPr>
          <w:p>
            <w:pPr>
              <w:pStyle w:val="TableContents"/>
              <w:bidi w:val="0"/>
              <w:spacing w:before="0" w:after="0"/>
              <w:ind w:left="0" w:right="0" w:hanging="0"/>
              <w:jc w:val="left"/>
              <w:rPr/>
            </w:pPr>
            <w:r>
              <w:rPr/>
              <w:t>​</w:t>
            </w:r>
          </w:p>
        </w:tc>
        <w:tc>
          <w:tcPr>
            <w:tcW w:w="468"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7</w:t>
            </w:r>
          </w:p>
        </w:tc>
        <w:tc>
          <w:tcPr>
            <w:tcW w:w="402"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w:t>
            </w:r>
          </w:p>
        </w:tc>
        <w:tc>
          <w:tcPr>
            <w:tcW w:w="478" w:type="dxa"/>
            <w:tcBorders/>
            <w:vAlign w:val="center"/>
          </w:tcPr>
          <w:p>
            <w:pPr>
              <w:pStyle w:val="TableContents"/>
              <w:bidi w:val="0"/>
              <w:spacing w:before="0" w:after="0"/>
              <w:ind w:left="0" w:right="0" w:hanging="0"/>
              <w:jc w:val="left"/>
              <w:rPr/>
            </w:pPr>
            <w:r>
              <w:rPr/>
              <w:t>​</w:t>
            </w:r>
          </w:p>
        </w:tc>
        <w:tc>
          <w:tcPr>
            <w:tcW w:w="468"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7</w:t>
            </w:r>
          </w:p>
        </w:tc>
        <w:tc>
          <w:tcPr>
            <w:tcW w:w="402"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w:t>
            </w:r>
          </w:p>
        </w:tc>
        <w:tc>
          <w:tcPr>
            <w:tcW w:w="154"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lineRule="auto" w:line="307" w:before="0" w:after="240"/>
        <w:ind w:left="0" w:right="0" w:hanging="0"/>
        <w:jc w:val="left"/>
        <w:rPr/>
      </w:pPr>
      <w:r>
        <w:rPr/>
        <w:t>​</w:t>
      </w:r>
    </w:p>
    <w:p>
      <w:pPr>
        <w:pStyle w:val="TextBody"/>
        <w:bidi w:val="0"/>
        <w:spacing w:lineRule="auto" w:line="307" w:before="0" w:after="240"/>
        <w:ind w:left="0" w:right="0" w:hanging="0"/>
        <w:jc w:val="left"/>
        <w:rPr>
          <w:rFonts w:ascii="Helvetica" w:hAnsi="Helvetica"/>
          <w:sz w:val="18"/>
        </w:rPr>
      </w:pPr>
      <w:bookmarkStart w:id="875" w:name="Tc_2HRvHeqwWUeWGYpAKnu2ww_10_4"/>
      <w:bookmarkStart w:id="876" w:name="Tc_dm-Jb1uNTE-fDQ1W8heR7g_10_2"/>
      <w:bookmarkStart w:id="877" w:name="Tc_-is56gCE00upkfKpgd1BOQ_10_0"/>
      <w:bookmarkStart w:id="878" w:name="Tc_vItCtrsJkk-mDl5xiBxnrA_9_4"/>
      <w:bookmarkStart w:id="879" w:name="Tc_NOiXoNJFpk2he8gVKov8qQ_9_0"/>
      <w:bookmarkStart w:id="880" w:name="Tc_yK3tYpG2e0y-CyLqkWYgPQ_8_0"/>
      <w:bookmarkStart w:id="881" w:name="Tc_Cfb6WnYVM0eh53vYNLwI1w_7_0"/>
      <w:bookmarkStart w:id="882" w:name="Tc_cydzgwu1U023DBnr87HYHw_6_0"/>
      <w:bookmarkStart w:id="883" w:name="Tc_zCkfJzLioUa03SQ4Qg89mg_5_0"/>
      <w:bookmarkStart w:id="884" w:name="Tc_tLGur3HN2EqXqkF6lEXA2Q_4_0"/>
      <w:bookmarkStart w:id="885" w:name="Tc_XzAHMPZkK02kbNt2X_EdJg_3_0"/>
      <w:bookmarkStart w:id="886" w:name="Tc_jp4inf0UpkezdorYk4engA_2_2"/>
      <w:bookmarkStart w:id="887" w:name="Tc_uLdnE3HSWUGacyNq0dJtFQ_2_0"/>
      <w:bookmarkStart w:id="888" w:name="Tc_neGjYK_S6U2d1s6VsSGPmg_1_2"/>
      <w:bookmarkStart w:id="889" w:name="Tc_D1VEe_rdR0GAdTwjBl40dg_1_0"/>
      <w:bookmarkStart w:id="890" w:name="_db7694a9_5edb_454b_8624_5572ac92c72c"/>
      <w:bookmarkStart w:id="891" w:name="Tc_6dsPFryT3kmxeGO5g7D6mw_6_11"/>
      <w:bookmarkStart w:id="892" w:name="Tc_Su13ZnMk7EKuBXDDqA17xA_6_8"/>
      <w:bookmarkStart w:id="893" w:name="Tc_d_xUjqj-WUaZ4zzMRj9fyw_6_5"/>
      <w:bookmarkStart w:id="894" w:name="Tc_asXO--aHK0m6cAK2LXL-UA_6_2"/>
      <w:bookmarkStart w:id="895" w:name="Tc_Ug5xq9PEiUanz3zYStbmCg_6_0"/>
      <w:bookmarkStart w:id="896" w:name="Tc_kT-yJxRqgEqmt-tdF_IJfA_5_0"/>
      <w:bookmarkStart w:id="897" w:name="Tc_yFBclHXwokywEU_6PlqNhg_4_0"/>
      <w:bookmarkStart w:id="898" w:name="Tc_haN64cHC9kC7guQ5sifFrQ_3_11"/>
      <w:bookmarkStart w:id="899" w:name="Tc_jFHt_xLY-kKaXfh_5xaJWQ_3_8"/>
      <w:bookmarkStart w:id="900" w:name="Tc_5wyCofjqyUKJHMloACPRag_3_5"/>
      <w:bookmarkStart w:id="901" w:name="Tc_hpDTr9bYEUqKY3oxPP1zjg_3_2"/>
      <w:bookmarkStart w:id="902" w:name="Tc_KeCdKkOJqUCc0hztK4BDnw_3_0"/>
      <w:bookmarkStart w:id="903" w:name="Tc_SIJfJNffPUuze-VGLjOmHQ_2_11"/>
      <w:bookmarkStart w:id="904" w:name="Tc_Jb2o2QFEQ0e0ZFxZdZzRIQ_2_8"/>
      <w:bookmarkStart w:id="905" w:name="Tc_IQVzWEjR_0ORv1Zr26oxWQ_2_5"/>
      <w:bookmarkStart w:id="906" w:name="Tc_7gnpTDFgNEuhIqYXwbu5Sg_2_2"/>
      <w:bookmarkStart w:id="907" w:name="Tc_VWnCIBKhL0OdHcWjMruMpQ_1_8"/>
      <w:bookmarkStart w:id="908" w:name="Tc_-PSjxDBsmkattYeSNvYeRg_1_2"/>
      <w:bookmarkEnd w:id="875"/>
      <w:bookmarkEnd w:id="876"/>
      <w:bookmarkEnd w:id="877"/>
      <w:bookmarkEnd w:id="878"/>
      <w:bookmarkEnd w:id="879"/>
      <w:bookmarkEnd w:id="880"/>
      <w:bookmarkEnd w:id="881"/>
      <w:bookmarkEnd w:id="882"/>
      <w:bookmarkEnd w:id="883"/>
      <w:bookmarkEnd w:id="884"/>
      <w:bookmarkEnd w:id="885"/>
      <w:bookmarkEnd w:id="886"/>
      <w:bookmarkEnd w:id="887"/>
      <w:bookmarkEnd w:id="888"/>
      <w:bookmarkEnd w:id="889"/>
      <w:bookmarkEnd w:id="890"/>
      <w:bookmarkEnd w:id="891"/>
      <w:bookmarkEnd w:id="892"/>
      <w:bookmarkEnd w:id="893"/>
      <w:bookmarkEnd w:id="894"/>
      <w:bookmarkEnd w:id="895"/>
      <w:bookmarkEnd w:id="896"/>
      <w:bookmarkEnd w:id="897"/>
      <w:bookmarkEnd w:id="898"/>
      <w:bookmarkEnd w:id="899"/>
      <w:bookmarkEnd w:id="900"/>
      <w:bookmarkEnd w:id="901"/>
      <w:bookmarkEnd w:id="902"/>
      <w:bookmarkEnd w:id="903"/>
      <w:bookmarkEnd w:id="904"/>
      <w:bookmarkEnd w:id="905"/>
      <w:bookmarkEnd w:id="906"/>
      <w:bookmarkEnd w:id="907"/>
      <w:bookmarkEnd w:id="908"/>
      <w:r>
        <w:rPr>
          <w:rFonts w:ascii="Helvetica" w:hAnsi="Helvetica"/>
          <w:sz w:val="18"/>
        </w:rPr>
        <w:t>11. Leases</w:t>
      </w:r>
    </w:p>
    <w:p>
      <w:pPr>
        <w:pStyle w:val="TextBody"/>
        <w:bidi w:val="0"/>
        <w:spacing w:lineRule="auto" w:line="307" w:before="0" w:after="240"/>
        <w:ind w:left="0" w:right="0" w:hanging="0"/>
        <w:jc w:val="left"/>
        <w:rPr>
          <w:rFonts w:ascii="Times New Roman;Times;serif" w:hAnsi="Times New Roman;Times;serif"/>
          <w:sz w:val="20"/>
        </w:rPr>
      </w:pPr>
      <w:r>
        <w:rPr>
          <w:rFonts w:ascii="Helvetica" w:hAnsi="Helvetica"/>
          <w:sz w:val="18"/>
        </w:rPr>
        <w:t>The Company leases its retail store locations, distribution centers and certain office space and equipment. Leases for store locations are typically for a term of five years</w:t>
      </w:r>
      <w:r>
        <w:rPr>
          <w:rFonts w:ascii="Times New Roman;Times;serif" w:hAnsi="Times New Roman;Times;serif"/>
          <w:sz w:val="20"/>
        </w:rPr>
        <w:t xml:space="preserve"> </w:t>
      </w:r>
      <w:r>
        <w:rPr>
          <w:rFonts w:ascii="Helvetica" w:hAnsi="Helvetica"/>
          <w:sz w:val="18"/>
        </w:rPr>
        <w:t xml:space="preserve">with options to extend for </w:t>
      </w:r>
      <w:r>
        <w:rPr>
          <w:rFonts w:ascii="Helvetica" w:hAnsi="Helvetica"/>
          <w:b w:val="false"/>
          <w:i w:val="false"/>
          <w:caps w:val="false"/>
          <w:smallCaps w:val="false"/>
          <w:sz w:val="18"/>
        </w:rPr>
        <w:t>one</w:t>
      </w:r>
      <w:r>
        <w:rPr>
          <w:rFonts w:ascii="Times New Roman;Times;serif" w:hAnsi="Times New Roman;Times;serif"/>
          <w:sz w:val="20"/>
        </w:rPr>
        <w:t xml:space="preserve"> </w:t>
      </w:r>
      <w:r>
        <w:rPr>
          <w:rFonts w:ascii="Helvetica" w:hAnsi="Helvetica"/>
          <w:sz w:val="18"/>
        </w:rPr>
        <w:t>or more five-year</w:t>
      </w:r>
      <w:r>
        <w:rPr>
          <w:rFonts w:ascii="Times New Roman;Times;serif" w:hAnsi="Times New Roman;Times;serif"/>
          <w:sz w:val="20"/>
        </w:rPr>
        <w:t xml:space="preserve"> </w:t>
      </w:r>
      <w:r>
        <w:rPr>
          <w:rFonts w:ascii="Helvetica" w:hAnsi="Helvetica"/>
          <w:sz w:val="18"/>
        </w:rPr>
        <w:t>periods.</w:t>
      </w:r>
    </w:p>
    <w:p>
      <w:pPr>
        <w:pStyle w:val="TextBody"/>
        <w:bidi w:val="0"/>
        <w:spacing w:lineRule="auto" w:line="307" w:before="0" w:after="240"/>
        <w:ind w:left="0" w:right="0" w:hanging="0"/>
        <w:jc w:val="left"/>
        <w:rPr>
          <w:rFonts w:ascii="Helvetica" w:hAnsi="Helvetica"/>
          <w:sz w:val="18"/>
        </w:rPr>
      </w:pPr>
      <w:r>
        <w:rPr>
          <w:rFonts w:ascii="Helvetica" w:hAnsi="Helvetica"/>
          <w:sz w:val="18"/>
        </w:rPr>
        <w:t xml:space="preserve">The Company analyzes all leases at inception to determine if a right-of-use asset and lease liability should be recognized. Leases with an initial term of 12 months or less and leases with mutual termination clauses are not included on the condensed consolidated balance sheets. The lease liability is measured at the present value of future lease payments as of the lease commencement date. </w:t>
      </w:r>
    </w:p>
    <w:p>
      <w:pPr>
        <w:pStyle w:val="TextBody"/>
        <w:bidi w:val="0"/>
        <w:spacing w:lineRule="auto" w:line="307" w:before="0" w:after="0"/>
        <w:ind w:left="0" w:right="0" w:hanging="0"/>
        <w:jc w:val="left"/>
        <w:rPr>
          <w:rFonts w:ascii="Helvetica" w:hAnsi="Helvetica"/>
          <w:sz w:val="18"/>
        </w:rPr>
      </w:pPr>
      <w:r>
        <w:rPr>
          <w:rFonts w:ascii="Helvetica" w:hAnsi="Helvetica"/>
          <w:sz w:val="18"/>
        </w:rPr>
        <w:t>Total lease cost is comprised of operating lease costs, short-term lease costs and variable lease costs, which include rent paid as a percentage of sales, common area maintenance, real estate taxes and insurance for the Company’s real estate leases. Lease costs consisted of the following (in thousands):</w:t>
      </w:r>
    </w:p>
    <w:p>
      <w:pPr>
        <w:pStyle w:val="TextBody"/>
        <w:bidi w:val="0"/>
        <w:spacing w:before="0" w:after="0"/>
        <w:ind w:left="0" w:right="0" w:hanging="0"/>
        <w:jc w:val="left"/>
        <w:rPr/>
      </w:pPr>
      <w:r>
        <w:rPr/>
        <w:t>​</w:t>
      </w:r>
    </w:p>
    <w:tbl>
      <w:tblPr>
        <w:tblW w:w="7424" w:type="dxa"/>
        <w:jc w:val="left"/>
        <w:tblInd w:w="0" w:type="dxa"/>
        <w:tblLayout w:type="fixed"/>
        <w:tblCellMar>
          <w:top w:w="0" w:type="dxa"/>
          <w:left w:w="0" w:type="dxa"/>
          <w:bottom w:w="0" w:type="dxa"/>
          <w:right w:w="0" w:type="dxa"/>
        </w:tblCellMar>
      </w:tblPr>
      <w:tblGrid>
        <w:gridCol w:w="1831"/>
        <w:gridCol w:w="109"/>
        <w:gridCol w:w="303"/>
        <w:gridCol w:w="973"/>
        <w:gridCol w:w="109"/>
        <w:gridCol w:w="303"/>
        <w:gridCol w:w="973"/>
        <w:gridCol w:w="109"/>
        <w:gridCol w:w="303"/>
        <w:gridCol w:w="973"/>
        <w:gridCol w:w="117"/>
        <w:gridCol w:w="280"/>
        <w:gridCol w:w="1041"/>
      </w:tblGrid>
      <w:tr>
        <w:trPr/>
        <w:tc>
          <w:tcPr>
            <w:tcW w:w="18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1162685" cy="175260"/>
                      <wp:effectExtent l="0" t="0" r="0" b="0"/>
                      <wp:wrapNone/>
                      <wp:docPr id="110" name="Frame110"/>
                      <a:graphic xmlns:a="http://schemas.openxmlformats.org/drawingml/2006/main">
                        <a:graphicData uri="http://schemas.microsoft.com/office/word/2010/wordprocessingShape">
                          <wps:wsp>
                            <wps:cNvSpPr txBox="1"/>
                            <wps:spPr>
                              <a:xfrm>
                                <a:off x="0" y="0"/>
                                <a:ext cx="1162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9215" cy="175260"/>
                      <wp:effectExtent l="0" t="0" r="0" b="0"/>
                      <wp:wrapNone/>
                      <wp:docPr id="111" name="Frame11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192405" cy="175260"/>
                      <wp:effectExtent l="0" t="0" r="0" b="0"/>
                      <wp:wrapNone/>
                      <wp:docPr id="112" name="Frame112"/>
                      <a:graphic xmlns:a="http://schemas.openxmlformats.org/drawingml/2006/main">
                        <a:graphicData uri="http://schemas.microsoft.com/office/word/2010/wordprocessingShape">
                          <wps:wsp>
                            <wps:cNvSpPr txBox="1"/>
                            <wps:spPr>
                              <a:xfrm>
                                <a:off x="0" y="0"/>
                                <a:ext cx="1924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7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17855" cy="175260"/>
                      <wp:effectExtent l="0" t="0" r="0" b="0"/>
                      <wp:wrapNone/>
                      <wp:docPr id="113" name="Frame113"/>
                      <a:graphic xmlns:a="http://schemas.openxmlformats.org/drawingml/2006/main">
                        <a:graphicData uri="http://schemas.microsoft.com/office/word/2010/wordprocessingShape">
                          <wps:wsp>
                            <wps:cNvSpPr txBox="1"/>
                            <wps:spPr>
                              <a:xfrm>
                                <a:off x="0" y="0"/>
                                <a:ext cx="6178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9215" cy="175260"/>
                      <wp:effectExtent l="0" t="0" r="0" b="0"/>
                      <wp:wrapNone/>
                      <wp:docPr id="114" name="Frame11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192405" cy="175260"/>
                      <wp:effectExtent l="0" t="0" r="0" b="0"/>
                      <wp:wrapNone/>
                      <wp:docPr id="115" name="Frame115"/>
                      <a:graphic xmlns:a="http://schemas.openxmlformats.org/drawingml/2006/main">
                        <a:graphicData uri="http://schemas.microsoft.com/office/word/2010/wordprocessingShape">
                          <wps:wsp>
                            <wps:cNvSpPr txBox="1"/>
                            <wps:spPr>
                              <a:xfrm>
                                <a:off x="0" y="0"/>
                                <a:ext cx="1924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7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17855" cy="175260"/>
                      <wp:effectExtent l="0" t="0" r="0" b="0"/>
                      <wp:wrapNone/>
                      <wp:docPr id="116" name="Frame116"/>
                      <a:graphic xmlns:a="http://schemas.openxmlformats.org/drawingml/2006/main">
                        <a:graphicData uri="http://schemas.microsoft.com/office/word/2010/wordprocessingShape">
                          <wps:wsp>
                            <wps:cNvSpPr txBox="1"/>
                            <wps:spPr>
                              <a:xfrm>
                                <a:off x="0" y="0"/>
                                <a:ext cx="6178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9215" cy="175260"/>
                      <wp:effectExtent l="0" t="0" r="0" b="0"/>
                      <wp:wrapNone/>
                      <wp:docPr id="117" name="Frame11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192405" cy="175260"/>
                      <wp:effectExtent l="0" t="0" r="0" b="0"/>
                      <wp:wrapNone/>
                      <wp:docPr id="118" name="Frame118"/>
                      <a:graphic xmlns:a="http://schemas.openxmlformats.org/drawingml/2006/main">
                        <a:graphicData uri="http://schemas.microsoft.com/office/word/2010/wordprocessingShape">
                          <wps:wsp>
                            <wps:cNvSpPr txBox="1"/>
                            <wps:spPr>
                              <a:xfrm>
                                <a:off x="0" y="0"/>
                                <a:ext cx="1924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7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17855" cy="175260"/>
                      <wp:effectExtent l="0" t="0" r="0" b="0"/>
                      <wp:wrapNone/>
                      <wp:docPr id="119" name="Frame119"/>
                      <a:graphic xmlns:a="http://schemas.openxmlformats.org/drawingml/2006/main">
                        <a:graphicData uri="http://schemas.microsoft.com/office/word/2010/wordprocessingShape">
                          <wps:wsp>
                            <wps:cNvSpPr txBox="1"/>
                            <wps:spPr>
                              <a:xfrm>
                                <a:off x="0" y="0"/>
                                <a:ext cx="6178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74295" cy="175260"/>
                      <wp:effectExtent l="0" t="0" r="0" b="0"/>
                      <wp:wrapNone/>
                      <wp:docPr id="120" name="Frame120"/>
                      <a:graphic xmlns:a="http://schemas.openxmlformats.org/drawingml/2006/main">
                        <a:graphicData uri="http://schemas.microsoft.com/office/word/2010/wordprocessingShape">
                          <wps:wsp>
                            <wps:cNvSpPr txBox="1"/>
                            <wps:spPr>
                              <a:xfrm>
                                <a:off x="0" y="0"/>
                                <a:ext cx="742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177800" cy="175260"/>
                      <wp:effectExtent l="0" t="0" r="0" b="0"/>
                      <wp:wrapNone/>
                      <wp:docPr id="121" name="Frame121"/>
                      <a:graphic xmlns:a="http://schemas.openxmlformats.org/drawingml/2006/main">
                        <a:graphicData uri="http://schemas.microsoft.com/office/word/2010/wordprocessingShape">
                          <wps:wsp>
                            <wps:cNvSpPr txBox="1"/>
                            <wps:spPr>
                              <a:xfrm>
                                <a:off x="0" y="0"/>
                                <a:ext cx="1778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61035" cy="175260"/>
                      <wp:effectExtent l="0" t="0" r="0" b="0"/>
                      <wp:wrapNone/>
                      <wp:docPr id="122" name="Frame122"/>
                      <a:graphic xmlns:a="http://schemas.openxmlformats.org/drawingml/2006/main">
                        <a:graphicData uri="http://schemas.microsoft.com/office/word/2010/wordprocessingShape">
                          <wps:wsp>
                            <wps:cNvSpPr txBox="1"/>
                            <wps:spPr>
                              <a:xfrm>
                                <a:off x="0" y="0"/>
                                <a:ext cx="661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83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661"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Thirteen Weeks Ended</w:t>
            </w:r>
          </w:p>
        </w:tc>
        <w:tc>
          <w:tcPr>
            <w:tcW w:w="109" w:type="dxa"/>
            <w:tcBorders/>
            <w:vAlign w:val="center"/>
          </w:tcPr>
          <w:p>
            <w:pPr>
              <w:pStyle w:val="TableContents"/>
              <w:bidi w:val="0"/>
              <w:spacing w:before="0" w:after="0"/>
              <w:ind w:left="0" w:right="0" w:hanging="0"/>
              <w:jc w:val="left"/>
              <w:rPr/>
            </w:pPr>
            <w:r>
              <w:rPr/>
              <w:t>​</w:t>
            </w:r>
          </w:p>
        </w:tc>
        <w:tc>
          <w:tcPr>
            <w:tcW w:w="2714"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Helvetica" w:hAnsi="Helvetica"/>
                <w:b/>
                <w:sz w:val="16"/>
              </w:rPr>
            </w:pPr>
            <w:r>
              <w:rPr>
                <w:rFonts w:ascii="Helvetica" w:hAnsi="Helvetica"/>
                <w:b/>
                <w:sz w:val="16"/>
              </w:rPr>
              <w:t>Twenty-Six Weeks Ended</w:t>
            </w:r>
          </w:p>
        </w:tc>
      </w:tr>
      <w:tr>
        <w:trPr/>
        <w:tc>
          <w:tcPr>
            <w:tcW w:w="183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27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August 1, 2026</w:t>
            </w:r>
          </w:p>
        </w:tc>
        <w:tc>
          <w:tcPr>
            <w:tcW w:w="109" w:type="dxa"/>
            <w:tcBorders/>
            <w:vAlign w:val="center"/>
          </w:tcPr>
          <w:p>
            <w:pPr>
              <w:pStyle w:val="TableContents"/>
              <w:bidi w:val="0"/>
              <w:spacing w:before="0" w:after="0"/>
              <w:ind w:left="0" w:right="0" w:hanging="0"/>
              <w:jc w:val="left"/>
              <w:rPr/>
            </w:pPr>
            <w:r>
              <w:rPr/>
              <w:t>​</w:t>
            </w:r>
          </w:p>
        </w:tc>
        <w:tc>
          <w:tcPr>
            <w:tcW w:w="127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August 2, 2025</w:t>
            </w:r>
          </w:p>
        </w:tc>
        <w:tc>
          <w:tcPr>
            <w:tcW w:w="109" w:type="dxa"/>
            <w:tcBorders/>
            <w:vAlign w:val="center"/>
          </w:tcPr>
          <w:p>
            <w:pPr>
              <w:pStyle w:val="TableContents"/>
              <w:bidi w:val="0"/>
              <w:spacing w:before="0" w:after="0"/>
              <w:ind w:left="0" w:right="0" w:hanging="0"/>
              <w:jc w:val="left"/>
              <w:rPr/>
            </w:pPr>
            <w:r>
              <w:rPr/>
              <w:t>​</w:t>
            </w:r>
          </w:p>
        </w:tc>
        <w:tc>
          <w:tcPr>
            <w:tcW w:w="127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August 1, 2026</w:t>
            </w:r>
          </w:p>
        </w:tc>
        <w:tc>
          <w:tcPr>
            <w:tcW w:w="117" w:type="dxa"/>
            <w:tcBorders/>
            <w:vAlign w:val="center"/>
          </w:tcPr>
          <w:p>
            <w:pPr>
              <w:pStyle w:val="TableContents"/>
              <w:bidi w:val="0"/>
              <w:spacing w:before="0" w:after="0"/>
              <w:ind w:left="0" w:right="0" w:hanging="0"/>
              <w:jc w:val="left"/>
              <w:rPr/>
            </w:pPr>
            <w:r>
              <w:rPr/>
              <w:t>​</w:t>
            </w:r>
          </w:p>
        </w:tc>
        <w:tc>
          <w:tcPr>
            <w:tcW w:w="132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August 2, 2025</w:t>
            </w:r>
          </w:p>
        </w:tc>
      </w:tr>
      <w:tr>
        <w:trPr/>
        <w:tc>
          <w:tcPr>
            <w:tcW w:w="1831"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Operating lease cost</w:t>
            </w:r>
          </w:p>
        </w:tc>
        <w:tc>
          <w:tcPr>
            <w:tcW w:w="109" w:type="dxa"/>
            <w:tcBorders/>
            <w:shd w:fill="CCEEFF" w:val="clear"/>
            <w:vAlign w:val="center"/>
          </w:tcPr>
          <w:p>
            <w:pPr>
              <w:pStyle w:val="TableContents"/>
              <w:bidi w:val="0"/>
              <w:spacing w:before="0" w:after="0"/>
              <w:ind w:left="0" w:right="0" w:hanging="0"/>
              <w:jc w:val="left"/>
              <w:rPr/>
            </w:pPr>
            <w:r>
              <w:rPr/>
              <w:t>​</w:t>
            </w:r>
          </w:p>
        </w:tc>
        <w:tc>
          <w:tcPr>
            <w:tcW w:w="303"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973"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15,923</w:t>
            </w:r>
          </w:p>
        </w:tc>
        <w:tc>
          <w:tcPr>
            <w:tcW w:w="109" w:type="dxa"/>
            <w:tcBorders/>
            <w:shd w:fill="CCEEFF" w:val="clear"/>
            <w:vAlign w:val="center"/>
          </w:tcPr>
          <w:p>
            <w:pPr>
              <w:pStyle w:val="TableContents"/>
              <w:bidi w:val="0"/>
              <w:spacing w:before="0" w:after="0"/>
              <w:ind w:left="0" w:right="0" w:hanging="0"/>
              <w:jc w:val="left"/>
              <w:rPr/>
            </w:pPr>
            <w:r>
              <w:rPr/>
              <w:t>​</w:t>
            </w:r>
          </w:p>
        </w:tc>
        <w:tc>
          <w:tcPr>
            <w:tcW w:w="303"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973"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15,219</w:t>
            </w:r>
          </w:p>
        </w:tc>
        <w:tc>
          <w:tcPr>
            <w:tcW w:w="109" w:type="dxa"/>
            <w:tcBorders/>
            <w:shd w:fill="CCEEFF" w:val="clear"/>
            <w:vAlign w:val="center"/>
          </w:tcPr>
          <w:p>
            <w:pPr>
              <w:pStyle w:val="TableContents"/>
              <w:bidi w:val="0"/>
              <w:spacing w:before="0" w:after="0"/>
              <w:ind w:left="0" w:right="0" w:hanging="0"/>
              <w:jc w:val="left"/>
              <w:rPr/>
            </w:pPr>
            <w:r>
              <w:rPr/>
              <w:t>​</w:t>
            </w:r>
          </w:p>
        </w:tc>
        <w:tc>
          <w:tcPr>
            <w:tcW w:w="303"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973"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31,888</w:t>
            </w:r>
          </w:p>
        </w:tc>
        <w:tc>
          <w:tcPr>
            <w:tcW w:w="117" w:type="dxa"/>
            <w:tcBorders/>
            <w:shd w:fill="CCEEFF" w:val="clear"/>
            <w:vAlign w:val="center"/>
          </w:tcPr>
          <w:p>
            <w:pPr>
              <w:pStyle w:val="TableContents"/>
              <w:bidi w:val="0"/>
              <w:spacing w:before="0" w:after="0"/>
              <w:ind w:left="0" w:right="0" w:hanging="0"/>
              <w:jc w:val="left"/>
              <w:rPr/>
            </w:pPr>
            <w:r>
              <w:rPr/>
              <w:t>​</w:t>
            </w:r>
          </w:p>
        </w:tc>
        <w:tc>
          <w:tcPr>
            <w:tcW w:w="280"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1041"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30,386</w:t>
            </w:r>
          </w:p>
        </w:tc>
      </w:tr>
      <w:tr>
        <w:trPr/>
        <w:tc>
          <w:tcPr>
            <w:tcW w:w="1831"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Variable lease cost</w:t>
            </w:r>
          </w:p>
        </w:tc>
        <w:tc>
          <w:tcPr>
            <w:tcW w:w="109" w:type="dxa"/>
            <w:tcBorders/>
            <w:vAlign w:val="center"/>
          </w:tcPr>
          <w:p>
            <w:pPr>
              <w:pStyle w:val="TableContents"/>
              <w:bidi w:val="0"/>
              <w:spacing w:before="0" w:after="0"/>
              <w:ind w:left="0" w:right="0" w:hanging="0"/>
              <w:jc w:val="left"/>
              <w:rPr/>
            </w:pPr>
            <w:r>
              <w:rPr/>
              <w:t>​</w:t>
            </w:r>
          </w:p>
        </w:tc>
        <w:tc>
          <w:tcPr>
            <w:tcW w:w="303" w:type="dxa"/>
            <w:tcBorders/>
            <w:vAlign w:val="center"/>
          </w:tcPr>
          <w:p>
            <w:pPr>
              <w:pStyle w:val="TableContents"/>
              <w:bidi w:val="0"/>
              <w:spacing w:before="0" w:after="0"/>
              <w:ind w:left="0" w:right="0" w:hanging="0"/>
              <w:jc w:val="left"/>
              <w:rPr/>
            </w:pPr>
            <w:r>
              <w:rPr/>
              <w:t> </w:t>
            </w:r>
          </w:p>
        </w:tc>
        <w:tc>
          <w:tcPr>
            <w:tcW w:w="973"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3,695</w:t>
            </w:r>
          </w:p>
        </w:tc>
        <w:tc>
          <w:tcPr>
            <w:tcW w:w="109" w:type="dxa"/>
            <w:tcBorders/>
            <w:vAlign w:val="center"/>
          </w:tcPr>
          <w:p>
            <w:pPr>
              <w:pStyle w:val="TableContents"/>
              <w:bidi w:val="0"/>
              <w:spacing w:before="0" w:after="0"/>
              <w:ind w:left="0" w:right="0" w:hanging="0"/>
              <w:jc w:val="left"/>
              <w:rPr/>
            </w:pPr>
            <w:r>
              <w:rPr/>
              <w:t>​</w:t>
            </w:r>
          </w:p>
        </w:tc>
        <w:tc>
          <w:tcPr>
            <w:tcW w:w="303" w:type="dxa"/>
            <w:tcBorders/>
            <w:vAlign w:val="center"/>
          </w:tcPr>
          <w:p>
            <w:pPr>
              <w:pStyle w:val="TableContents"/>
              <w:bidi w:val="0"/>
              <w:spacing w:before="0" w:after="0"/>
              <w:ind w:left="0" w:right="0" w:hanging="0"/>
              <w:jc w:val="left"/>
              <w:rPr/>
            </w:pPr>
            <w:r>
              <w:rPr/>
              <w:t> </w:t>
            </w:r>
          </w:p>
        </w:tc>
        <w:tc>
          <w:tcPr>
            <w:tcW w:w="973"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3,205</w:t>
            </w:r>
          </w:p>
        </w:tc>
        <w:tc>
          <w:tcPr>
            <w:tcW w:w="109" w:type="dxa"/>
            <w:tcBorders/>
            <w:vAlign w:val="center"/>
          </w:tcPr>
          <w:p>
            <w:pPr>
              <w:pStyle w:val="TableContents"/>
              <w:bidi w:val="0"/>
              <w:spacing w:before="0" w:after="0"/>
              <w:ind w:left="0" w:right="0" w:hanging="0"/>
              <w:jc w:val="left"/>
              <w:rPr/>
            </w:pPr>
            <w:r>
              <w:rPr/>
              <w:t>​</w:t>
            </w:r>
          </w:p>
        </w:tc>
        <w:tc>
          <w:tcPr>
            <w:tcW w:w="303" w:type="dxa"/>
            <w:tcBorders/>
            <w:vAlign w:val="center"/>
          </w:tcPr>
          <w:p>
            <w:pPr>
              <w:pStyle w:val="TableContents"/>
              <w:bidi w:val="0"/>
              <w:spacing w:before="0" w:after="0"/>
              <w:ind w:left="0" w:right="0" w:hanging="0"/>
              <w:jc w:val="left"/>
              <w:rPr/>
            </w:pPr>
            <w:r>
              <w:rPr/>
              <w:t> </w:t>
            </w:r>
          </w:p>
        </w:tc>
        <w:tc>
          <w:tcPr>
            <w:tcW w:w="973"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6,854</w:t>
            </w:r>
          </w:p>
        </w:tc>
        <w:tc>
          <w:tcPr>
            <w:tcW w:w="117" w:type="dxa"/>
            <w:tcBorders/>
            <w:vAlign w:val="center"/>
          </w:tcPr>
          <w:p>
            <w:pPr>
              <w:pStyle w:val="TableContents"/>
              <w:bidi w:val="0"/>
              <w:spacing w:before="0" w:after="0"/>
              <w:ind w:left="0" w:right="0" w:hanging="0"/>
              <w:jc w:val="left"/>
              <w:rPr/>
            </w:pPr>
            <w:r>
              <w:rPr/>
              <w:t>​</w:t>
            </w:r>
          </w:p>
        </w:tc>
        <w:tc>
          <w:tcPr>
            <w:tcW w:w="280" w:type="dxa"/>
            <w:tcBorders/>
            <w:vAlign w:val="center"/>
          </w:tcPr>
          <w:p>
            <w:pPr>
              <w:pStyle w:val="TableContents"/>
              <w:bidi w:val="0"/>
              <w:spacing w:before="0" w:after="0"/>
              <w:ind w:left="0" w:right="0" w:hanging="0"/>
              <w:jc w:val="left"/>
              <w:rPr/>
            </w:pPr>
            <w:r>
              <w:rPr/>
              <w:t> </w:t>
            </w:r>
          </w:p>
        </w:tc>
        <w:tc>
          <w:tcPr>
            <w:tcW w:w="104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5,815</w:t>
            </w:r>
          </w:p>
        </w:tc>
      </w:tr>
      <w:tr>
        <w:trPr/>
        <w:tc>
          <w:tcPr>
            <w:tcW w:w="1831"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Short term lease cost</w:t>
            </w:r>
          </w:p>
        </w:tc>
        <w:tc>
          <w:tcPr>
            <w:tcW w:w="109" w:type="dxa"/>
            <w:tcBorders/>
            <w:shd w:fill="CCEEFF" w:val="clear"/>
            <w:vAlign w:val="center"/>
          </w:tcPr>
          <w:p>
            <w:pPr>
              <w:pStyle w:val="TableContents"/>
              <w:bidi w:val="0"/>
              <w:spacing w:before="0" w:after="0"/>
              <w:ind w:left="0" w:right="0" w:hanging="0"/>
              <w:jc w:val="left"/>
              <w:rPr/>
            </w:pPr>
            <w:r>
              <w:rPr/>
              <w:t>​</w:t>
            </w:r>
          </w:p>
        </w:tc>
        <w:tc>
          <w:tcPr>
            <w:tcW w:w="30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7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241</w:t>
            </w:r>
          </w:p>
        </w:tc>
        <w:tc>
          <w:tcPr>
            <w:tcW w:w="109" w:type="dxa"/>
            <w:tcBorders/>
            <w:shd w:fill="CCEEFF" w:val="clear"/>
            <w:vAlign w:val="center"/>
          </w:tcPr>
          <w:p>
            <w:pPr>
              <w:pStyle w:val="TableContents"/>
              <w:bidi w:val="0"/>
              <w:spacing w:before="0" w:after="0"/>
              <w:ind w:left="0" w:right="0" w:hanging="0"/>
              <w:jc w:val="left"/>
              <w:rPr/>
            </w:pPr>
            <w:r>
              <w:rPr/>
              <w:t>​</w:t>
            </w:r>
          </w:p>
        </w:tc>
        <w:tc>
          <w:tcPr>
            <w:tcW w:w="30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7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422</w:t>
            </w:r>
          </w:p>
        </w:tc>
        <w:tc>
          <w:tcPr>
            <w:tcW w:w="109" w:type="dxa"/>
            <w:tcBorders/>
            <w:shd w:fill="CCEEFF" w:val="clear"/>
            <w:vAlign w:val="center"/>
          </w:tcPr>
          <w:p>
            <w:pPr>
              <w:pStyle w:val="TableContents"/>
              <w:bidi w:val="0"/>
              <w:spacing w:before="0" w:after="0"/>
              <w:ind w:left="0" w:right="0" w:hanging="0"/>
              <w:jc w:val="left"/>
              <w:rPr/>
            </w:pPr>
            <w:r>
              <w:rPr/>
              <w:t>​</w:t>
            </w:r>
          </w:p>
        </w:tc>
        <w:tc>
          <w:tcPr>
            <w:tcW w:w="30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7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964</w:t>
            </w:r>
          </w:p>
        </w:tc>
        <w:tc>
          <w:tcPr>
            <w:tcW w:w="117" w:type="dxa"/>
            <w:tcBorders/>
            <w:shd w:fill="CCEEFF" w:val="clear"/>
            <w:vAlign w:val="center"/>
          </w:tcPr>
          <w:p>
            <w:pPr>
              <w:pStyle w:val="TableContents"/>
              <w:bidi w:val="0"/>
              <w:spacing w:before="0" w:after="0"/>
              <w:ind w:left="0" w:right="0" w:hanging="0"/>
              <w:jc w:val="left"/>
              <w:rPr/>
            </w:pPr>
            <w:r>
              <w:rPr/>
              <w:t>​</w:t>
            </w:r>
          </w:p>
        </w:tc>
        <w:tc>
          <w:tcPr>
            <w:tcW w:w="28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998</w:t>
            </w:r>
          </w:p>
        </w:tc>
      </w:tr>
      <w:tr>
        <w:trPr/>
        <w:tc>
          <w:tcPr>
            <w:tcW w:w="1831"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Total lease cost</w:t>
            </w:r>
          </w:p>
        </w:tc>
        <w:tc>
          <w:tcPr>
            <w:tcW w:w="109" w:type="dxa"/>
            <w:tcBorders/>
            <w:vAlign w:val="center"/>
          </w:tcPr>
          <w:p>
            <w:pPr>
              <w:pStyle w:val="TableContents"/>
              <w:bidi w:val="0"/>
              <w:spacing w:before="0" w:after="0"/>
              <w:ind w:left="0" w:right="0" w:hanging="0"/>
              <w:jc w:val="left"/>
              <w:rPr/>
            </w:pPr>
            <w:r>
              <w:rPr/>
              <w:t>​</w:t>
            </w:r>
          </w:p>
        </w:tc>
        <w:tc>
          <w:tcPr>
            <w:tcW w:w="303"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973"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19,859</w:t>
            </w:r>
          </w:p>
        </w:tc>
        <w:tc>
          <w:tcPr>
            <w:tcW w:w="109" w:type="dxa"/>
            <w:tcBorders/>
            <w:vAlign w:val="center"/>
          </w:tcPr>
          <w:p>
            <w:pPr>
              <w:pStyle w:val="TableContents"/>
              <w:bidi w:val="0"/>
              <w:spacing w:before="0" w:after="0"/>
              <w:ind w:left="0" w:right="0" w:hanging="0"/>
              <w:jc w:val="left"/>
              <w:rPr/>
            </w:pPr>
            <w:r>
              <w:rPr/>
              <w:t>​</w:t>
            </w:r>
          </w:p>
        </w:tc>
        <w:tc>
          <w:tcPr>
            <w:tcW w:w="303"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973"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18,846</w:t>
            </w:r>
          </w:p>
        </w:tc>
        <w:tc>
          <w:tcPr>
            <w:tcW w:w="109" w:type="dxa"/>
            <w:tcBorders/>
            <w:vAlign w:val="center"/>
          </w:tcPr>
          <w:p>
            <w:pPr>
              <w:pStyle w:val="TableContents"/>
              <w:bidi w:val="0"/>
              <w:spacing w:before="0" w:after="0"/>
              <w:ind w:left="0" w:right="0" w:hanging="0"/>
              <w:jc w:val="left"/>
              <w:rPr/>
            </w:pPr>
            <w:r>
              <w:rPr/>
              <w:t>​</w:t>
            </w:r>
          </w:p>
        </w:tc>
        <w:tc>
          <w:tcPr>
            <w:tcW w:w="303"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973"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39,706</w:t>
            </w:r>
          </w:p>
        </w:tc>
        <w:tc>
          <w:tcPr>
            <w:tcW w:w="117" w:type="dxa"/>
            <w:tcBorders/>
            <w:vAlign w:val="center"/>
          </w:tcPr>
          <w:p>
            <w:pPr>
              <w:pStyle w:val="TableContents"/>
              <w:bidi w:val="0"/>
              <w:spacing w:before="0" w:after="0"/>
              <w:ind w:left="0" w:right="0" w:hanging="0"/>
              <w:jc w:val="left"/>
              <w:rPr/>
            </w:pPr>
            <w:r>
              <w:rPr/>
              <w:t>​</w:t>
            </w:r>
          </w:p>
        </w:tc>
        <w:tc>
          <w:tcPr>
            <w:tcW w:w="280"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1041" w:type="dxa"/>
            <w:tcBorders>
              <w:bottom w:val="double" w:sz="6" w:space="0" w:color="000000"/>
            </w:tcBorders>
            <w:tcMar>
              <w:bottom w:w="28" w:type="dxa"/>
            </w:tcMar>
            <w:vAlign w:val="center"/>
          </w:tcPr>
          <w:p>
            <w:pPr>
              <w:pStyle w:val="TableContents"/>
              <w:bidi w:val="0"/>
              <w:spacing w:before="0" w:after="0"/>
              <w:ind w:left="0" w:right="60" w:hanging="0"/>
              <w:jc w:val="right"/>
              <w:rPr>
                <w:rFonts w:ascii="Arial;Helvetica;sans-serif" w:hAnsi="Arial;Helvetica;sans-serif"/>
                <w:sz w:val="18"/>
              </w:rPr>
            </w:pPr>
            <w:r>
              <w:rPr>
                <w:rFonts w:ascii="Arial;Helvetica;sans-serif" w:hAnsi="Arial;Helvetica;sans-serif"/>
                <w:sz w:val="18"/>
              </w:rPr>
              <w:t>37,199</w:t>
            </w:r>
          </w:p>
        </w:tc>
      </w:tr>
    </w:tbl>
    <w:p>
      <w:pPr>
        <w:pStyle w:val="TextBody"/>
        <w:bidi w:val="0"/>
        <w:spacing w:before="0" w:after="53"/>
        <w:ind w:left="0" w:right="0" w:hanging="0"/>
        <w:jc w:val="left"/>
        <w:rPr/>
      </w:pPr>
      <w:r>
        <w:rPr/>
        <w:t>​</w:t>
      </w:r>
    </w:p>
    <w:p>
      <w:pPr>
        <w:pStyle w:val="TextBody"/>
        <w:bidi w:val="0"/>
        <w:spacing w:lineRule="auto" w:line="307" w:before="0" w:after="60"/>
        <w:ind w:left="0" w:right="0" w:hanging="0"/>
        <w:jc w:val="left"/>
        <w:rPr>
          <w:rFonts w:ascii="Helvetica" w:hAnsi="Helvetica"/>
          <w:sz w:val="18"/>
        </w:rPr>
      </w:pPr>
      <w:r>
        <w:rPr>
          <w:rFonts w:ascii="Helvetica" w:hAnsi="Helvetica"/>
          <w:sz w:val="18"/>
        </w:rPr>
        <w:t>Future minimum lease payments as of August 1, 2026 are as follows (in thousands):</w:t>
      </w:r>
    </w:p>
    <w:p>
      <w:pPr>
        <w:pStyle w:val="TextBody"/>
        <w:bidi w:val="0"/>
        <w:spacing w:before="0" w:after="0"/>
        <w:ind w:left="0" w:right="0" w:hanging="0"/>
        <w:jc w:val="left"/>
        <w:rPr/>
      </w:pPr>
      <w:r>
        <w:rPr/>
        <w:t>​</w:t>
      </w:r>
    </w:p>
    <w:tbl>
      <w:tblPr>
        <w:tblW w:w="5054" w:type="dxa"/>
        <w:jc w:val="left"/>
        <w:tblInd w:w="0" w:type="dxa"/>
        <w:tblLayout w:type="fixed"/>
        <w:tblCellMar>
          <w:top w:w="0" w:type="dxa"/>
          <w:left w:w="0" w:type="dxa"/>
          <w:bottom w:w="0" w:type="dxa"/>
          <w:right w:w="0" w:type="dxa"/>
        </w:tblCellMar>
      </w:tblPr>
      <w:tblGrid>
        <w:gridCol w:w="3166"/>
        <w:gridCol w:w="346"/>
        <w:gridCol w:w="226"/>
        <w:gridCol w:w="854"/>
        <w:gridCol w:w="271"/>
        <w:gridCol w:w="191"/>
      </w:tblGrid>
      <w:tr>
        <w:trPr/>
        <w:tc>
          <w:tcPr>
            <w:tcW w:w="31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2010410" cy="175260"/>
                      <wp:effectExtent l="0" t="0" r="0" b="0"/>
                      <wp:wrapNone/>
                      <wp:docPr id="123" name="Frame123"/>
                      <a:graphic xmlns:a="http://schemas.openxmlformats.org/drawingml/2006/main">
                        <a:graphicData uri="http://schemas.microsoft.com/office/word/2010/wordprocessingShape">
                          <wps:wsp>
                            <wps:cNvSpPr txBox="1"/>
                            <wps:spPr>
                              <a:xfrm>
                                <a:off x="0" y="0"/>
                                <a:ext cx="2010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219710" cy="175260"/>
                      <wp:effectExtent l="0" t="0" r="0" b="0"/>
                      <wp:wrapNone/>
                      <wp:docPr id="124" name="Frame12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143510" cy="175260"/>
                      <wp:effectExtent l="0" t="0" r="0" b="0"/>
                      <wp:wrapNone/>
                      <wp:docPr id="125" name="Frame125"/>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542290" cy="175260"/>
                      <wp:effectExtent l="0" t="0" r="0" b="0"/>
                      <wp:wrapNone/>
                      <wp:docPr id="126" name="Frame126"/>
                      <a:graphic xmlns:a="http://schemas.openxmlformats.org/drawingml/2006/main">
                        <a:graphicData uri="http://schemas.microsoft.com/office/word/2010/wordprocessingShape">
                          <wps:wsp>
                            <wps:cNvSpPr txBox="1"/>
                            <wps:spPr>
                              <a:xfrm>
                                <a:off x="0" y="0"/>
                                <a:ext cx="5422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172085" cy="175260"/>
                      <wp:effectExtent l="0" t="0" r="0" b="0"/>
                      <wp:wrapNone/>
                      <wp:docPr id="127" name="Frame127"/>
                      <a:graphic xmlns:a="http://schemas.openxmlformats.org/drawingml/2006/main">
                        <a:graphicData uri="http://schemas.microsoft.com/office/word/2010/wordprocessingShape">
                          <wps:wsp>
                            <wps:cNvSpPr txBox="1"/>
                            <wps:spPr>
                              <a:xfrm>
                                <a:off x="0" y="0"/>
                                <a:ext cx="172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121285" cy="175260"/>
                      <wp:effectExtent l="0" t="0" r="0" b="0"/>
                      <wp:wrapNone/>
                      <wp:docPr id="128" name="Frame128"/>
                      <a:graphic xmlns:a="http://schemas.openxmlformats.org/drawingml/2006/main">
                        <a:graphicData uri="http://schemas.microsoft.com/office/word/2010/wordprocessingShape">
                          <wps:wsp>
                            <wps:cNvSpPr txBox="1"/>
                            <wps:spPr>
                              <a:xfrm>
                                <a:off x="0" y="0"/>
                                <a:ext cx="121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166" w:type="dxa"/>
            <w:tcBorders>
              <w:bottom w:val="single" w:sz="2"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b/>
                <w:sz w:val="16"/>
              </w:rPr>
            </w:pPr>
            <w:r>
              <w:rPr>
                <w:rFonts w:ascii="Arial;Helvetica;sans-serif" w:hAnsi="Arial;Helvetica;sans-serif"/>
                <w:b/>
                <w:sz w:val="16"/>
              </w:rPr>
              <w:t>Fiscal Year</w:t>
            </w:r>
          </w:p>
        </w:tc>
        <w:tc>
          <w:tcPr>
            <w:tcW w:w="346" w:type="dxa"/>
            <w:tcBorders/>
            <w:vAlign w:val="center"/>
          </w:tcPr>
          <w:p>
            <w:pPr>
              <w:pStyle w:val="TableContents"/>
              <w:bidi w:val="0"/>
              <w:spacing w:before="0" w:after="0"/>
              <w:ind w:left="0" w:right="0" w:hanging="0"/>
              <w:jc w:val="left"/>
              <w:rPr/>
            </w:pPr>
            <w:r>
              <w:rPr/>
              <w:t>  ​ ​ ​</w:t>
            </w:r>
          </w:p>
        </w:tc>
        <w:tc>
          <w:tcPr>
            <w:tcW w:w="108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Lease Costs</w:t>
            </w:r>
          </w:p>
        </w:tc>
        <w:tc>
          <w:tcPr>
            <w:tcW w:w="271" w:type="dxa"/>
            <w:tcBorders/>
            <w:vAlign w:val="center"/>
          </w:tcPr>
          <w:p>
            <w:pPr>
              <w:pStyle w:val="TableContents"/>
              <w:bidi w:val="0"/>
              <w:spacing w:before="0" w:after="0"/>
              <w:ind w:left="0" w:right="0" w:hanging="0"/>
              <w:jc w:val="left"/>
              <w:rPr/>
            </w:pPr>
            <w:r>
              <w:rPr/>
              <w:t> </w:t>
            </w:r>
          </w:p>
        </w:tc>
        <w:tc>
          <w:tcPr>
            <w:tcW w:w="191" w:type="dxa"/>
            <w:tcBorders/>
            <w:vAlign w:val="center"/>
          </w:tcPr>
          <w:p>
            <w:pPr>
              <w:pStyle w:val="TableContents"/>
              <w:bidi w:val="0"/>
              <w:spacing w:before="0" w:after="0"/>
              <w:ind w:left="0" w:right="0" w:hanging="0"/>
              <w:jc w:val="left"/>
              <w:rPr/>
            </w:pPr>
            <w:r>
              <w:rPr/>
              <w:t> </w:t>
            </w:r>
          </w:p>
        </w:tc>
      </w:tr>
      <w:tr>
        <w:trPr/>
        <w:tc>
          <w:tcPr>
            <w:tcW w:w="3166"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Remainder of 2026</w:t>
            </w:r>
          </w:p>
        </w:tc>
        <w:tc>
          <w:tcPr>
            <w:tcW w:w="346" w:type="dxa"/>
            <w:tcBorders/>
            <w:shd w:fill="CCEEFF" w:val="clear"/>
            <w:vAlign w:val="center"/>
          </w:tcPr>
          <w:p>
            <w:pPr>
              <w:pStyle w:val="TableContents"/>
              <w:bidi w:val="0"/>
              <w:spacing w:before="0" w:after="0"/>
              <w:ind w:left="0" w:right="0" w:hanging="0"/>
              <w:jc w:val="left"/>
              <w:rPr/>
            </w:pPr>
            <w:r>
              <w:rPr/>
              <w:t>  ​ ​ ​</w:t>
            </w:r>
          </w:p>
        </w:tc>
        <w:tc>
          <w:tcPr>
            <w:tcW w:w="226"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854"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33,442</w:t>
            </w:r>
          </w:p>
        </w:tc>
        <w:tc>
          <w:tcPr>
            <w:tcW w:w="271" w:type="dxa"/>
            <w:tcBorders/>
            <w:shd w:fill="CCEEFF" w:val="clear"/>
            <w:vAlign w:val="center"/>
          </w:tcPr>
          <w:p>
            <w:pPr>
              <w:pStyle w:val="TableContents"/>
              <w:bidi w:val="0"/>
              <w:spacing w:before="0" w:after="0"/>
              <w:ind w:left="0" w:right="0" w:hanging="0"/>
              <w:jc w:val="left"/>
              <w:rPr/>
            </w:pPr>
            <w:r>
              <w:rPr/>
              <w:t>​</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3166"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2027</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854"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60,229</w:t>
            </w:r>
          </w:p>
        </w:tc>
        <w:tc>
          <w:tcPr>
            <w:tcW w:w="271" w:type="dxa"/>
            <w:tcBorders/>
            <w:vAlign w:val="center"/>
          </w:tcPr>
          <w:p>
            <w:pPr>
              <w:pStyle w:val="TableContents"/>
              <w:bidi w:val="0"/>
              <w:spacing w:before="0" w:after="0"/>
              <w:ind w:left="0" w:right="0" w:hanging="0"/>
              <w:jc w:val="left"/>
              <w:rPr/>
            </w:pPr>
            <w:r>
              <w:rPr/>
              <w:t>​</w:t>
            </w:r>
          </w:p>
        </w:tc>
        <w:tc>
          <w:tcPr>
            <w:tcW w:w="191" w:type="dxa"/>
            <w:tcBorders/>
            <w:vAlign w:val="center"/>
          </w:tcPr>
          <w:p>
            <w:pPr>
              <w:pStyle w:val="TableContents"/>
              <w:bidi w:val="0"/>
              <w:spacing w:before="0" w:after="0"/>
              <w:ind w:left="0" w:right="0" w:hanging="0"/>
              <w:jc w:val="left"/>
              <w:rPr/>
            </w:pPr>
            <w:r>
              <w:rPr/>
              <w:t>​</w:t>
            </w:r>
          </w:p>
        </w:tc>
      </w:tr>
      <w:tr>
        <w:trPr/>
        <w:tc>
          <w:tcPr>
            <w:tcW w:w="3166"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2028</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 </w:t>
            </w:r>
          </w:p>
        </w:tc>
        <w:tc>
          <w:tcPr>
            <w:tcW w:w="854"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50,410</w:t>
            </w:r>
          </w:p>
        </w:tc>
        <w:tc>
          <w:tcPr>
            <w:tcW w:w="271" w:type="dxa"/>
            <w:tcBorders/>
            <w:shd w:fill="CCEEFF" w:val="clear"/>
            <w:vAlign w:val="center"/>
          </w:tcPr>
          <w:p>
            <w:pPr>
              <w:pStyle w:val="TableContents"/>
              <w:bidi w:val="0"/>
              <w:spacing w:before="0" w:after="0"/>
              <w:ind w:left="0" w:right="0" w:hanging="0"/>
              <w:jc w:val="left"/>
              <w:rPr/>
            </w:pPr>
            <w:r>
              <w:rPr/>
              <w:t>​</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3166"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2029</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 </w:t>
            </w:r>
          </w:p>
        </w:tc>
        <w:tc>
          <w:tcPr>
            <w:tcW w:w="854"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40,059</w:t>
            </w:r>
          </w:p>
        </w:tc>
        <w:tc>
          <w:tcPr>
            <w:tcW w:w="271" w:type="dxa"/>
            <w:tcBorders/>
            <w:vAlign w:val="center"/>
          </w:tcPr>
          <w:p>
            <w:pPr>
              <w:pStyle w:val="TableContents"/>
              <w:bidi w:val="0"/>
              <w:spacing w:before="0" w:after="0"/>
              <w:ind w:left="0" w:right="0" w:hanging="0"/>
              <w:jc w:val="left"/>
              <w:rPr/>
            </w:pPr>
            <w:r>
              <w:rPr/>
              <w:t>​</w:t>
            </w:r>
          </w:p>
        </w:tc>
        <w:tc>
          <w:tcPr>
            <w:tcW w:w="191" w:type="dxa"/>
            <w:tcBorders/>
            <w:vAlign w:val="center"/>
          </w:tcPr>
          <w:p>
            <w:pPr>
              <w:pStyle w:val="TableContents"/>
              <w:bidi w:val="0"/>
              <w:spacing w:before="0" w:after="0"/>
              <w:ind w:left="0" w:right="0" w:hanging="0"/>
              <w:jc w:val="left"/>
              <w:rPr/>
            </w:pPr>
            <w:r>
              <w:rPr/>
              <w:t>​</w:t>
            </w:r>
          </w:p>
        </w:tc>
      </w:tr>
      <w:tr>
        <w:trPr/>
        <w:tc>
          <w:tcPr>
            <w:tcW w:w="3166"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2030</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 </w:t>
            </w:r>
          </w:p>
        </w:tc>
        <w:tc>
          <w:tcPr>
            <w:tcW w:w="854"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29,354</w:t>
            </w:r>
          </w:p>
        </w:tc>
        <w:tc>
          <w:tcPr>
            <w:tcW w:w="271" w:type="dxa"/>
            <w:tcBorders/>
            <w:shd w:fill="CCEEFF" w:val="clear"/>
            <w:vAlign w:val="center"/>
          </w:tcPr>
          <w:p>
            <w:pPr>
              <w:pStyle w:val="TableContents"/>
              <w:bidi w:val="0"/>
              <w:spacing w:before="0" w:after="0"/>
              <w:ind w:left="0" w:right="0" w:hanging="0"/>
              <w:jc w:val="left"/>
              <w:rPr/>
            </w:pPr>
            <w:r>
              <w:rPr/>
              <w:t>​</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3166"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Thereafter</w:t>
            </w:r>
          </w:p>
        </w:tc>
        <w:tc>
          <w:tcPr>
            <w:tcW w:w="346" w:type="dxa"/>
            <w:tcBorders/>
            <w:vAlign w:val="center"/>
          </w:tcPr>
          <w:p>
            <w:pPr>
              <w:pStyle w:val="TableContents"/>
              <w:bidi w:val="0"/>
              <w:spacing w:before="0" w:after="0"/>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54"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108,947</w:t>
            </w:r>
          </w:p>
        </w:tc>
        <w:tc>
          <w:tcPr>
            <w:tcW w:w="271" w:type="dxa"/>
            <w:tcBorders/>
            <w:vAlign w:val="center"/>
          </w:tcPr>
          <w:p>
            <w:pPr>
              <w:pStyle w:val="TableContents"/>
              <w:bidi w:val="0"/>
              <w:spacing w:before="0" w:after="0"/>
              <w:ind w:left="0" w:right="0" w:hanging="0"/>
              <w:jc w:val="left"/>
              <w:rPr/>
            </w:pPr>
            <w:r>
              <w:rPr/>
              <w:t>​</w:t>
            </w:r>
          </w:p>
        </w:tc>
        <w:tc>
          <w:tcPr>
            <w:tcW w:w="191" w:type="dxa"/>
            <w:tcBorders/>
            <w:vAlign w:val="center"/>
          </w:tcPr>
          <w:p>
            <w:pPr>
              <w:pStyle w:val="TableContents"/>
              <w:bidi w:val="0"/>
              <w:spacing w:before="0" w:after="0"/>
              <w:ind w:left="0" w:right="0" w:hanging="0"/>
              <w:jc w:val="left"/>
              <w:rPr/>
            </w:pPr>
            <w:r>
              <w:rPr/>
              <w:t>​</w:t>
            </w:r>
          </w:p>
        </w:tc>
      </w:tr>
      <w:tr>
        <w:trPr/>
        <w:tc>
          <w:tcPr>
            <w:tcW w:w="3166"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Total future minimum lease payments</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854"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322,441</w:t>
            </w:r>
          </w:p>
        </w:tc>
        <w:tc>
          <w:tcPr>
            <w:tcW w:w="271" w:type="dxa"/>
            <w:tcBorders/>
            <w:shd w:fill="CCEEFF" w:val="clear"/>
            <w:vAlign w:val="center"/>
          </w:tcPr>
          <w:p>
            <w:pPr>
              <w:pStyle w:val="TableContents"/>
              <w:bidi w:val="0"/>
              <w:spacing w:before="0" w:after="0"/>
              <w:ind w:left="0" w:right="0" w:hanging="0"/>
              <w:jc w:val="left"/>
              <w:rPr/>
            </w:pPr>
            <w:r>
              <w:rPr/>
              <w:t>​</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3166"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Less: imputed interest</w:t>
            </w:r>
          </w:p>
        </w:tc>
        <w:tc>
          <w:tcPr>
            <w:tcW w:w="346" w:type="dxa"/>
            <w:tcBorders/>
            <w:vAlign w:val="center"/>
          </w:tcPr>
          <w:p>
            <w:pPr>
              <w:pStyle w:val="TableContents"/>
              <w:bidi w:val="0"/>
              <w:spacing w:before="0" w:after="0"/>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54"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(97,592)</w:t>
            </w:r>
          </w:p>
        </w:tc>
        <w:tc>
          <w:tcPr>
            <w:tcW w:w="271" w:type="dxa"/>
            <w:tcBorders/>
            <w:vAlign w:val="center"/>
          </w:tcPr>
          <w:p>
            <w:pPr>
              <w:pStyle w:val="TableContents"/>
              <w:bidi w:val="0"/>
              <w:spacing w:before="0" w:after="0"/>
              <w:ind w:left="0" w:right="0" w:hanging="0"/>
              <w:jc w:val="center"/>
              <w:rPr>
                <w:rFonts w:ascii="Arial;Helvetica;sans-serif" w:hAnsi="Arial;Helvetica;sans-serif"/>
                <w:sz w:val="14"/>
              </w:rPr>
            </w:pPr>
            <w:r>
              <w:rPr>
                <w:rFonts w:ascii="Arial;Helvetica;sans-serif" w:hAnsi="Arial;Helvetica;sans-serif"/>
                <w:sz w:val="14"/>
              </w:rPr>
              <w:t>(1)</w:t>
            </w:r>
          </w:p>
        </w:tc>
        <w:tc>
          <w:tcPr>
            <w:tcW w:w="191" w:type="dxa"/>
            <w:tcBorders/>
            <w:vAlign w:val="center"/>
          </w:tcPr>
          <w:p>
            <w:pPr>
              <w:pStyle w:val="TableContents"/>
              <w:bidi w:val="0"/>
              <w:spacing w:before="0" w:after="0"/>
              <w:ind w:left="0" w:right="0" w:hanging="0"/>
              <w:jc w:val="center"/>
              <w:rPr/>
            </w:pPr>
            <w:r>
              <w:rPr/>
              <w:t>​</w:t>
            </w:r>
          </w:p>
        </w:tc>
      </w:tr>
      <w:tr>
        <w:trPr/>
        <w:tc>
          <w:tcPr>
            <w:tcW w:w="3166"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Total present value of lease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85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224,849</w:t>
            </w:r>
          </w:p>
        </w:tc>
        <w:tc>
          <w:tcPr>
            <w:tcW w:w="271" w:type="dxa"/>
            <w:tcBorders/>
            <w:shd w:fill="CCEEFF" w:val="clear"/>
            <w:vAlign w:val="center"/>
          </w:tcPr>
          <w:p>
            <w:pPr>
              <w:pStyle w:val="TableContents"/>
              <w:bidi w:val="0"/>
              <w:spacing w:before="0" w:after="0"/>
              <w:ind w:left="0" w:right="0" w:hanging="0"/>
              <w:jc w:val="center"/>
              <w:rPr>
                <w:rFonts w:ascii="Arial;Helvetica;sans-serif" w:hAnsi="Arial;Helvetica;sans-serif"/>
                <w:sz w:val="14"/>
              </w:rPr>
            </w:pPr>
            <w:r>
              <w:rPr>
                <w:rFonts w:ascii="Arial;Helvetica;sans-serif" w:hAnsi="Arial;Helvetica;sans-serif"/>
                <w:sz w:val="14"/>
              </w:rPr>
              <w:t>(2)</w:t>
            </w:r>
          </w:p>
        </w:tc>
        <w:tc>
          <w:tcPr>
            <w:tcW w:w="191" w:type="dxa"/>
            <w:tcBorders/>
            <w:shd w:fill="CCEEFF" w:val="clear"/>
            <w:vAlign w:val="center"/>
          </w:tcPr>
          <w:p>
            <w:pPr>
              <w:pStyle w:val="TableContents"/>
              <w:bidi w:val="0"/>
              <w:spacing w:before="0" w:after="0"/>
              <w:ind w:left="0" w:right="0" w:hanging="0"/>
              <w:jc w:val="center"/>
              <w:rPr/>
            </w:pPr>
            <w:r>
              <w:rPr/>
              <w:t>​</w:t>
            </w:r>
          </w:p>
        </w:tc>
      </w:tr>
    </w:tbl>
    <w:p>
      <w:pPr>
        <w:pStyle w:val="TextBody"/>
        <w:bidi w:val="0"/>
        <w:spacing w:before="0" w:after="0"/>
        <w:ind w:left="1512" w:right="0" w:hanging="0"/>
        <w:jc w:val="both"/>
        <w:rPr/>
      </w:pPr>
      <w:r>
        <w:rPr/>
        <w:t>​</w:t>
      </w:r>
    </w:p>
    <w:tbl>
      <w:tblPr>
        <w:tblW w:w="4086" w:type="dxa"/>
        <w:jc w:val="left"/>
        <w:tblInd w:w="0" w:type="dxa"/>
        <w:tblLayout w:type="fixed"/>
        <w:tblCellMar>
          <w:top w:w="28" w:type="dxa"/>
          <w:left w:w="28" w:type="dxa"/>
          <w:bottom w:w="28" w:type="dxa"/>
          <w:right w:w="28" w:type="dxa"/>
        </w:tblCellMar>
      </w:tblPr>
      <w:tblGrid>
        <w:gridCol w:w="124"/>
        <w:gridCol w:w="316"/>
        <w:gridCol w:w="3646"/>
      </w:tblGrid>
      <w:tr>
        <w:trPr/>
        <w:tc>
          <w:tcPr>
            <w:tcW w:w="124" w:type="dxa"/>
            <w:tcBorders/>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rFonts w:ascii="Helvetica" w:hAnsi="Helvetica"/>
                <w:sz w:val="16"/>
              </w:rPr>
            </w:pPr>
            <w:r>
              <w:rPr>
                <w:rFonts w:ascii="Helvetica" w:hAnsi="Helvetica"/>
                <w:sz w:val="16"/>
              </w:rPr>
              <w:t>(1)</w:t>
            </w:r>
          </w:p>
        </w:tc>
        <w:tc>
          <w:tcPr>
            <w:tcW w:w="3646" w:type="dxa"/>
            <w:tcBorders/>
            <w:tcMar>
              <w:top w:w="0" w:type="dxa"/>
              <w:left w:w="0" w:type="dxa"/>
              <w:bottom w:w="0" w:type="dxa"/>
              <w:right w:w="0" w:type="dxa"/>
            </w:tcMar>
            <w:vAlign w:val="center"/>
          </w:tcPr>
          <w:p>
            <w:pPr>
              <w:pStyle w:val="TableContents"/>
              <w:bidi w:val="0"/>
              <w:spacing w:before="0" w:after="283"/>
              <w:jc w:val="left"/>
              <w:rPr>
                <w:rFonts w:ascii="Helvetica" w:hAnsi="Helvetica"/>
                <w:b w:val="false"/>
                <w:i w:val="false"/>
                <w:caps w:val="false"/>
                <w:smallCaps w:val="false"/>
                <w:sz w:val="16"/>
              </w:rPr>
            </w:pPr>
            <w:r>
              <w:rPr>
                <w:rFonts w:ascii="Helvetica" w:hAnsi="Helvetica"/>
                <w:b w:val="false"/>
                <w:i w:val="false"/>
                <w:caps w:val="false"/>
                <w:smallCaps w:val="false"/>
                <w:sz w:val="16"/>
              </w:rPr>
              <w:t>Calculated using the incremental borrowing rate.</w:t>
            </w:r>
          </w:p>
        </w:tc>
      </w:tr>
    </w:tbl>
    <w:tbl>
      <w:tblPr>
        <w:tblW w:w="5706" w:type="dxa"/>
        <w:jc w:val="left"/>
        <w:tblInd w:w="0" w:type="dxa"/>
        <w:tblLayout w:type="fixed"/>
        <w:tblCellMar>
          <w:top w:w="28" w:type="dxa"/>
          <w:left w:w="28" w:type="dxa"/>
          <w:bottom w:w="28" w:type="dxa"/>
          <w:right w:w="28" w:type="dxa"/>
        </w:tblCellMar>
      </w:tblPr>
      <w:tblGrid>
        <w:gridCol w:w="124"/>
        <w:gridCol w:w="316"/>
        <w:gridCol w:w="5266"/>
      </w:tblGrid>
      <w:tr>
        <w:trPr/>
        <w:tc>
          <w:tcPr>
            <w:tcW w:w="124" w:type="dxa"/>
            <w:tcBorders/>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rFonts w:ascii="Helvetica" w:hAnsi="Helvetica"/>
                <w:sz w:val="16"/>
              </w:rPr>
            </w:pPr>
            <w:r>
              <w:rPr>
                <w:rFonts w:ascii="Helvetica" w:hAnsi="Helvetica"/>
                <w:sz w:val="16"/>
              </w:rPr>
              <w:t>(2)</w:t>
            </w:r>
          </w:p>
        </w:tc>
        <w:tc>
          <w:tcPr>
            <w:tcW w:w="5266" w:type="dxa"/>
            <w:tcBorders/>
            <w:tcMar>
              <w:top w:w="0" w:type="dxa"/>
              <w:left w:w="0" w:type="dxa"/>
              <w:bottom w:w="0" w:type="dxa"/>
              <w:right w:w="0" w:type="dxa"/>
            </w:tcMar>
            <w:vAlign w:val="center"/>
          </w:tcPr>
          <w:p>
            <w:pPr>
              <w:pStyle w:val="TableContents"/>
              <w:bidi w:val="0"/>
              <w:spacing w:before="0" w:after="283"/>
              <w:jc w:val="left"/>
              <w:rPr>
                <w:rFonts w:ascii="Helvetica" w:hAnsi="Helvetica"/>
                <w:b w:val="false"/>
                <w:i w:val="false"/>
                <w:caps w:val="false"/>
                <w:smallCaps w:val="false"/>
                <w:sz w:val="16"/>
              </w:rPr>
            </w:pPr>
            <w:r>
              <w:rPr>
                <w:rFonts w:ascii="Helvetica" w:hAnsi="Helvetica"/>
                <w:b w:val="false"/>
                <w:i w:val="false"/>
                <w:caps w:val="false"/>
                <w:smallCaps w:val="false"/>
                <w:sz w:val="16"/>
              </w:rPr>
              <w:t>Includes short-term and long-term portions of operating lease liabilities.</w:t>
            </w:r>
          </w:p>
        </w:tc>
      </w:tr>
    </w:tbl>
    <w:p>
      <w:pPr>
        <w:pStyle w:val="TextBody"/>
        <w:bidi w:val="0"/>
        <w:spacing w:before="0" w:after="0"/>
        <w:ind w:left="1512" w:right="0" w:hanging="0"/>
        <w:jc w:val="both"/>
        <w:rPr/>
      </w:pPr>
      <w:r>
        <w:rPr/>
        <w:t>​</w:t>
      </w:r>
    </w:p>
    <w:p>
      <w:pPr>
        <w:pStyle w:val="TextBody"/>
        <w:bidi w:val="0"/>
        <w:spacing w:before="0" w:after="0"/>
        <w:ind w:left="1512" w:right="0" w:hanging="0"/>
        <w:jc w:val="both"/>
        <w:rPr/>
      </w:pPr>
      <w:r>
        <w:rPr/>
        <w:t>​</w:t>
      </w:r>
    </w:p>
    <w:p>
      <w:pPr>
        <w:pStyle w:val="TextBody"/>
        <w:bidi w:val="0"/>
        <w:spacing w:before="480" w:after="0"/>
        <w:ind w:left="0" w:right="0" w:hanging="0"/>
        <w:jc w:val="center"/>
        <w:rPr>
          <w:rFonts w:ascii="Helvetica" w:hAnsi="Helvetica"/>
          <w:sz w:val="18"/>
        </w:rPr>
      </w:pPr>
      <w:r>
        <w:rPr>
          <w:rFonts w:ascii="Helvetica" w:hAnsi="Helvetica"/>
          <w:sz w:val="18"/>
        </w:rPr>
        <w:t>12</w:t>
      </w:r>
    </w:p>
    <w:p>
      <w:pPr>
        <w:pStyle w:val="TextBody"/>
        <w:bidi w:val="0"/>
        <w:spacing w:before="0" w:after="6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lineRule="auto" w:line="307" w:before="0" w:after="0"/>
        <w:ind w:left="0" w:right="0" w:hanging="0"/>
        <w:jc w:val="left"/>
        <w:rPr>
          <w:rFonts w:ascii="Helvetica" w:hAnsi="Helvetica"/>
          <w:sz w:val="18"/>
        </w:rPr>
      </w:pPr>
      <w:bookmarkStart w:id="909" w:name="Tc_1djHPc7460qdTTy6BcXSVw_7_0"/>
      <w:bookmarkStart w:id="910" w:name="Tc_Rai88HylZkypdaUp0ItR1Q_6_0"/>
      <w:bookmarkStart w:id="911" w:name="Tc_F9D-mXvGxUqUFsrAcLeZ0w_4_5"/>
      <w:bookmarkStart w:id="912" w:name="Tc_-waG5ze6p0WY0dPErgYlMA_4_2"/>
      <w:bookmarkStart w:id="913" w:name="Tc_bGfssAcGhUSrPwvjojqAbQ_4_0"/>
      <w:bookmarkStart w:id="914" w:name="Tc_b5gHlrbczkSEATdKQUVJfQ_3_5"/>
      <w:bookmarkStart w:id="915" w:name="Tc_CLXO0AwqB0uqPtSUz4RcVw_3_2"/>
      <w:bookmarkStart w:id="916" w:name="Tc_TVUVbptXNEGmZwpTkGFbOw_3_0"/>
      <w:bookmarkStart w:id="917" w:name="Tc_ctT2rPaPHESjM8gAboanIg_2_5"/>
      <w:bookmarkStart w:id="918" w:name="Tc_XUmLe94RpEGt3wNNVCh1LA_2_2"/>
      <w:bookmarkStart w:id="919" w:name="Tc_QXDJfFIdk0G2nNL6x1PaOA_1_2"/>
      <w:bookmarkStart w:id="920" w:name="_0a51acc5_1542_4d48_82f5_cae7c4e0ddde"/>
      <w:bookmarkEnd w:id="909"/>
      <w:bookmarkEnd w:id="910"/>
      <w:bookmarkEnd w:id="911"/>
      <w:bookmarkEnd w:id="912"/>
      <w:bookmarkEnd w:id="913"/>
      <w:bookmarkEnd w:id="914"/>
      <w:bookmarkEnd w:id="915"/>
      <w:bookmarkEnd w:id="916"/>
      <w:bookmarkEnd w:id="917"/>
      <w:bookmarkEnd w:id="918"/>
      <w:bookmarkEnd w:id="919"/>
      <w:bookmarkEnd w:id="920"/>
      <w:r>
        <w:rPr>
          <w:rFonts w:ascii="Helvetica" w:hAnsi="Helvetica"/>
          <w:sz w:val="18"/>
        </w:rPr>
        <w:t>Certain operating leases provide for fixed monthly rents, while others provide for contingent rents computed as a percentage of net sales and others provide for a combination of both fixed monthly rents and contingent rents computed as a percentage of net sales.</w:t>
      </w:r>
    </w:p>
    <w:p>
      <w:pPr>
        <w:pStyle w:val="TextBody"/>
        <w:bidi w:val="0"/>
        <w:spacing w:lineRule="auto" w:line="307" w:before="0" w:after="0"/>
        <w:ind w:left="0" w:right="0" w:hanging="0"/>
        <w:jc w:val="left"/>
        <w:rPr/>
      </w:pPr>
      <w:r>
        <w:rPr/>
        <w:t>​</w:t>
      </w:r>
    </w:p>
    <w:p>
      <w:pPr>
        <w:pStyle w:val="TextBody"/>
        <w:bidi w:val="0"/>
        <w:spacing w:lineRule="auto" w:line="307" w:before="0" w:after="0"/>
        <w:ind w:left="0" w:right="0" w:hanging="0"/>
        <w:jc w:val="left"/>
        <w:rPr>
          <w:rFonts w:ascii="Helvetica" w:hAnsi="Helvetica"/>
          <w:sz w:val="18"/>
        </w:rPr>
      </w:pPr>
      <w:r>
        <w:rPr>
          <w:rFonts w:ascii="Helvetica" w:hAnsi="Helvetica"/>
          <w:sz w:val="18"/>
        </w:rPr>
        <w:t>Supplemental cash flows and other information related to operating leases are as follows (in thousands, except for weighted average amounts):</w:t>
      </w:r>
    </w:p>
    <w:tbl>
      <w:tblPr>
        <w:tblW w:w="9274" w:type="dxa"/>
        <w:jc w:val="left"/>
        <w:tblInd w:w="0" w:type="dxa"/>
        <w:tblLayout w:type="fixed"/>
        <w:tblCellMar>
          <w:top w:w="0" w:type="dxa"/>
          <w:left w:w="0" w:type="dxa"/>
          <w:bottom w:w="0" w:type="dxa"/>
          <w:right w:w="0" w:type="dxa"/>
        </w:tblCellMar>
      </w:tblPr>
      <w:tblGrid>
        <w:gridCol w:w="6211"/>
        <w:gridCol w:w="346"/>
        <w:gridCol w:w="303"/>
        <w:gridCol w:w="973"/>
        <w:gridCol w:w="120"/>
        <w:gridCol w:w="299"/>
        <w:gridCol w:w="1022"/>
      </w:tblGrid>
      <w:tr>
        <w:trPr/>
        <w:tc>
          <w:tcPr>
            <w:tcW w:w="6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3943985" cy="175260"/>
                      <wp:effectExtent l="0" t="0" r="0" b="0"/>
                      <wp:wrapNone/>
                      <wp:docPr id="129" name="Frame129"/>
                      <a:graphic xmlns:a="http://schemas.openxmlformats.org/drawingml/2006/main">
                        <a:graphicData uri="http://schemas.microsoft.com/office/word/2010/wordprocessingShape">
                          <wps:wsp>
                            <wps:cNvSpPr txBox="1"/>
                            <wps:spPr>
                              <a:xfrm>
                                <a:off x="0" y="0"/>
                                <a:ext cx="394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219710" cy="175260"/>
                      <wp:effectExtent l="0" t="0" r="0" b="0"/>
                      <wp:wrapNone/>
                      <wp:docPr id="130" name="Frame13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192405" cy="175260"/>
                      <wp:effectExtent l="0" t="0" r="0" b="0"/>
                      <wp:wrapNone/>
                      <wp:docPr id="131" name="Frame131"/>
                      <a:graphic xmlns:a="http://schemas.openxmlformats.org/drawingml/2006/main">
                        <a:graphicData uri="http://schemas.microsoft.com/office/word/2010/wordprocessingShape">
                          <wps:wsp>
                            <wps:cNvSpPr txBox="1"/>
                            <wps:spPr>
                              <a:xfrm>
                                <a:off x="0" y="0"/>
                                <a:ext cx="1924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7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617855" cy="175260"/>
                      <wp:effectExtent l="0" t="0" r="0" b="0"/>
                      <wp:wrapNone/>
                      <wp:docPr id="132" name="Frame132"/>
                      <a:graphic xmlns:a="http://schemas.openxmlformats.org/drawingml/2006/main">
                        <a:graphicData uri="http://schemas.microsoft.com/office/word/2010/wordprocessingShape">
                          <wps:wsp>
                            <wps:cNvSpPr txBox="1"/>
                            <wps:spPr>
                              <a:xfrm>
                                <a:off x="0" y="0"/>
                                <a:ext cx="6178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76200" cy="175260"/>
                      <wp:effectExtent l="0" t="0" r="0" b="0"/>
                      <wp:wrapNone/>
                      <wp:docPr id="133" name="Frame133"/>
                      <a:graphic xmlns:a="http://schemas.openxmlformats.org/drawingml/2006/main">
                        <a:graphicData uri="http://schemas.microsoft.com/office/word/2010/wordprocessingShape">
                          <wps:wsp>
                            <wps:cNvSpPr txBox="1"/>
                            <wps:spPr>
                              <a:xfrm>
                                <a:off x="0" y="0"/>
                                <a:ext cx="762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189865" cy="175260"/>
                      <wp:effectExtent l="0" t="0" r="0" b="0"/>
                      <wp:wrapNone/>
                      <wp:docPr id="134" name="Frame134"/>
                      <a:graphic xmlns:a="http://schemas.openxmlformats.org/drawingml/2006/main">
                        <a:graphicData uri="http://schemas.microsoft.com/office/word/2010/wordprocessingShape">
                          <wps:wsp>
                            <wps:cNvSpPr txBox="1"/>
                            <wps:spPr>
                              <a:xfrm>
                                <a:off x="0" y="0"/>
                                <a:ext cx="1898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648970" cy="175260"/>
                      <wp:effectExtent l="0" t="0" r="0" b="0"/>
                      <wp:wrapNone/>
                      <wp:docPr id="135" name="Frame135"/>
                      <a:graphic xmlns:a="http://schemas.openxmlformats.org/drawingml/2006/main">
                        <a:graphicData uri="http://schemas.microsoft.com/office/word/2010/wordprocessingShape">
                          <wps:wsp>
                            <wps:cNvSpPr txBox="1"/>
                            <wps:spPr>
                              <a:xfrm>
                                <a:off x="0" y="0"/>
                                <a:ext cx="6489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62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2717"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Helvetica" w:hAnsi="Helvetica"/>
                <w:b/>
                <w:sz w:val="16"/>
              </w:rPr>
            </w:pPr>
            <w:r>
              <w:rPr>
                <w:rFonts w:ascii="Helvetica" w:hAnsi="Helvetica"/>
                <w:b/>
                <w:sz w:val="16"/>
              </w:rPr>
              <w:t>Twenty-Six Weeks Ended</w:t>
            </w:r>
          </w:p>
        </w:tc>
      </w:tr>
      <w:tr>
        <w:trPr/>
        <w:tc>
          <w:tcPr>
            <w:tcW w:w="62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27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Helvetica" w:hAnsi="Helvetica"/>
                <w:b/>
                <w:sz w:val="16"/>
              </w:rPr>
            </w:pPr>
            <w:r>
              <w:rPr>
                <w:rFonts w:ascii="Helvetica" w:hAnsi="Helvetica"/>
                <w:b/>
                <w:sz w:val="16"/>
              </w:rPr>
              <w:t>August 1, 2026</w:t>
            </w:r>
          </w:p>
        </w:tc>
        <w:tc>
          <w:tcPr>
            <w:tcW w:w="120" w:type="dxa"/>
            <w:tcBorders/>
            <w:vAlign w:val="center"/>
          </w:tcPr>
          <w:p>
            <w:pPr>
              <w:pStyle w:val="TableContents"/>
              <w:bidi w:val="0"/>
              <w:spacing w:before="0" w:after="0"/>
              <w:ind w:left="0" w:right="0" w:hanging="0"/>
              <w:jc w:val="left"/>
              <w:rPr/>
            </w:pPr>
            <w:r>
              <w:rPr/>
              <w:t>​</w:t>
            </w:r>
          </w:p>
        </w:tc>
        <w:tc>
          <w:tcPr>
            <w:tcW w:w="132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Helvetica" w:hAnsi="Helvetica"/>
                <w:b/>
                <w:sz w:val="16"/>
              </w:rPr>
            </w:pPr>
            <w:r>
              <w:rPr>
                <w:rFonts w:ascii="Helvetica" w:hAnsi="Helvetica"/>
                <w:b/>
                <w:sz w:val="16"/>
              </w:rPr>
              <w:t>August 2, 2025</w:t>
            </w:r>
          </w:p>
        </w:tc>
      </w:tr>
      <w:tr>
        <w:trPr/>
        <w:tc>
          <w:tcPr>
            <w:tcW w:w="6211"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Cash paid for operating leases</w:t>
            </w:r>
          </w:p>
        </w:tc>
        <w:tc>
          <w:tcPr>
            <w:tcW w:w="346" w:type="dxa"/>
            <w:tcBorders/>
            <w:shd w:fill="CCEEFF" w:val="clear"/>
            <w:vAlign w:val="center"/>
          </w:tcPr>
          <w:p>
            <w:pPr>
              <w:pStyle w:val="TableContents"/>
              <w:bidi w:val="0"/>
              <w:spacing w:before="0" w:after="0"/>
              <w:ind w:left="0" w:right="0" w:hanging="0"/>
              <w:jc w:val="left"/>
              <w:rPr/>
            </w:pPr>
            <w:r>
              <w:rPr/>
              <w:t>  ​ ​ ​</w:t>
            </w:r>
          </w:p>
        </w:tc>
        <w:tc>
          <w:tcPr>
            <w:tcW w:w="303"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973"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31,990</w:t>
            </w:r>
          </w:p>
        </w:tc>
        <w:tc>
          <w:tcPr>
            <w:tcW w:w="120" w:type="dxa"/>
            <w:tcBorders/>
            <w:shd w:fill="CCEEFF" w:val="clear"/>
            <w:vAlign w:val="center"/>
          </w:tcPr>
          <w:p>
            <w:pPr>
              <w:pStyle w:val="TableContents"/>
              <w:bidi w:val="0"/>
              <w:spacing w:before="0" w:after="0"/>
              <w:ind w:left="0" w:right="0" w:hanging="0"/>
              <w:jc w:val="left"/>
              <w:rPr/>
            </w:pPr>
            <w:r>
              <w:rPr/>
              <w:t>​</w:t>
            </w:r>
          </w:p>
        </w:tc>
        <w:tc>
          <w:tcPr>
            <w:tcW w:w="299"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1022"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30,578</w:t>
            </w:r>
          </w:p>
        </w:tc>
      </w:tr>
      <w:tr>
        <w:trPr/>
        <w:tc>
          <w:tcPr>
            <w:tcW w:w="6211"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Right of use assets obtained in exchange for new operating lease liabilities</w:t>
            </w:r>
          </w:p>
        </w:tc>
        <w:tc>
          <w:tcPr>
            <w:tcW w:w="346" w:type="dxa"/>
            <w:tcBorders/>
            <w:vAlign w:val="center"/>
          </w:tcPr>
          <w:p>
            <w:pPr>
              <w:pStyle w:val="TableContents"/>
              <w:bidi w:val="0"/>
              <w:spacing w:before="0" w:after="0"/>
              <w:ind w:left="0" w:right="0" w:hanging="0"/>
              <w:jc w:val="left"/>
              <w:rPr/>
            </w:pPr>
            <w:r>
              <w:rPr/>
              <w:t>​</w:t>
            </w:r>
          </w:p>
        </w:tc>
        <w:tc>
          <w:tcPr>
            <w:tcW w:w="303"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973"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25,397</w:t>
            </w:r>
          </w:p>
        </w:tc>
        <w:tc>
          <w:tcPr>
            <w:tcW w:w="120" w:type="dxa"/>
            <w:tcBorders/>
            <w:vAlign w:val="center"/>
          </w:tcPr>
          <w:p>
            <w:pPr>
              <w:pStyle w:val="TableContents"/>
              <w:bidi w:val="0"/>
              <w:spacing w:before="0" w:after="0"/>
              <w:ind w:left="0" w:right="0" w:hanging="0"/>
              <w:jc w:val="left"/>
              <w:rPr/>
            </w:pPr>
            <w:r>
              <w:rPr/>
              <w:t>​</w:t>
            </w:r>
          </w:p>
        </w:tc>
        <w:tc>
          <w:tcPr>
            <w:tcW w:w="299"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1022"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26,675</w:t>
            </w:r>
          </w:p>
        </w:tc>
      </w:tr>
      <w:tr>
        <w:trPr/>
        <w:tc>
          <w:tcPr>
            <w:tcW w:w="621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03" w:type="dxa"/>
            <w:tcBorders/>
            <w:shd w:fill="CCEEFF" w:val="clear"/>
            <w:vAlign w:val="center"/>
          </w:tcPr>
          <w:p>
            <w:pPr>
              <w:pStyle w:val="TableContents"/>
              <w:bidi w:val="0"/>
              <w:spacing w:before="0" w:after="0"/>
              <w:ind w:left="0" w:right="0" w:hanging="0"/>
              <w:jc w:val="left"/>
              <w:rPr/>
            </w:pPr>
            <w:r>
              <w:rPr/>
              <w:t> </w:t>
            </w:r>
          </w:p>
        </w:tc>
        <w:tc>
          <w:tcPr>
            <w:tcW w:w="973" w:type="dxa"/>
            <w:tcBorders/>
            <w:shd w:fill="CCEEFF" w:val="clear"/>
            <w:vAlign w:val="center"/>
          </w:tcPr>
          <w:p>
            <w:pPr>
              <w:pStyle w:val="TableContents"/>
              <w:bidi w:val="0"/>
              <w:spacing w:before="0" w:after="0"/>
              <w:ind w:left="0" w:right="0" w:hanging="0"/>
              <w:jc w:val="left"/>
              <w:rPr/>
            </w:pPr>
            <w:r>
              <w:rPr/>
              <w:t>​</w:t>
            </w:r>
          </w:p>
        </w:tc>
        <w:tc>
          <w:tcPr>
            <w:tcW w:w="120" w:type="dxa"/>
            <w:tcBorders/>
            <w:shd w:fill="CCEEFF" w:val="clear"/>
            <w:vAlign w:val="center"/>
          </w:tcPr>
          <w:p>
            <w:pPr>
              <w:pStyle w:val="TableContents"/>
              <w:bidi w:val="0"/>
              <w:spacing w:before="0" w:after="0"/>
              <w:ind w:left="0" w:right="0" w:hanging="0"/>
              <w:jc w:val="left"/>
              <w:rPr/>
            </w:pPr>
            <w:r>
              <w:rPr/>
              <w:t>​</w:t>
            </w:r>
          </w:p>
        </w:tc>
        <w:tc>
          <w:tcPr>
            <w:tcW w:w="299" w:type="dxa"/>
            <w:tcBorders/>
            <w:shd w:fill="CCEEFF" w:val="clear"/>
            <w:vAlign w:val="center"/>
          </w:tcPr>
          <w:p>
            <w:pPr>
              <w:pStyle w:val="TableContents"/>
              <w:bidi w:val="0"/>
              <w:spacing w:before="0" w:after="0"/>
              <w:ind w:left="0" w:right="0" w:hanging="0"/>
              <w:jc w:val="left"/>
              <w:rPr/>
            </w:pPr>
            <w:r>
              <w:rPr/>
              <w:t> </w:t>
            </w:r>
          </w:p>
        </w:tc>
        <w:tc>
          <w:tcPr>
            <w:tcW w:w="1022" w:type="dxa"/>
            <w:tcBorders/>
            <w:shd w:fill="CCEEFF" w:val="clear"/>
            <w:vAlign w:val="center"/>
          </w:tcPr>
          <w:p>
            <w:pPr>
              <w:pStyle w:val="TableContents"/>
              <w:bidi w:val="0"/>
              <w:spacing w:before="0" w:after="0"/>
              <w:ind w:left="0" w:right="0" w:hanging="0"/>
              <w:jc w:val="left"/>
              <w:rPr/>
            </w:pPr>
            <w:r>
              <w:rPr/>
              <w:t>​</w:t>
            </w:r>
          </w:p>
        </w:tc>
      </w:tr>
      <w:tr>
        <w:trPr/>
        <w:tc>
          <w:tcPr>
            <w:tcW w:w="6211"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Weighted average remaining lease term (years) - operating leases</w:t>
            </w:r>
          </w:p>
        </w:tc>
        <w:tc>
          <w:tcPr>
            <w:tcW w:w="346" w:type="dxa"/>
            <w:tcBorders/>
            <w:vAlign w:val="center"/>
          </w:tcPr>
          <w:p>
            <w:pPr>
              <w:pStyle w:val="TableContents"/>
              <w:bidi w:val="0"/>
              <w:spacing w:before="0" w:after="0"/>
              <w:ind w:left="0" w:right="0" w:hanging="0"/>
              <w:jc w:val="left"/>
              <w:rPr/>
            </w:pPr>
            <w:r>
              <w:rPr/>
              <w:t>​</w:t>
            </w:r>
          </w:p>
        </w:tc>
        <w:tc>
          <w:tcPr>
            <w:tcW w:w="303" w:type="dxa"/>
            <w:tcBorders/>
            <w:vAlign w:val="center"/>
          </w:tcPr>
          <w:p>
            <w:pPr>
              <w:pStyle w:val="TableContents"/>
              <w:bidi w:val="0"/>
              <w:spacing w:before="0" w:after="0"/>
              <w:ind w:left="0" w:right="0" w:hanging="0"/>
              <w:jc w:val="left"/>
              <w:rPr/>
            </w:pPr>
            <w:r>
              <w:rPr/>
              <w:t> </w:t>
            </w:r>
          </w:p>
        </w:tc>
        <w:tc>
          <w:tcPr>
            <w:tcW w:w="973"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6.64</w:t>
            </w:r>
          </w:p>
        </w:tc>
        <w:tc>
          <w:tcPr>
            <w:tcW w:w="120" w:type="dxa"/>
            <w:tcBorders/>
            <w:vAlign w:val="center"/>
          </w:tcPr>
          <w:p>
            <w:pPr>
              <w:pStyle w:val="TableContents"/>
              <w:bidi w:val="0"/>
              <w:spacing w:before="0" w:after="0"/>
              <w:ind w:left="0" w:right="0" w:hanging="0"/>
              <w:jc w:val="left"/>
              <w:rPr/>
            </w:pPr>
            <w:r>
              <w:rPr/>
              <w:t>​</w:t>
            </w:r>
          </w:p>
        </w:tc>
        <w:tc>
          <w:tcPr>
            <w:tcW w:w="299" w:type="dxa"/>
            <w:tcBorders/>
            <w:vAlign w:val="center"/>
          </w:tcPr>
          <w:p>
            <w:pPr>
              <w:pStyle w:val="TableContents"/>
              <w:bidi w:val="0"/>
              <w:spacing w:before="0" w:after="0"/>
              <w:ind w:left="0" w:right="0" w:hanging="0"/>
              <w:jc w:val="left"/>
              <w:rPr/>
            </w:pPr>
            <w:r>
              <w:rPr/>
              <w:t> </w:t>
            </w:r>
          </w:p>
        </w:tc>
        <w:tc>
          <w:tcPr>
            <w:tcW w:w="1022"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6.99</w:t>
            </w:r>
          </w:p>
        </w:tc>
      </w:tr>
      <w:tr>
        <w:trPr/>
        <w:tc>
          <w:tcPr>
            <w:tcW w:w="6211"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Weighted average discount rate - operating leases</w:t>
            </w:r>
          </w:p>
        </w:tc>
        <w:tc>
          <w:tcPr>
            <w:tcW w:w="346" w:type="dxa"/>
            <w:tcBorders/>
            <w:shd w:fill="CCEEFF" w:val="clear"/>
            <w:vAlign w:val="center"/>
          </w:tcPr>
          <w:p>
            <w:pPr>
              <w:pStyle w:val="TableContents"/>
              <w:bidi w:val="0"/>
              <w:spacing w:before="0" w:after="0"/>
              <w:ind w:left="0" w:right="0" w:hanging="0"/>
              <w:jc w:val="left"/>
              <w:rPr/>
            </w:pPr>
            <w:r>
              <w:rPr/>
              <w:t>​</w:t>
            </w:r>
          </w:p>
        </w:tc>
        <w:tc>
          <w:tcPr>
            <w:tcW w:w="303" w:type="dxa"/>
            <w:tcBorders/>
            <w:shd w:fill="CCEEFF" w:val="clear"/>
            <w:vAlign w:val="center"/>
          </w:tcPr>
          <w:p>
            <w:pPr>
              <w:pStyle w:val="TableContents"/>
              <w:bidi w:val="0"/>
              <w:spacing w:before="0" w:after="0"/>
              <w:ind w:left="0" w:right="0" w:hanging="0"/>
              <w:jc w:val="left"/>
              <w:rPr/>
            </w:pPr>
            <w:r>
              <w:rPr/>
              <w:t>​</w:t>
            </w:r>
          </w:p>
        </w:tc>
        <w:tc>
          <w:tcPr>
            <w:tcW w:w="973"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6.28%</w:t>
            </w:r>
          </w:p>
        </w:tc>
        <w:tc>
          <w:tcPr>
            <w:tcW w:w="120" w:type="dxa"/>
            <w:tcBorders/>
            <w:shd w:fill="CCEEFF" w:val="clear"/>
            <w:vAlign w:val="center"/>
          </w:tcPr>
          <w:p>
            <w:pPr>
              <w:pStyle w:val="TableContents"/>
              <w:bidi w:val="0"/>
              <w:spacing w:before="0" w:after="0"/>
              <w:ind w:left="0" w:right="0" w:hanging="0"/>
              <w:jc w:val="left"/>
              <w:rPr/>
            </w:pPr>
            <w:r>
              <w:rPr/>
              <w:t>​</w:t>
            </w:r>
          </w:p>
        </w:tc>
        <w:tc>
          <w:tcPr>
            <w:tcW w:w="299" w:type="dxa"/>
            <w:tcBorders/>
            <w:shd w:fill="CCEEFF" w:val="clear"/>
            <w:vAlign w:val="center"/>
          </w:tcPr>
          <w:p>
            <w:pPr>
              <w:pStyle w:val="TableContents"/>
              <w:bidi w:val="0"/>
              <w:spacing w:before="0" w:after="0"/>
              <w:ind w:left="0" w:right="0" w:hanging="0"/>
              <w:jc w:val="left"/>
              <w:rPr/>
            </w:pPr>
            <w:r>
              <w:rPr/>
              <w:t>​</w:t>
            </w:r>
          </w:p>
        </w:tc>
        <w:tc>
          <w:tcPr>
            <w:tcW w:w="1022" w:type="dxa"/>
            <w:tcBorders/>
            <w:shd w:fill="CCEEFF" w:val="clear"/>
            <w:vAlign w:val="center"/>
          </w:tcPr>
          <w:p>
            <w:pPr>
              <w:pStyle w:val="TableContents"/>
              <w:bidi w:val="0"/>
              <w:spacing w:before="0" w:after="0"/>
              <w:ind w:left="0" w:right="60" w:hanging="0"/>
              <w:jc w:val="right"/>
              <w:rPr>
                <w:rFonts w:ascii="Arial;Helvetica;sans-serif" w:hAnsi="Arial;Helvetica;sans-serif"/>
                <w:sz w:val="18"/>
              </w:rPr>
            </w:pPr>
            <w:r>
              <w:rPr>
                <w:rFonts w:ascii="Arial;Helvetica;sans-serif" w:hAnsi="Arial;Helvetica;sans-serif"/>
                <w:sz w:val="18"/>
              </w:rPr>
              <w:t>5.87%</w:t>
            </w:r>
          </w:p>
        </w:tc>
      </w:tr>
    </w:tbl>
    <w:p>
      <w:pPr>
        <w:pStyle w:val="TextBody"/>
        <w:bidi w:val="0"/>
        <w:spacing w:before="0" w:after="53"/>
        <w:ind w:left="0" w:right="0" w:hanging="0"/>
        <w:jc w:val="left"/>
        <w:rPr/>
      </w:pPr>
      <w:r>
        <w:rPr/>
        <w:t>​</w:t>
      </w:r>
    </w:p>
    <w:p>
      <w:pPr>
        <w:pStyle w:val="TextBody"/>
        <w:bidi w:val="0"/>
        <w:spacing w:before="0" w:after="53"/>
        <w:ind w:left="0" w:right="0" w:hanging="0"/>
        <w:jc w:val="left"/>
        <w:rPr/>
      </w:pPr>
      <w:r>
        <w:rPr/>
        <w:t>​</w:t>
      </w:r>
    </w:p>
    <w:p>
      <w:pPr>
        <w:pStyle w:val="TextBody"/>
        <w:bidi w:val="0"/>
        <w:spacing w:before="0" w:after="53"/>
        <w:ind w:left="0" w:right="0" w:hanging="0"/>
        <w:jc w:val="left"/>
        <w:rPr/>
      </w:pPr>
      <w:r>
        <w:rPr/>
        <w:t>​</w:t>
      </w:r>
    </w:p>
    <w:p>
      <w:pPr>
        <w:pStyle w:val="TextBody"/>
        <w:bidi w:val="0"/>
        <w:spacing w:before="0" w:after="53"/>
        <w:ind w:left="0" w:right="0" w:hanging="0"/>
        <w:jc w:val="left"/>
        <w:rPr/>
      </w:pPr>
      <w:r>
        <w:rPr/>
        <w:t>​</w:t>
      </w:r>
    </w:p>
    <w:p>
      <w:pPr>
        <w:pStyle w:val="TextBody"/>
        <w:bidi w:val="0"/>
        <w:spacing w:before="0" w:after="53"/>
        <w:ind w:left="0" w:right="0" w:hanging="0"/>
        <w:jc w:val="left"/>
        <w:rPr/>
      </w:pPr>
      <w:r>
        <w:rPr/>
        <w:t>​</w:t>
      </w:r>
    </w:p>
    <w:p>
      <w:pPr>
        <w:pStyle w:val="TextBody"/>
        <w:bidi w:val="0"/>
        <w:spacing w:before="0" w:after="53"/>
        <w:ind w:left="0" w:right="0" w:hanging="0"/>
        <w:jc w:val="left"/>
        <w:rPr/>
      </w:pPr>
      <w:r>
        <w:rPr/>
        <w:t>​</w:t>
      </w:r>
    </w:p>
    <w:p>
      <w:pPr>
        <w:pStyle w:val="TextBody"/>
        <w:bidi w:val="0"/>
        <w:spacing w:lineRule="auto" w:line="307" w:before="0" w:after="240"/>
        <w:ind w:left="0" w:right="0" w:hanging="0"/>
        <w:jc w:val="left"/>
        <w:rPr>
          <w:rFonts w:ascii="Helvetica" w:hAnsi="Helvetica"/>
          <w:sz w:val="18"/>
        </w:rPr>
      </w:pPr>
      <w:bookmarkStart w:id="921" w:name="Tc_qhqPYjibhEmxjXKuj353tA_20_10"/>
      <w:bookmarkStart w:id="922" w:name="Tc_BTagguT7lEOxDQph5beCUA_20_7"/>
      <w:bookmarkStart w:id="923" w:name="Tc_vW7wl8qOJECHGzkEzndGRQ_20_4"/>
      <w:bookmarkStart w:id="924" w:name="Tc_XbSqeijHrkmOt6uoIhkczw_20_1"/>
      <w:bookmarkStart w:id="925" w:name="Tc_q66rc3LsW0SyDPHL-E-ZMQ_20_0"/>
      <w:bookmarkStart w:id="926" w:name="Tc_j6x1n1NUYUyKY9Qtf0J02w_19_11"/>
      <w:bookmarkStart w:id="927" w:name="Tc_wR9wp6pXT0i3tZjHEK8lsw_19_5"/>
      <w:bookmarkStart w:id="928" w:name="Tc_Hn1L-P2uEkCSVHuNBfHwuw_19_0"/>
      <w:bookmarkStart w:id="929" w:name="Tc_kQj4zUOmWkOtOWaCuOvCng_18_0"/>
      <w:bookmarkStart w:id="930" w:name="Tc_07JC3hIm-k-FO44Dw7WDhQ_17_0"/>
      <w:bookmarkStart w:id="931" w:name="Tc_ezpWImBOZUGqIE8FIJjGhw_16_8"/>
      <w:bookmarkStart w:id="932" w:name="Tc_DvqmSKcJVUqZg4oi9j1BJg_16_2"/>
      <w:bookmarkStart w:id="933" w:name="Tc_CK9eZvEh5EaLbE-o95Q5VQ_16_0"/>
      <w:bookmarkStart w:id="934" w:name="Tc_s4tkDzJAGUWo3U7osAa99Q_15_0"/>
      <w:bookmarkStart w:id="935" w:name="Tc_JxEAivhCKU6SLyvN7eHi3Q_14_11"/>
      <w:bookmarkStart w:id="936" w:name="Tc_oAe0eqPJu0iEW07TP0PYcg_14_5"/>
      <w:bookmarkStart w:id="937" w:name="Tc_XZyMD84eT0iMd6PdfRJLgw_14_0"/>
      <w:bookmarkStart w:id="938" w:name="Tc_z2IvCmif5Eu-2b3zwPIJ_A_13_8"/>
      <w:bookmarkStart w:id="939" w:name="Tc_jm1aJNmLh0ytsvZCQFkTOw_13_2"/>
      <w:bookmarkStart w:id="940" w:name="Tc_1Hqscfc9CEyLUFrriiH5QA_13_0"/>
      <w:bookmarkStart w:id="941" w:name="Tc_stKOkILWmUq4i-WsVDsAgg_12_0"/>
      <w:bookmarkStart w:id="942" w:name="Tc_Phx73jK8mEyJcn5T1k5xbg_11_0"/>
      <w:bookmarkStart w:id="943" w:name="Tc_BGwpBQQRzEOpij2EBVqdUQ_10_0"/>
      <w:bookmarkStart w:id="944" w:name="Tc_CadFltkMtkOJLf0q9gC9Xw_9_0"/>
      <w:bookmarkStart w:id="945" w:name="Tc_L9O_v980bUSqtJo71_wspg_8_0"/>
      <w:bookmarkStart w:id="946" w:name="Tc_g4zyJhe4eEOrV4X0pQxQTw_7_0"/>
      <w:bookmarkStart w:id="947" w:name="Tc_HntS7zCmUEqEIO0z1ABQIg_6_0"/>
      <w:bookmarkStart w:id="948" w:name="Tc_nibhdGp2ik2lnZ34Ew0_wg_5_0"/>
      <w:bookmarkStart w:id="949" w:name="Tc_cvfaCLF1ekOvN4oj8CREmA_4_0"/>
      <w:bookmarkStart w:id="950" w:name="Tc_qsCj649Lj0qTsHF8vl672w_3_10"/>
      <w:bookmarkStart w:id="951" w:name="Tc_YOnR7neQhkWfGHKiXRCDXg_3_7"/>
      <w:bookmarkStart w:id="952" w:name="Tc_mV-2-c7uykWE1wWD6-Ka_Q_3_4"/>
      <w:bookmarkStart w:id="953" w:name="Tc_poX-_DGB40qUpanVvXj8Zg_3_1"/>
      <w:bookmarkStart w:id="954" w:name="Tc_KCBAyXNuO02Yj0A0jx-3tw_3_0"/>
      <w:bookmarkStart w:id="955" w:name="Tc_GmRN3ULoYkWoH_qHB4dZcA_2_10"/>
      <w:bookmarkStart w:id="956" w:name="Tc_A7YcDR8S_keTh03MN3ny7w_2_7"/>
      <w:bookmarkStart w:id="957" w:name="Tc_0CdwX2NLDEijLxYMAB6WNw_2_4"/>
      <w:bookmarkStart w:id="958" w:name="Tc_adv5Sbe1AUGYlsl32byaWg_2_1"/>
      <w:bookmarkStart w:id="959" w:name="Tc_16poObkNgUW6aPHGCX1xiw_1_7"/>
      <w:bookmarkStart w:id="960" w:name="Tc_f5L3xzhglUmc6Ik4U1dN3A_1_1"/>
      <w:bookmarkStart w:id="961" w:name="_be2c99e7_82f5_44a5_95fa_3f4ad76175d8"/>
      <w:bookmarkEnd w:id="921"/>
      <w:bookmarkEnd w:id="922"/>
      <w:bookmarkEnd w:id="923"/>
      <w:bookmarkEnd w:id="924"/>
      <w:bookmarkEnd w:id="925"/>
      <w:bookmarkEnd w:id="926"/>
      <w:bookmarkEnd w:id="927"/>
      <w:bookmarkEnd w:id="928"/>
      <w:bookmarkEnd w:id="929"/>
      <w:bookmarkEnd w:id="930"/>
      <w:bookmarkEnd w:id="931"/>
      <w:bookmarkEnd w:id="932"/>
      <w:bookmarkEnd w:id="933"/>
      <w:bookmarkEnd w:id="934"/>
      <w:bookmarkEnd w:id="935"/>
      <w:bookmarkEnd w:id="936"/>
      <w:bookmarkEnd w:id="937"/>
      <w:bookmarkEnd w:id="938"/>
      <w:bookmarkEnd w:id="939"/>
      <w:bookmarkEnd w:id="940"/>
      <w:bookmarkEnd w:id="941"/>
      <w:bookmarkEnd w:id="942"/>
      <w:bookmarkEnd w:id="943"/>
      <w:bookmarkEnd w:id="944"/>
      <w:bookmarkEnd w:id="945"/>
      <w:bookmarkEnd w:id="946"/>
      <w:bookmarkEnd w:id="947"/>
      <w:bookmarkEnd w:id="948"/>
      <w:bookmarkEnd w:id="949"/>
      <w:bookmarkEnd w:id="950"/>
      <w:bookmarkEnd w:id="951"/>
      <w:bookmarkEnd w:id="952"/>
      <w:bookmarkEnd w:id="953"/>
      <w:bookmarkEnd w:id="954"/>
      <w:bookmarkEnd w:id="955"/>
      <w:bookmarkEnd w:id="956"/>
      <w:bookmarkEnd w:id="957"/>
      <w:bookmarkEnd w:id="958"/>
      <w:bookmarkEnd w:id="959"/>
      <w:bookmarkEnd w:id="960"/>
      <w:bookmarkEnd w:id="961"/>
      <w:r>
        <w:rPr>
          <w:rFonts w:ascii="Helvetica" w:hAnsi="Helvetica"/>
          <w:sz w:val="18"/>
        </w:rPr>
        <w:t>12. Segment Reporting</w:t>
      </w:r>
    </w:p>
    <w:p>
      <w:pPr>
        <w:pStyle w:val="TextBody"/>
        <w:bidi w:val="0"/>
        <w:spacing w:lineRule="auto" w:line="307" w:before="0" w:after="240"/>
        <w:ind w:left="0" w:right="0" w:hanging="0"/>
        <w:jc w:val="left"/>
        <w:rPr>
          <w:rFonts w:ascii="Helvetica" w:hAnsi="Helvetica"/>
          <w:sz w:val="18"/>
        </w:rPr>
      </w:pPr>
      <w:r>
        <w:rPr>
          <w:rFonts w:ascii="Helvetica" w:hAnsi="Helvetica"/>
          <w:sz w:val="18"/>
        </w:rPr>
        <w:t>The Company is a leading off-price value retailer of fashion apparel, accessories and home trends primarily for Black families. The retail operations represent a single operating segment based on the way the Company manages its business. The Company’s Chief Executive Officer, as our chief operating decision maker (“CODM”), manages and allocates resources to the operations of the Company on a consolidated basis. This enables the Chief Executive Officer to assess the Company’s overall level of available resources and determine how best to deploy these resources across retail stores that are in line with the Company’s long-term company-wide strategic goals. The Company’s retail stores sell similar products, use similar processes to sell those products, and sell their products to similar classes of customers. All sales and assets are located within the United States. The CODM assesses performance based on consolidated net (loss) income that is reported on the statement of operations as part of the annual budgeting and forecasting process. The CODM considers budget-to-actual variances on a monthly basis when making decisions about allocating capital and personnel. The CODM does not review assets in evaluating results, therefore such information is not provided.</w:t>
      </w:r>
    </w:p>
    <w:p>
      <w:pPr>
        <w:pStyle w:val="TextBody"/>
        <w:bidi w:val="0"/>
        <w:spacing w:lineRule="auto" w:line="307" w:before="0" w:after="240"/>
        <w:ind w:left="0" w:right="0" w:hanging="0"/>
        <w:jc w:val="left"/>
        <w:rPr>
          <w:rFonts w:ascii="Times New Roman;Times;serif" w:hAnsi="Times New Roman;Times;serif"/>
          <w:sz w:val="18"/>
        </w:rPr>
      </w:pPr>
      <w:r>
        <w:rPr>
          <w:rFonts w:ascii="Helvetica" w:hAnsi="Helvetica"/>
          <w:sz w:val="18"/>
        </w:rPr>
        <w:t>The following table summarizes the Company’s one</w:t>
      </w:r>
      <w:r>
        <w:rPr>
          <w:rFonts w:ascii="Times New Roman;Times;serif" w:hAnsi="Times New Roman;Times;serif"/>
          <w:sz w:val="18"/>
        </w:rPr>
        <w:t xml:space="preserve"> </w:t>
      </w:r>
      <w:r>
        <w:rPr>
          <w:rFonts w:ascii="Helvetica" w:hAnsi="Helvetica"/>
          <w:sz w:val="18"/>
        </w:rPr>
        <w:t xml:space="preserve">reportable segment profit or loss, including significant segment expenses, and includes the reconciliation to consolidated net (loss) income (in thousands): </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4729"/>
        <w:gridCol w:w="255"/>
        <w:gridCol w:w="1021"/>
        <w:gridCol w:w="109"/>
        <w:gridCol w:w="255"/>
        <w:gridCol w:w="1021"/>
        <w:gridCol w:w="109"/>
        <w:gridCol w:w="255"/>
        <w:gridCol w:w="1021"/>
        <w:gridCol w:w="109"/>
        <w:gridCol w:w="254"/>
        <w:gridCol w:w="1067"/>
      </w:tblGrid>
      <w:tr>
        <w:trPr/>
        <w:tc>
          <w:tcPr>
            <w:tcW w:w="472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3002915" cy="175260"/>
                      <wp:effectExtent l="0" t="0" r="0" b="0"/>
                      <wp:wrapNone/>
                      <wp:docPr id="136" name="Frame136"/>
                      <a:graphic xmlns:a="http://schemas.openxmlformats.org/drawingml/2006/main">
                        <a:graphicData uri="http://schemas.microsoft.com/office/word/2010/wordprocessingShape">
                          <wps:wsp>
                            <wps:cNvSpPr txBox="1"/>
                            <wps:spPr>
                              <a:xfrm>
                                <a:off x="0" y="0"/>
                                <a:ext cx="30029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6.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161925" cy="175260"/>
                      <wp:effectExtent l="0" t="0" r="0" b="0"/>
                      <wp:wrapNone/>
                      <wp:docPr id="137" name="Frame137"/>
                      <a:graphic xmlns:a="http://schemas.openxmlformats.org/drawingml/2006/main">
                        <a:graphicData uri="http://schemas.microsoft.com/office/word/2010/wordprocessingShape">
                          <wps:wsp>
                            <wps:cNvSpPr txBox="1"/>
                            <wps:spPr>
                              <a:xfrm>
                                <a:off x="0" y="0"/>
                                <a:ext cx="1619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648335" cy="175260"/>
                      <wp:effectExtent l="0" t="0" r="0" b="0"/>
                      <wp:wrapNone/>
                      <wp:docPr id="138" name="Frame138"/>
                      <a:graphic xmlns:a="http://schemas.openxmlformats.org/drawingml/2006/main">
                        <a:graphicData uri="http://schemas.microsoft.com/office/word/2010/wordprocessingShape">
                          <wps:wsp>
                            <wps:cNvSpPr txBox="1"/>
                            <wps:spPr>
                              <a:xfrm>
                                <a:off x="0" y="0"/>
                                <a:ext cx="648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69215" cy="175260"/>
                      <wp:effectExtent l="0" t="0" r="0" b="0"/>
                      <wp:wrapNone/>
                      <wp:docPr id="139" name="Frame13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161925" cy="175260"/>
                      <wp:effectExtent l="0" t="0" r="0" b="0"/>
                      <wp:wrapNone/>
                      <wp:docPr id="140" name="Frame140"/>
                      <a:graphic xmlns:a="http://schemas.openxmlformats.org/drawingml/2006/main">
                        <a:graphicData uri="http://schemas.microsoft.com/office/word/2010/wordprocessingShape">
                          <wps:wsp>
                            <wps:cNvSpPr txBox="1"/>
                            <wps:spPr>
                              <a:xfrm>
                                <a:off x="0" y="0"/>
                                <a:ext cx="1619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648335" cy="175260"/>
                      <wp:effectExtent l="0" t="0" r="0" b="0"/>
                      <wp:wrapNone/>
                      <wp:docPr id="141" name="Frame141"/>
                      <a:graphic xmlns:a="http://schemas.openxmlformats.org/drawingml/2006/main">
                        <a:graphicData uri="http://schemas.microsoft.com/office/word/2010/wordprocessingShape">
                          <wps:wsp>
                            <wps:cNvSpPr txBox="1"/>
                            <wps:spPr>
                              <a:xfrm>
                                <a:off x="0" y="0"/>
                                <a:ext cx="648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69215" cy="175260"/>
                      <wp:effectExtent l="0" t="0" r="0" b="0"/>
                      <wp:wrapNone/>
                      <wp:docPr id="142" name="Frame14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161925" cy="175260"/>
                      <wp:effectExtent l="0" t="0" r="0" b="0"/>
                      <wp:wrapNone/>
                      <wp:docPr id="143" name="Frame143"/>
                      <a:graphic xmlns:a="http://schemas.openxmlformats.org/drawingml/2006/main">
                        <a:graphicData uri="http://schemas.microsoft.com/office/word/2010/wordprocessingShape">
                          <wps:wsp>
                            <wps:cNvSpPr txBox="1"/>
                            <wps:spPr>
                              <a:xfrm>
                                <a:off x="0" y="0"/>
                                <a:ext cx="1619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648335" cy="175260"/>
                      <wp:effectExtent l="0" t="0" r="0" b="0"/>
                      <wp:wrapNone/>
                      <wp:docPr id="144" name="Frame144"/>
                      <a:graphic xmlns:a="http://schemas.openxmlformats.org/drawingml/2006/main">
                        <a:graphicData uri="http://schemas.microsoft.com/office/word/2010/wordprocessingShape">
                          <wps:wsp>
                            <wps:cNvSpPr txBox="1"/>
                            <wps:spPr>
                              <a:xfrm>
                                <a:off x="0" y="0"/>
                                <a:ext cx="648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69215" cy="175260"/>
                      <wp:effectExtent l="0" t="0" r="0" b="0"/>
                      <wp:wrapNone/>
                      <wp:docPr id="145" name="Frame14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161290" cy="175260"/>
                      <wp:effectExtent l="0" t="0" r="0" b="0"/>
                      <wp:wrapNone/>
                      <wp:docPr id="146" name="Frame146"/>
                      <a:graphic xmlns:a="http://schemas.openxmlformats.org/drawingml/2006/main">
                        <a:graphicData uri="http://schemas.microsoft.com/office/word/2010/wordprocessingShape">
                          <wps:wsp>
                            <wps:cNvSpPr txBox="1"/>
                            <wps:spPr>
                              <a:xfrm>
                                <a:off x="0" y="0"/>
                                <a:ext cx="1612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677545" cy="175260"/>
                      <wp:effectExtent l="0" t="0" r="0" b="0"/>
                      <wp:wrapNone/>
                      <wp:docPr id="147" name="Frame147"/>
                      <a:graphic xmlns:a="http://schemas.openxmlformats.org/drawingml/2006/main">
                        <a:graphicData uri="http://schemas.microsoft.com/office/word/2010/wordprocessingShape">
                          <wps:wsp>
                            <wps:cNvSpPr txBox="1"/>
                            <wps:spPr>
                              <a:xfrm>
                                <a:off x="0" y="0"/>
                                <a:ext cx="6775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729" w:type="dxa"/>
            <w:tcBorders/>
            <w:vAlign w:val="center"/>
          </w:tcPr>
          <w:p>
            <w:pPr>
              <w:pStyle w:val="TableContents"/>
              <w:bidi w:val="0"/>
              <w:spacing w:before="0" w:after="0"/>
              <w:ind w:left="0" w:right="0" w:hanging="0"/>
              <w:jc w:val="left"/>
              <w:rPr/>
            </w:pPr>
            <w:r>
              <w:rPr/>
              <w:t>​</w:t>
            </w:r>
          </w:p>
        </w:tc>
        <w:tc>
          <w:tcPr>
            <w:tcW w:w="2661"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Thirteen Weeks Ended</w:t>
            </w:r>
          </w:p>
        </w:tc>
        <w:tc>
          <w:tcPr>
            <w:tcW w:w="109" w:type="dxa"/>
            <w:tcBorders/>
            <w:vAlign w:val="center"/>
          </w:tcPr>
          <w:p>
            <w:pPr>
              <w:pStyle w:val="TableContents"/>
              <w:bidi w:val="0"/>
              <w:spacing w:before="0" w:after="0"/>
              <w:ind w:left="0" w:right="0" w:hanging="0"/>
              <w:jc w:val="left"/>
              <w:rPr/>
            </w:pPr>
            <w:r>
              <w:rPr/>
              <w:t>​</w:t>
            </w:r>
          </w:p>
        </w:tc>
        <w:tc>
          <w:tcPr>
            <w:tcW w:w="2706"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Twenty-Six Weeks Ended</w:t>
            </w:r>
          </w:p>
        </w:tc>
      </w:tr>
      <w:tr>
        <w:trPr/>
        <w:tc>
          <w:tcPr>
            <w:tcW w:w="4729" w:type="dxa"/>
            <w:tcBorders/>
            <w:vAlign w:val="center"/>
          </w:tcPr>
          <w:p>
            <w:pPr>
              <w:pStyle w:val="TableContents"/>
              <w:bidi w:val="0"/>
              <w:spacing w:before="0" w:after="0"/>
              <w:ind w:left="0" w:right="0" w:hanging="0"/>
              <w:jc w:val="left"/>
              <w:rPr/>
            </w:pPr>
            <w:r>
              <w:rPr/>
              <w:t>​</w:t>
            </w:r>
          </w:p>
        </w:tc>
        <w:tc>
          <w:tcPr>
            <w:tcW w:w="127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August 1, 2026</w:t>
            </w:r>
          </w:p>
        </w:tc>
        <w:tc>
          <w:tcPr>
            <w:tcW w:w="109" w:type="dxa"/>
            <w:tcBorders/>
            <w:vAlign w:val="center"/>
          </w:tcPr>
          <w:p>
            <w:pPr>
              <w:pStyle w:val="TableContents"/>
              <w:bidi w:val="0"/>
              <w:spacing w:before="0" w:after="0"/>
              <w:ind w:left="0" w:right="0" w:hanging="0"/>
              <w:jc w:val="left"/>
              <w:rPr/>
            </w:pPr>
            <w:r>
              <w:rPr/>
              <w:t>​</w:t>
            </w:r>
          </w:p>
        </w:tc>
        <w:tc>
          <w:tcPr>
            <w:tcW w:w="127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August 2, 2025</w:t>
            </w:r>
          </w:p>
        </w:tc>
        <w:tc>
          <w:tcPr>
            <w:tcW w:w="109" w:type="dxa"/>
            <w:tcBorders/>
            <w:vAlign w:val="center"/>
          </w:tcPr>
          <w:p>
            <w:pPr>
              <w:pStyle w:val="TableContents"/>
              <w:bidi w:val="0"/>
              <w:spacing w:before="0" w:after="0"/>
              <w:ind w:left="0" w:right="0" w:hanging="0"/>
              <w:jc w:val="left"/>
              <w:rPr/>
            </w:pPr>
            <w:r>
              <w:rPr/>
              <w:t>​</w:t>
            </w:r>
          </w:p>
        </w:tc>
        <w:tc>
          <w:tcPr>
            <w:tcW w:w="127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August 1, 2026</w:t>
            </w:r>
          </w:p>
        </w:tc>
        <w:tc>
          <w:tcPr>
            <w:tcW w:w="109" w:type="dxa"/>
            <w:tcBorders/>
            <w:vAlign w:val="center"/>
          </w:tcPr>
          <w:p>
            <w:pPr>
              <w:pStyle w:val="TableContents"/>
              <w:bidi w:val="0"/>
              <w:spacing w:before="0" w:after="0"/>
              <w:ind w:left="0" w:right="0" w:hanging="0"/>
              <w:jc w:val="left"/>
              <w:rPr/>
            </w:pPr>
            <w:r>
              <w:rPr/>
              <w:t>​</w:t>
            </w:r>
          </w:p>
        </w:tc>
        <w:tc>
          <w:tcPr>
            <w:tcW w:w="132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August 2, 2025</w:t>
            </w:r>
          </w:p>
        </w:tc>
      </w:tr>
      <w:tr>
        <w:trPr/>
        <w:tc>
          <w:tcPr>
            <w:tcW w:w="4729"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Net sales</w:t>
            </w:r>
          </w:p>
        </w:tc>
        <w:tc>
          <w:tcPr>
            <w:tcW w:w="255"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1021"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211,632</w:t>
            </w:r>
          </w:p>
        </w:tc>
        <w:tc>
          <w:tcPr>
            <w:tcW w:w="109" w:type="dxa"/>
            <w:tcBorders/>
            <w:shd w:fill="CCEEFF" w:val="clear"/>
            <w:vAlign w:val="center"/>
          </w:tcPr>
          <w:p>
            <w:pPr>
              <w:pStyle w:val="TableContents"/>
              <w:bidi w:val="0"/>
              <w:spacing w:before="0" w:after="0"/>
              <w:ind w:left="0" w:right="0" w:hanging="0"/>
              <w:jc w:val="left"/>
              <w:rPr/>
            </w:pPr>
            <w:r>
              <w:rPr/>
              <w:t>​</w:t>
            </w:r>
          </w:p>
        </w:tc>
        <w:tc>
          <w:tcPr>
            <w:tcW w:w="255"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1021"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190,750</w:t>
            </w:r>
          </w:p>
        </w:tc>
        <w:tc>
          <w:tcPr>
            <w:tcW w:w="109" w:type="dxa"/>
            <w:tcBorders/>
            <w:shd w:fill="CCEEFF" w:val="clear"/>
            <w:vAlign w:val="center"/>
          </w:tcPr>
          <w:p>
            <w:pPr>
              <w:pStyle w:val="TableContents"/>
              <w:bidi w:val="0"/>
              <w:spacing w:before="0" w:after="0"/>
              <w:ind w:left="0" w:right="0" w:hanging="0"/>
              <w:jc w:val="left"/>
              <w:rPr/>
            </w:pPr>
            <w:r>
              <w:rPr/>
              <w:t>​</w:t>
            </w:r>
          </w:p>
        </w:tc>
        <w:tc>
          <w:tcPr>
            <w:tcW w:w="255"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1021"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442,490</w:t>
            </w:r>
          </w:p>
        </w:tc>
        <w:tc>
          <w:tcPr>
            <w:tcW w:w="109" w:type="dxa"/>
            <w:tcBorders/>
            <w:shd w:fill="CCEEFF" w:val="clear"/>
            <w:vAlign w:val="center"/>
          </w:tcPr>
          <w:p>
            <w:pPr>
              <w:pStyle w:val="TableContents"/>
              <w:bidi w:val="0"/>
              <w:spacing w:before="0" w:after="0"/>
              <w:ind w:left="0" w:right="0" w:hanging="0"/>
              <w:jc w:val="left"/>
              <w:rPr/>
            </w:pPr>
            <w:r>
              <w:rPr/>
              <w:t>​</w:t>
            </w:r>
          </w:p>
        </w:tc>
        <w:tc>
          <w:tcPr>
            <w:tcW w:w="254"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1067"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392,478</w:t>
            </w:r>
          </w:p>
        </w:tc>
      </w:tr>
      <w:tr>
        <w:trPr/>
        <w:tc>
          <w:tcPr>
            <w:tcW w:w="4729"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Cost of sales (exclusive of depreciation shown separately below)</w:t>
            </w:r>
          </w:p>
        </w:tc>
        <w:tc>
          <w:tcPr>
            <w:tcW w:w="255" w:type="dxa"/>
            <w:tcBorders/>
            <w:vAlign w:val="center"/>
          </w:tcPr>
          <w:p>
            <w:pPr>
              <w:pStyle w:val="TableContents"/>
              <w:bidi w:val="0"/>
              <w:spacing w:before="0" w:after="0"/>
              <w:ind w:left="0" w:right="0" w:hanging="0"/>
              <w:jc w:val="left"/>
              <w:rPr/>
            </w:pPr>
            <w:r>
              <w:rPr/>
              <w:t>​</w:t>
            </w:r>
          </w:p>
        </w:tc>
        <w:tc>
          <w:tcPr>
            <w:tcW w:w="102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55" w:type="dxa"/>
            <w:tcBorders/>
            <w:vAlign w:val="center"/>
          </w:tcPr>
          <w:p>
            <w:pPr>
              <w:pStyle w:val="TableContents"/>
              <w:bidi w:val="0"/>
              <w:spacing w:before="0" w:after="0"/>
              <w:ind w:left="0" w:right="0" w:hanging="0"/>
              <w:jc w:val="left"/>
              <w:rPr/>
            </w:pPr>
            <w:r>
              <w:rPr/>
              <w:t>​</w:t>
            </w:r>
          </w:p>
        </w:tc>
        <w:tc>
          <w:tcPr>
            <w:tcW w:w="102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55" w:type="dxa"/>
            <w:tcBorders/>
            <w:vAlign w:val="center"/>
          </w:tcPr>
          <w:p>
            <w:pPr>
              <w:pStyle w:val="TableContents"/>
              <w:bidi w:val="0"/>
              <w:spacing w:before="0" w:after="0"/>
              <w:ind w:left="0" w:right="0" w:hanging="0"/>
              <w:jc w:val="left"/>
              <w:rPr/>
            </w:pPr>
            <w:r>
              <w:rPr/>
              <w:t>​</w:t>
            </w:r>
          </w:p>
        </w:tc>
        <w:tc>
          <w:tcPr>
            <w:tcW w:w="102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54" w:type="dxa"/>
            <w:tcBorders/>
            <w:vAlign w:val="center"/>
          </w:tcPr>
          <w:p>
            <w:pPr>
              <w:pStyle w:val="TableContents"/>
              <w:bidi w:val="0"/>
              <w:spacing w:before="0" w:after="0"/>
              <w:ind w:left="0" w:right="0" w:hanging="0"/>
              <w:jc w:val="left"/>
              <w:rPr/>
            </w:pPr>
            <w:r>
              <w:rPr/>
              <w:t>​</w:t>
            </w:r>
          </w:p>
        </w:tc>
        <w:tc>
          <w:tcPr>
            <w:tcW w:w="1067" w:type="dxa"/>
            <w:tcBorders/>
            <w:vAlign w:val="center"/>
          </w:tcPr>
          <w:p>
            <w:pPr>
              <w:pStyle w:val="TableContents"/>
              <w:bidi w:val="0"/>
              <w:spacing w:before="0" w:after="0"/>
              <w:ind w:left="0" w:right="0" w:hanging="0"/>
              <w:jc w:val="left"/>
              <w:rPr/>
            </w:pPr>
            <w:r>
              <w:rPr/>
              <w:t>​</w:t>
            </w:r>
          </w:p>
        </w:tc>
      </w:tr>
      <w:tr>
        <w:trPr/>
        <w:tc>
          <w:tcPr>
            <w:tcW w:w="4729"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Merchandising and other</w:t>
            </w:r>
          </w:p>
        </w:tc>
        <w:tc>
          <w:tcPr>
            <w:tcW w:w="255" w:type="dxa"/>
            <w:tcBorders/>
            <w:shd w:fill="CCEEFF" w:val="clear"/>
            <w:vAlign w:val="center"/>
          </w:tcPr>
          <w:p>
            <w:pPr>
              <w:pStyle w:val="TableContents"/>
              <w:bidi w:val="0"/>
              <w:spacing w:before="0" w:after="0"/>
              <w:ind w:left="0" w:right="0" w:hanging="0"/>
              <w:jc w:val="left"/>
              <w:rPr/>
            </w:pPr>
            <w:r>
              <w:rPr/>
              <w:t>​</w:t>
            </w:r>
          </w:p>
        </w:tc>
        <w:tc>
          <w:tcPr>
            <w:tcW w:w="1021"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(113,744)</w:t>
            </w:r>
          </w:p>
        </w:tc>
        <w:tc>
          <w:tcPr>
            <w:tcW w:w="109" w:type="dxa"/>
            <w:tcBorders/>
            <w:shd w:fill="CCEEFF" w:val="clear"/>
            <w:vAlign w:val="center"/>
          </w:tcPr>
          <w:p>
            <w:pPr>
              <w:pStyle w:val="TableContents"/>
              <w:bidi w:val="0"/>
              <w:spacing w:before="0" w:after="0"/>
              <w:ind w:left="0" w:right="0" w:hanging="0"/>
              <w:jc w:val="left"/>
              <w:rPr/>
            </w:pPr>
            <w:r>
              <w:rPr/>
              <w:t>​</w:t>
            </w:r>
          </w:p>
        </w:tc>
        <w:tc>
          <w:tcPr>
            <w:tcW w:w="255" w:type="dxa"/>
            <w:tcBorders/>
            <w:shd w:fill="CCEEFF" w:val="clear"/>
            <w:vAlign w:val="center"/>
          </w:tcPr>
          <w:p>
            <w:pPr>
              <w:pStyle w:val="TableContents"/>
              <w:bidi w:val="0"/>
              <w:spacing w:before="0" w:after="0"/>
              <w:ind w:left="0" w:right="0" w:hanging="0"/>
              <w:jc w:val="left"/>
              <w:rPr/>
            </w:pPr>
            <w:r>
              <w:rPr/>
              <w:t>​</w:t>
            </w:r>
          </w:p>
        </w:tc>
        <w:tc>
          <w:tcPr>
            <w:tcW w:w="1021"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(104,204)</w:t>
            </w:r>
          </w:p>
        </w:tc>
        <w:tc>
          <w:tcPr>
            <w:tcW w:w="109" w:type="dxa"/>
            <w:tcBorders/>
            <w:shd w:fill="CCEEFF" w:val="clear"/>
            <w:vAlign w:val="center"/>
          </w:tcPr>
          <w:p>
            <w:pPr>
              <w:pStyle w:val="TableContents"/>
              <w:bidi w:val="0"/>
              <w:spacing w:before="0" w:after="0"/>
              <w:ind w:left="0" w:right="0" w:hanging="0"/>
              <w:jc w:val="left"/>
              <w:rPr/>
            </w:pPr>
            <w:r>
              <w:rPr/>
              <w:t>​</w:t>
            </w:r>
          </w:p>
        </w:tc>
        <w:tc>
          <w:tcPr>
            <w:tcW w:w="255" w:type="dxa"/>
            <w:tcBorders/>
            <w:shd w:fill="CCEEFF" w:val="clear"/>
            <w:vAlign w:val="center"/>
          </w:tcPr>
          <w:p>
            <w:pPr>
              <w:pStyle w:val="TableContents"/>
              <w:bidi w:val="0"/>
              <w:spacing w:before="0" w:after="0"/>
              <w:ind w:left="0" w:right="0" w:hanging="0"/>
              <w:jc w:val="left"/>
              <w:rPr/>
            </w:pPr>
            <w:r>
              <w:rPr/>
              <w:t>​</w:t>
            </w:r>
          </w:p>
        </w:tc>
        <w:tc>
          <w:tcPr>
            <w:tcW w:w="1021"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(240,172)</w:t>
            </w:r>
          </w:p>
        </w:tc>
        <w:tc>
          <w:tcPr>
            <w:tcW w:w="109" w:type="dxa"/>
            <w:tcBorders/>
            <w:shd w:fill="CCEEFF" w:val="clear"/>
            <w:vAlign w:val="center"/>
          </w:tcPr>
          <w:p>
            <w:pPr>
              <w:pStyle w:val="TableContents"/>
              <w:bidi w:val="0"/>
              <w:spacing w:before="0" w:after="0"/>
              <w:ind w:left="0" w:right="0" w:hanging="0"/>
              <w:jc w:val="left"/>
              <w:rPr/>
            </w:pPr>
            <w:r>
              <w:rPr/>
              <w:t>​</w:t>
            </w:r>
          </w:p>
        </w:tc>
        <w:tc>
          <w:tcPr>
            <w:tcW w:w="254" w:type="dxa"/>
            <w:tcBorders/>
            <w:shd w:fill="CCEEFF" w:val="clear"/>
            <w:vAlign w:val="center"/>
          </w:tcPr>
          <w:p>
            <w:pPr>
              <w:pStyle w:val="TableContents"/>
              <w:bidi w:val="0"/>
              <w:spacing w:before="0" w:after="0"/>
              <w:ind w:left="0" w:right="0" w:hanging="0"/>
              <w:jc w:val="left"/>
              <w:rPr/>
            </w:pPr>
            <w:r>
              <w:rPr/>
              <w:t>​</w:t>
            </w:r>
          </w:p>
        </w:tc>
        <w:tc>
          <w:tcPr>
            <w:tcW w:w="1067"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(216,061)</w:t>
            </w:r>
          </w:p>
        </w:tc>
      </w:tr>
      <w:tr>
        <w:trPr/>
        <w:tc>
          <w:tcPr>
            <w:tcW w:w="4729"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Freight in and out</w:t>
            </w:r>
          </w:p>
        </w:tc>
        <w:tc>
          <w:tcPr>
            <w:tcW w:w="255" w:type="dxa"/>
            <w:tcBorders/>
            <w:vAlign w:val="center"/>
          </w:tcPr>
          <w:p>
            <w:pPr>
              <w:pStyle w:val="TableContents"/>
              <w:bidi w:val="0"/>
              <w:spacing w:before="0" w:after="0"/>
              <w:ind w:left="0" w:right="0" w:hanging="0"/>
              <w:jc w:val="left"/>
              <w:rPr/>
            </w:pPr>
            <w:r>
              <w:rPr/>
              <w:t>​</w:t>
            </w:r>
          </w:p>
        </w:tc>
        <w:tc>
          <w:tcPr>
            <w:tcW w:w="102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(11,999)</w:t>
            </w:r>
          </w:p>
        </w:tc>
        <w:tc>
          <w:tcPr>
            <w:tcW w:w="109" w:type="dxa"/>
            <w:tcBorders/>
            <w:vAlign w:val="center"/>
          </w:tcPr>
          <w:p>
            <w:pPr>
              <w:pStyle w:val="TableContents"/>
              <w:bidi w:val="0"/>
              <w:spacing w:before="0" w:after="0"/>
              <w:ind w:left="0" w:right="0" w:hanging="0"/>
              <w:jc w:val="left"/>
              <w:rPr/>
            </w:pPr>
            <w:r>
              <w:rPr/>
              <w:t>​</w:t>
            </w:r>
          </w:p>
        </w:tc>
        <w:tc>
          <w:tcPr>
            <w:tcW w:w="255" w:type="dxa"/>
            <w:tcBorders/>
            <w:vAlign w:val="center"/>
          </w:tcPr>
          <w:p>
            <w:pPr>
              <w:pStyle w:val="TableContents"/>
              <w:bidi w:val="0"/>
              <w:spacing w:before="0" w:after="0"/>
              <w:ind w:left="0" w:right="0" w:hanging="0"/>
              <w:jc w:val="left"/>
              <w:rPr/>
            </w:pPr>
            <w:r>
              <w:rPr/>
              <w:t>​</w:t>
            </w:r>
          </w:p>
        </w:tc>
        <w:tc>
          <w:tcPr>
            <w:tcW w:w="102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(10,273)</w:t>
            </w:r>
          </w:p>
        </w:tc>
        <w:tc>
          <w:tcPr>
            <w:tcW w:w="109" w:type="dxa"/>
            <w:tcBorders/>
            <w:vAlign w:val="center"/>
          </w:tcPr>
          <w:p>
            <w:pPr>
              <w:pStyle w:val="TableContents"/>
              <w:bidi w:val="0"/>
              <w:spacing w:before="0" w:after="0"/>
              <w:ind w:left="0" w:right="0" w:hanging="0"/>
              <w:jc w:val="left"/>
              <w:rPr/>
            </w:pPr>
            <w:r>
              <w:rPr/>
              <w:t>​</w:t>
            </w:r>
          </w:p>
        </w:tc>
        <w:tc>
          <w:tcPr>
            <w:tcW w:w="255" w:type="dxa"/>
            <w:tcBorders/>
            <w:vAlign w:val="center"/>
          </w:tcPr>
          <w:p>
            <w:pPr>
              <w:pStyle w:val="TableContents"/>
              <w:bidi w:val="0"/>
              <w:spacing w:before="0" w:after="0"/>
              <w:ind w:left="0" w:right="0" w:hanging="0"/>
              <w:jc w:val="left"/>
              <w:rPr/>
            </w:pPr>
            <w:r>
              <w:rPr/>
              <w:t>​</w:t>
            </w:r>
          </w:p>
        </w:tc>
        <w:tc>
          <w:tcPr>
            <w:tcW w:w="102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(24,201)</w:t>
            </w:r>
          </w:p>
        </w:tc>
        <w:tc>
          <w:tcPr>
            <w:tcW w:w="109" w:type="dxa"/>
            <w:tcBorders/>
            <w:vAlign w:val="center"/>
          </w:tcPr>
          <w:p>
            <w:pPr>
              <w:pStyle w:val="TableContents"/>
              <w:bidi w:val="0"/>
              <w:spacing w:before="0" w:after="0"/>
              <w:ind w:left="0" w:right="0" w:hanging="0"/>
              <w:jc w:val="left"/>
              <w:rPr/>
            </w:pPr>
            <w:r>
              <w:rPr/>
              <w:t>​</w:t>
            </w:r>
          </w:p>
        </w:tc>
        <w:tc>
          <w:tcPr>
            <w:tcW w:w="254" w:type="dxa"/>
            <w:tcBorders/>
            <w:vAlign w:val="center"/>
          </w:tcPr>
          <w:p>
            <w:pPr>
              <w:pStyle w:val="TableContents"/>
              <w:bidi w:val="0"/>
              <w:spacing w:before="0" w:after="0"/>
              <w:ind w:left="0" w:right="0" w:hanging="0"/>
              <w:jc w:val="left"/>
              <w:rPr/>
            </w:pPr>
            <w:r>
              <w:rPr/>
              <w:t>​</w:t>
            </w:r>
          </w:p>
        </w:tc>
        <w:tc>
          <w:tcPr>
            <w:tcW w:w="1067"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(20,334)</w:t>
            </w:r>
          </w:p>
        </w:tc>
      </w:tr>
      <w:tr>
        <w:trPr/>
        <w:tc>
          <w:tcPr>
            <w:tcW w:w="4729"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Selling, general, and administrative expenses</w:t>
            </w:r>
          </w:p>
        </w:tc>
        <w:tc>
          <w:tcPr>
            <w:tcW w:w="255" w:type="dxa"/>
            <w:tcBorders/>
            <w:shd w:fill="CCEEFF" w:val="clear"/>
            <w:vAlign w:val="center"/>
          </w:tcPr>
          <w:p>
            <w:pPr>
              <w:pStyle w:val="TableContents"/>
              <w:bidi w:val="0"/>
              <w:spacing w:before="0" w:after="0"/>
              <w:ind w:left="0" w:right="0" w:hanging="0"/>
              <w:jc w:val="left"/>
              <w:rPr/>
            </w:pPr>
            <w:r>
              <w:rPr/>
              <w:t>​</w:t>
            </w:r>
          </w:p>
        </w:tc>
        <w:tc>
          <w:tcPr>
            <w:tcW w:w="102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55" w:type="dxa"/>
            <w:tcBorders/>
            <w:shd w:fill="CCEEFF" w:val="clear"/>
            <w:vAlign w:val="center"/>
          </w:tcPr>
          <w:p>
            <w:pPr>
              <w:pStyle w:val="TableContents"/>
              <w:bidi w:val="0"/>
              <w:spacing w:before="0" w:after="0"/>
              <w:ind w:left="0" w:right="0" w:hanging="0"/>
              <w:jc w:val="left"/>
              <w:rPr/>
            </w:pPr>
            <w:r>
              <w:rPr/>
              <w:t>​</w:t>
            </w:r>
          </w:p>
        </w:tc>
        <w:tc>
          <w:tcPr>
            <w:tcW w:w="102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55" w:type="dxa"/>
            <w:tcBorders/>
            <w:shd w:fill="CCEEFF" w:val="clear"/>
            <w:vAlign w:val="center"/>
          </w:tcPr>
          <w:p>
            <w:pPr>
              <w:pStyle w:val="TableContents"/>
              <w:bidi w:val="0"/>
              <w:spacing w:before="0" w:after="0"/>
              <w:ind w:left="0" w:right="0" w:hanging="0"/>
              <w:jc w:val="left"/>
              <w:rPr/>
            </w:pPr>
            <w:r>
              <w:rPr/>
              <w:t>​</w:t>
            </w:r>
          </w:p>
        </w:tc>
        <w:tc>
          <w:tcPr>
            <w:tcW w:w="102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54" w:type="dxa"/>
            <w:tcBorders/>
            <w:shd w:fill="CCEEFF" w:val="clear"/>
            <w:vAlign w:val="center"/>
          </w:tcPr>
          <w:p>
            <w:pPr>
              <w:pStyle w:val="TableContents"/>
              <w:bidi w:val="0"/>
              <w:spacing w:before="0" w:after="0"/>
              <w:ind w:left="0" w:right="0" w:hanging="0"/>
              <w:jc w:val="left"/>
              <w:rPr/>
            </w:pPr>
            <w:r>
              <w:rPr/>
              <w:t>​</w:t>
            </w:r>
          </w:p>
        </w:tc>
        <w:tc>
          <w:tcPr>
            <w:tcW w:w="1067" w:type="dxa"/>
            <w:tcBorders/>
            <w:shd w:fill="CCEEFF" w:val="clear"/>
            <w:vAlign w:val="center"/>
          </w:tcPr>
          <w:p>
            <w:pPr>
              <w:pStyle w:val="TableContents"/>
              <w:bidi w:val="0"/>
              <w:spacing w:before="0" w:after="0"/>
              <w:ind w:left="0" w:right="0" w:hanging="0"/>
              <w:jc w:val="left"/>
              <w:rPr/>
            </w:pPr>
            <w:r>
              <w:rPr/>
              <w:t>​</w:t>
            </w:r>
          </w:p>
        </w:tc>
      </w:tr>
      <w:tr>
        <w:trPr/>
        <w:tc>
          <w:tcPr>
            <w:tcW w:w="4729"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Store expenses - payroll and related expenses</w:t>
            </w:r>
          </w:p>
        </w:tc>
        <w:tc>
          <w:tcPr>
            <w:tcW w:w="255" w:type="dxa"/>
            <w:tcBorders/>
            <w:vAlign w:val="center"/>
          </w:tcPr>
          <w:p>
            <w:pPr>
              <w:pStyle w:val="TableContents"/>
              <w:bidi w:val="0"/>
              <w:spacing w:before="0" w:after="0"/>
              <w:ind w:left="0" w:right="0" w:hanging="0"/>
              <w:jc w:val="left"/>
              <w:rPr/>
            </w:pPr>
            <w:r>
              <w:rPr/>
              <w:t>​</w:t>
            </w:r>
          </w:p>
        </w:tc>
        <w:tc>
          <w:tcPr>
            <w:tcW w:w="102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(24,871)</w:t>
            </w:r>
          </w:p>
        </w:tc>
        <w:tc>
          <w:tcPr>
            <w:tcW w:w="109" w:type="dxa"/>
            <w:tcBorders/>
            <w:vAlign w:val="center"/>
          </w:tcPr>
          <w:p>
            <w:pPr>
              <w:pStyle w:val="TableContents"/>
              <w:bidi w:val="0"/>
              <w:spacing w:before="0" w:after="0"/>
              <w:ind w:left="0" w:right="0" w:hanging="0"/>
              <w:jc w:val="left"/>
              <w:rPr/>
            </w:pPr>
            <w:r>
              <w:rPr/>
              <w:t>​</w:t>
            </w:r>
          </w:p>
        </w:tc>
        <w:tc>
          <w:tcPr>
            <w:tcW w:w="255" w:type="dxa"/>
            <w:tcBorders/>
            <w:vAlign w:val="center"/>
          </w:tcPr>
          <w:p>
            <w:pPr>
              <w:pStyle w:val="TableContents"/>
              <w:bidi w:val="0"/>
              <w:spacing w:before="0" w:after="0"/>
              <w:ind w:left="0" w:right="0" w:hanging="0"/>
              <w:jc w:val="left"/>
              <w:rPr/>
            </w:pPr>
            <w:r>
              <w:rPr/>
              <w:t>​</w:t>
            </w:r>
          </w:p>
        </w:tc>
        <w:tc>
          <w:tcPr>
            <w:tcW w:w="102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(23,548)</w:t>
            </w:r>
          </w:p>
        </w:tc>
        <w:tc>
          <w:tcPr>
            <w:tcW w:w="109" w:type="dxa"/>
            <w:tcBorders/>
            <w:vAlign w:val="center"/>
          </w:tcPr>
          <w:p>
            <w:pPr>
              <w:pStyle w:val="TableContents"/>
              <w:bidi w:val="0"/>
              <w:spacing w:before="0" w:after="0"/>
              <w:ind w:left="0" w:right="0" w:hanging="0"/>
              <w:jc w:val="left"/>
              <w:rPr/>
            </w:pPr>
            <w:r>
              <w:rPr/>
              <w:t>​</w:t>
            </w:r>
          </w:p>
        </w:tc>
        <w:tc>
          <w:tcPr>
            <w:tcW w:w="255" w:type="dxa"/>
            <w:tcBorders/>
            <w:vAlign w:val="center"/>
          </w:tcPr>
          <w:p>
            <w:pPr>
              <w:pStyle w:val="TableContents"/>
              <w:bidi w:val="0"/>
              <w:spacing w:before="0" w:after="0"/>
              <w:ind w:left="0" w:right="0" w:hanging="0"/>
              <w:jc w:val="left"/>
              <w:rPr/>
            </w:pPr>
            <w:r>
              <w:rPr/>
              <w:t>​</w:t>
            </w:r>
          </w:p>
        </w:tc>
        <w:tc>
          <w:tcPr>
            <w:tcW w:w="102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(48,778)</w:t>
            </w:r>
          </w:p>
        </w:tc>
        <w:tc>
          <w:tcPr>
            <w:tcW w:w="109" w:type="dxa"/>
            <w:tcBorders/>
            <w:vAlign w:val="center"/>
          </w:tcPr>
          <w:p>
            <w:pPr>
              <w:pStyle w:val="TableContents"/>
              <w:bidi w:val="0"/>
              <w:spacing w:before="0" w:after="0"/>
              <w:ind w:left="0" w:right="0" w:hanging="0"/>
              <w:jc w:val="left"/>
              <w:rPr/>
            </w:pPr>
            <w:r>
              <w:rPr/>
              <w:t>​</w:t>
            </w:r>
          </w:p>
        </w:tc>
        <w:tc>
          <w:tcPr>
            <w:tcW w:w="254" w:type="dxa"/>
            <w:tcBorders/>
            <w:vAlign w:val="center"/>
          </w:tcPr>
          <w:p>
            <w:pPr>
              <w:pStyle w:val="TableContents"/>
              <w:bidi w:val="0"/>
              <w:spacing w:before="0" w:after="0"/>
              <w:ind w:left="0" w:right="0" w:hanging="0"/>
              <w:jc w:val="left"/>
              <w:rPr/>
            </w:pPr>
            <w:r>
              <w:rPr/>
              <w:t>​</w:t>
            </w:r>
          </w:p>
        </w:tc>
        <w:tc>
          <w:tcPr>
            <w:tcW w:w="1067"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(46,033)</w:t>
            </w:r>
          </w:p>
        </w:tc>
      </w:tr>
      <w:tr>
        <w:trPr/>
        <w:tc>
          <w:tcPr>
            <w:tcW w:w="4729"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Store expenses - rent</w:t>
            </w:r>
          </w:p>
        </w:tc>
        <w:tc>
          <w:tcPr>
            <w:tcW w:w="255" w:type="dxa"/>
            <w:tcBorders/>
            <w:shd w:fill="CCEEFF" w:val="clear"/>
            <w:vAlign w:val="center"/>
          </w:tcPr>
          <w:p>
            <w:pPr>
              <w:pStyle w:val="TableContents"/>
              <w:bidi w:val="0"/>
              <w:spacing w:before="0" w:after="0"/>
              <w:ind w:left="0" w:right="0" w:hanging="0"/>
              <w:jc w:val="left"/>
              <w:rPr/>
            </w:pPr>
            <w:r>
              <w:rPr/>
              <w:t>​</w:t>
            </w:r>
          </w:p>
        </w:tc>
        <w:tc>
          <w:tcPr>
            <w:tcW w:w="1021"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(17,739)</w:t>
            </w:r>
          </w:p>
        </w:tc>
        <w:tc>
          <w:tcPr>
            <w:tcW w:w="109" w:type="dxa"/>
            <w:tcBorders/>
            <w:shd w:fill="CCEEFF" w:val="clear"/>
            <w:vAlign w:val="center"/>
          </w:tcPr>
          <w:p>
            <w:pPr>
              <w:pStyle w:val="TableContents"/>
              <w:bidi w:val="0"/>
              <w:spacing w:before="0" w:after="0"/>
              <w:ind w:left="0" w:right="0" w:hanging="0"/>
              <w:jc w:val="left"/>
              <w:rPr/>
            </w:pPr>
            <w:r>
              <w:rPr/>
              <w:t>​</w:t>
            </w:r>
          </w:p>
        </w:tc>
        <w:tc>
          <w:tcPr>
            <w:tcW w:w="255" w:type="dxa"/>
            <w:tcBorders/>
            <w:shd w:fill="CCEEFF" w:val="clear"/>
            <w:vAlign w:val="center"/>
          </w:tcPr>
          <w:p>
            <w:pPr>
              <w:pStyle w:val="TableContents"/>
              <w:bidi w:val="0"/>
              <w:spacing w:before="0" w:after="0"/>
              <w:ind w:left="0" w:right="0" w:hanging="0"/>
              <w:jc w:val="left"/>
              <w:rPr/>
            </w:pPr>
            <w:r>
              <w:rPr/>
              <w:t>​</w:t>
            </w:r>
          </w:p>
        </w:tc>
        <w:tc>
          <w:tcPr>
            <w:tcW w:w="1021"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(16,770)</w:t>
            </w:r>
          </w:p>
        </w:tc>
        <w:tc>
          <w:tcPr>
            <w:tcW w:w="109" w:type="dxa"/>
            <w:tcBorders/>
            <w:shd w:fill="CCEEFF" w:val="clear"/>
            <w:vAlign w:val="center"/>
          </w:tcPr>
          <w:p>
            <w:pPr>
              <w:pStyle w:val="TableContents"/>
              <w:bidi w:val="0"/>
              <w:spacing w:before="0" w:after="0"/>
              <w:ind w:left="0" w:right="0" w:hanging="0"/>
              <w:jc w:val="left"/>
              <w:rPr/>
            </w:pPr>
            <w:r>
              <w:rPr/>
              <w:t>​</w:t>
            </w:r>
          </w:p>
        </w:tc>
        <w:tc>
          <w:tcPr>
            <w:tcW w:w="255" w:type="dxa"/>
            <w:tcBorders/>
            <w:shd w:fill="CCEEFF" w:val="clear"/>
            <w:vAlign w:val="center"/>
          </w:tcPr>
          <w:p>
            <w:pPr>
              <w:pStyle w:val="TableContents"/>
              <w:bidi w:val="0"/>
              <w:spacing w:before="0" w:after="0"/>
              <w:ind w:left="0" w:right="0" w:hanging="0"/>
              <w:jc w:val="left"/>
              <w:rPr/>
            </w:pPr>
            <w:r>
              <w:rPr/>
              <w:t>​</w:t>
            </w:r>
          </w:p>
        </w:tc>
        <w:tc>
          <w:tcPr>
            <w:tcW w:w="1021"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(35,440)</w:t>
            </w:r>
          </w:p>
        </w:tc>
        <w:tc>
          <w:tcPr>
            <w:tcW w:w="109" w:type="dxa"/>
            <w:tcBorders/>
            <w:shd w:fill="CCEEFF" w:val="clear"/>
            <w:vAlign w:val="center"/>
          </w:tcPr>
          <w:p>
            <w:pPr>
              <w:pStyle w:val="TableContents"/>
              <w:bidi w:val="0"/>
              <w:spacing w:before="0" w:after="0"/>
              <w:ind w:left="0" w:right="0" w:hanging="0"/>
              <w:jc w:val="left"/>
              <w:rPr/>
            </w:pPr>
            <w:r>
              <w:rPr/>
              <w:t>​</w:t>
            </w:r>
          </w:p>
        </w:tc>
        <w:tc>
          <w:tcPr>
            <w:tcW w:w="254" w:type="dxa"/>
            <w:tcBorders/>
            <w:shd w:fill="CCEEFF" w:val="clear"/>
            <w:vAlign w:val="center"/>
          </w:tcPr>
          <w:p>
            <w:pPr>
              <w:pStyle w:val="TableContents"/>
              <w:bidi w:val="0"/>
              <w:spacing w:before="0" w:after="0"/>
              <w:ind w:left="0" w:right="0" w:hanging="0"/>
              <w:jc w:val="left"/>
              <w:rPr/>
            </w:pPr>
            <w:r>
              <w:rPr/>
              <w:t>​</w:t>
            </w:r>
          </w:p>
        </w:tc>
        <w:tc>
          <w:tcPr>
            <w:tcW w:w="1067"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(33,097)</w:t>
            </w:r>
          </w:p>
        </w:tc>
      </w:tr>
      <w:tr>
        <w:trPr/>
        <w:tc>
          <w:tcPr>
            <w:tcW w:w="4729"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Corporate expenses - payroll and related expenses</w:t>
            </w:r>
          </w:p>
        </w:tc>
        <w:tc>
          <w:tcPr>
            <w:tcW w:w="255" w:type="dxa"/>
            <w:tcBorders/>
            <w:vAlign w:val="center"/>
          </w:tcPr>
          <w:p>
            <w:pPr>
              <w:pStyle w:val="TableContents"/>
              <w:bidi w:val="0"/>
              <w:spacing w:before="0" w:after="0"/>
              <w:ind w:left="0" w:right="0" w:hanging="0"/>
              <w:jc w:val="left"/>
              <w:rPr/>
            </w:pPr>
            <w:r>
              <w:rPr/>
              <w:t>​</w:t>
            </w:r>
          </w:p>
        </w:tc>
        <w:tc>
          <w:tcPr>
            <w:tcW w:w="102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(7,468)</w:t>
            </w:r>
          </w:p>
        </w:tc>
        <w:tc>
          <w:tcPr>
            <w:tcW w:w="109" w:type="dxa"/>
            <w:tcBorders/>
            <w:vAlign w:val="center"/>
          </w:tcPr>
          <w:p>
            <w:pPr>
              <w:pStyle w:val="TableContents"/>
              <w:bidi w:val="0"/>
              <w:spacing w:before="0" w:after="0"/>
              <w:ind w:left="0" w:right="0" w:hanging="0"/>
              <w:jc w:val="left"/>
              <w:rPr/>
            </w:pPr>
            <w:r>
              <w:rPr/>
              <w:t>​</w:t>
            </w:r>
          </w:p>
        </w:tc>
        <w:tc>
          <w:tcPr>
            <w:tcW w:w="255" w:type="dxa"/>
            <w:tcBorders/>
            <w:vAlign w:val="center"/>
          </w:tcPr>
          <w:p>
            <w:pPr>
              <w:pStyle w:val="TableContents"/>
              <w:bidi w:val="0"/>
              <w:spacing w:before="0" w:after="0"/>
              <w:ind w:left="0" w:right="0" w:hanging="0"/>
              <w:jc w:val="left"/>
              <w:rPr/>
            </w:pPr>
            <w:r>
              <w:rPr/>
              <w:t>​</w:t>
            </w:r>
          </w:p>
        </w:tc>
        <w:tc>
          <w:tcPr>
            <w:tcW w:w="102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(7,273)</w:t>
            </w:r>
          </w:p>
        </w:tc>
        <w:tc>
          <w:tcPr>
            <w:tcW w:w="109" w:type="dxa"/>
            <w:tcBorders/>
            <w:vAlign w:val="center"/>
          </w:tcPr>
          <w:p>
            <w:pPr>
              <w:pStyle w:val="TableContents"/>
              <w:bidi w:val="0"/>
              <w:spacing w:before="0" w:after="0"/>
              <w:ind w:left="0" w:right="0" w:hanging="0"/>
              <w:jc w:val="left"/>
              <w:rPr/>
            </w:pPr>
            <w:r>
              <w:rPr/>
              <w:t>​</w:t>
            </w:r>
          </w:p>
        </w:tc>
        <w:tc>
          <w:tcPr>
            <w:tcW w:w="255" w:type="dxa"/>
            <w:tcBorders/>
            <w:vAlign w:val="center"/>
          </w:tcPr>
          <w:p>
            <w:pPr>
              <w:pStyle w:val="TableContents"/>
              <w:bidi w:val="0"/>
              <w:spacing w:before="0" w:after="0"/>
              <w:ind w:left="0" w:right="0" w:hanging="0"/>
              <w:jc w:val="left"/>
              <w:rPr/>
            </w:pPr>
            <w:r>
              <w:rPr/>
              <w:t>​</w:t>
            </w:r>
          </w:p>
        </w:tc>
        <w:tc>
          <w:tcPr>
            <w:tcW w:w="102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(14,600)</w:t>
            </w:r>
          </w:p>
        </w:tc>
        <w:tc>
          <w:tcPr>
            <w:tcW w:w="109" w:type="dxa"/>
            <w:tcBorders/>
            <w:vAlign w:val="center"/>
          </w:tcPr>
          <w:p>
            <w:pPr>
              <w:pStyle w:val="TableContents"/>
              <w:bidi w:val="0"/>
              <w:spacing w:before="0" w:after="0"/>
              <w:ind w:left="0" w:right="0" w:hanging="0"/>
              <w:jc w:val="left"/>
              <w:rPr/>
            </w:pPr>
            <w:r>
              <w:rPr/>
              <w:t>​</w:t>
            </w:r>
          </w:p>
        </w:tc>
        <w:tc>
          <w:tcPr>
            <w:tcW w:w="254" w:type="dxa"/>
            <w:tcBorders/>
            <w:vAlign w:val="center"/>
          </w:tcPr>
          <w:p>
            <w:pPr>
              <w:pStyle w:val="TableContents"/>
              <w:bidi w:val="0"/>
              <w:spacing w:before="0" w:after="0"/>
              <w:ind w:left="0" w:right="0" w:hanging="0"/>
              <w:jc w:val="left"/>
              <w:rPr/>
            </w:pPr>
            <w:r>
              <w:rPr/>
              <w:t>​</w:t>
            </w:r>
          </w:p>
        </w:tc>
        <w:tc>
          <w:tcPr>
            <w:tcW w:w="1067"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(14,556)</w:t>
            </w:r>
          </w:p>
        </w:tc>
      </w:tr>
      <w:tr>
        <w:trPr/>
        <w:tc>
          <w:tcPr>
            <w:tcW w:w="4729"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Distribution center expenses - payroll and related expenses</w:t>
            </w:r>
          </w:p>
        </w:tc>
        <w:tc>
          <w:tcPr>
            <w:tcW w:w="255" w:type="dxa"/>
            <w:tcBorders/>
            <w:shd w:fill="CCEEFF" w:val="clear"/>
            <w:vAlign w:val="center"/>
          </w:tcPr>
          <w:p>
            <w:pPr>
              <w:pStyle w:val="TableContents"/>
              <w:bidi w:val="0"/>
              <w:spacing w:before="0" w:after="0"/>
              <w:ind w:left="0" w:right="0" w:hanging="0"/>
              <w:jc w:val="left"/>
              <w:rPr/>
            </w:pPr>
            <w:r>
              <w:rPr/>
              <w:t>​</w:t>
            </w:r>
          </w:p>
        </w:tc>
        <w:tc>
          <w:tcPr>
            <w:tcW w:w="1021"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(5,112)</w:t>
            </w:r>
          </w:p>
        </w:tc>
        <w:tc>
          <w:tcPr>
            <w:tcW w:w="109" w:type="dxa"/>
            <w:tcBorders/>
            <w:shd w:fill="CCEEFF" w:val="clear"/>
            <w:vAlign w:val="center"/>
          </w:tcPr>
          <w:p>
            <w:pPr>
              <w:pStyle w:val="TableContents"/>
              <w:bidi w:val="0"/>
              <w:spacing w:before="0" w:after="0"/>
              <w:ind w:left="0" w:right="0" w:hanging="0"/>
              <w:jc w:val="left"/>
              <w:rPr/>
            </w:pPr>
            <w:r>
              <w:rPr/>
              <w:t>​</w:t>
            </w:r>
          </w:p>
        </w:tc>
        <w:tc>
          <w:tcPr>
            <w:tcW w:w="255" w:type="dxa"/>
            <w:tcBorders/>
            <w:shd w:fill="CCEEFF" w:val="clear"/>
            <w:vAlign w:val="center"/>
          </w:tcPr>
          <w:p>
            <w:pPr>
              <w:pStyle w:val="TableContents"/>
              <w:bidi w:val="0"/>
              <w:spacing w:before="0" w:after="0"/>
              <w:ind w:left="0" w:right="0" w:hanging="0"/>
              <w:jc w:val="left"/>
              <w:rPr/>
            </w:pPr>
            <w:r>
              <w:rPr/>
              <w:t>​</w:t>
            </w:r>
          </w:p>
        </w:tc>
        <w:tc>
          <w:tcPr>
            <w:tcW w:w="1021"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(4,766)</w:t>
            </w:r>
          </w:p>
        </w:tc>
        <w:tc>
          <w:tcPr>
            <w:tcW w:w="109" w:type="dxa"/>
            <w:tcBorders/>
            <w:shd w:fill="CCEEFF" w:val="clear"/>
            <w:vAlign w:val="center"/>
          </w:tcPr>
          <w:p>
            <w:pPr>
              <w:pStyle w:val="TableContents"/>
              <w:bidi w:val="0"/>
              <w:spacing w:before="0" w:after="0"/>
              <w:ind w:left="0" w:right="0" w:hanging="0"/>
              <w:jc w:val="left"/>
              <w:rPr/>
            </w:pPr>
            <w:r>
              <w:rPr/>
              <w:t>​</w:t>
            </w:r>
          </w:p>
        </w:tc>
        <w:tc>
          <w:tcPr>
            <w:tcW w:w="255" w:type="dxa"/>
            <w:tcBorders/>
            <w:shd w:fill="CCEEFF" w:val="clear"/>
            <w:vAlign w:val="center"/>
          </w:tcPr>
          <w:p>
            <w:pPr>
              <w:pStyle w:val="TableContents"/>
              <w:bidi w:val="0"/>
              <w:spacing w:before="0" w:after="0"/>
              <w:ind w:left="0" w:right="0" w:hanging="0"/>
              <w:jc w:val="left"/>
              <w:rPr/>
            </w:pPr>
            <w:r>
              <w:rPr/>
              <w:t>​</w:t>
            </w:r>
          </w:p>
        </w:tc>
        <w:tc>
          <w:tcPr>
            <w:tcW w:w="1021"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(9,702)</w:t>
            </w:r>
          </w:p>
        </w:tc>
        <w:tc>
          <w:tcPr>
            <w:tcW w:w="109" w:type="dxa"/>
            <w:tcBorders/>
            <w:shd w:fill="CCEEFF" w:val="clear"/>
            <w:vAlign w:val="center"/>
          </w:tcPr>
          <w:p>
            <w:pPr>
              <w:pStyle w:val="TableContents"/>
              <w:bidi w:val="0"/>
              <w:spacing w:before="0" w:after="0"/>
              <w:ind w:left="0" w:right="0" w:hanging="0"/>
              <w:jc w:val="left"/>
              <w:rPr/>
            </w:pPr>
            <w:r>
              <w:rPr/>
              <w:t>​</w:t>
            </w:r>
          </w:p>
        </w:tc>
        <w:tc>
          <w:tcPr>
            <w:tcW w:w="254" w:type="dxa"/>
            <w:tcBorders/>
            <w:shd w:fill="CCEEFF" w:val="clear"/>
            <w:vAlign w:val="center"/>
          </w:tcPr>
          <w:p>
            <w:pPr>
              <w:pStyle w:val="TableContents"/>
              <w:bidi w:val="0"/>
              <w:spacing w:before="0" w:after="0"/>
              <w:ind w:left="0" w:right="0" w:hanging="0"/>
              <w:jc w:val="left"/>
              <w:rPr/>
            </w:pPr>
            <w:r>
              <w:rPr/>
              <w:t>​</w:t>
            </w:r>
          </w:p>
        </w:tc>
        <w:tc>
          <w:tcPr>
            <w:tcW w:w="1067"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(9,321)</w:t>
            </w:r>
          </w:p>
        </w:tc>
      </w:tr>
      <w:tr>
        <w:trPr/>
        <w:tc>
          <w:tcPr>
            <w:tcW w:w="4729" w:type="dxa"/>
            <w:tcBorders/>
            <w:vAlign w:val="center"/>
          </w:tcPr>
          <w:p>
            <w:pPr>
              <w:pStyle w:val="TableContents"/>
              <w:bidi w:val="0"/>
              <w:spacing w:lineRule="auto" w:line="240" w:before="0" w:after="0"/>
              <w:ind w:left="0" w:right="0" w:hanging="0"/>
              <w:jc w:val="left"/>
              <w:rPr>
                <w:rFonts w:ascii="Times New Roman;Times;serif" w:hAnsi="Times New Roman;Times;serif"/>
                <w:sz w:val="18"/>
              </w:rPr>
            </w:pPr>
            <w:r>
              <w:rPr>
                <w:rFonts w:ascii="Arial;Helvetica;sans-serif" w:hAnsi="Arial;Helvetica;sans-serif"/>
                <w:sz w:val="18"/>
              </w:rPr>
              <w:t xml:space="preserve">Other segment expenses </w:t>
            </w:r>
            <w:r>
              <w:rPr>
                <w:rFonts w:ascii="Arial;Helvetica;sans-serif" w:hAnsi="Arial;Helvetica;sans-serif"/>
                <w:sz w:val="14"/>
              </w:rPr>
              <w:t>(1)</w:t>
            </w:r>
          </w:p>
        </w:tc>
        <w:tc>
          <w:tcPr>
            <w:tcW w:w="255" w:type="dxa"/>
            <w:tcBorders/>
            <w:vAlign w:val="center"/>
          </w:tcPr>
          <w:p>
            <w:pPr>
              <w:pStyle w:val="TableContents"/>
              <w:bidi w:val="0"/>
              <w:spacing w:before="0" w:after="0"/>
              <w:ind w:left="0" w:right="0" w:hanging="0"/>
              <w:jc w:val="left"/>
              <w:rPr/>
            </w:pPr>
            <w:r>
              <w:rPr/>
              <w:t>​</w:t>
            </w:r>
          </w:p>
        </w:tc>
        <w:tc>
          <w:tcPr>
            <w:tcW w:w="102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(27,106)</w:t>
            </w:r>
          </w:p>
        </w:tc>
        <w:tc>
          <w:tcPr>
            <w:tcW w:w="109" w:type="dxa"/>
            <w:tcBorders/>
            <w:vAlign w:val="center"/>
          </w:tcPr>
          <w:p>
            <w:pPr>
              <w:pStyle w:val="TableContents"/>
              <w:bidi w:val="0"/>
              <w:spacing w:before="0" w:after="0"/>
              <w:ind w:left="0" w:right="0" w:hanging="0"/>
              <w:jc w:val="left"/>
              <w:rPr/>
            </w:pPr>
            <w:r>
              <w:rPr/>
              <w:t>​</w:t>
            </w:r>
          </w:p>
        </w:tc>
        <w:tc>
          <w:tcPr>
            <w:tcW w:w="255" w:type="dxa"/>
            <w:tcBorders/>
            <w:vAlign w:val="center"/>
          </w:tcPr>
          <w:p>
            <w:pPr>
              <w:pStyle w:val="TableContents"/>
              <w:bidi w:val="0"/>
              <w:spacing w:before="0" w:after="0"/>
              <w:ind w:left="0" w:right="0" w:hanging="0"/>
              <w:jc w:val="left"/>
              <w:rPr/>
            </w:pPr>
            <w:r>
              <w:rPr/>
              <w:t>​</w:t>
            </w:r>
          </w:p>
        </w:tc>
        <w:tc>
          <w:tcPr>
            <w:tcW w:w="102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(26,548)</w:t>
            </w:r>
          </w:p>
        </w:tc>
        <w:tc>
          <w:tcPr>
            <w:tcW w:w="109" w:type="dxa"/>
            <w:tcBorders/>
            <w:vAlign w:val="center"/>
          </w:tcPr>
          <w:p>
            <w:pPr>
              <w:pStyle w:val="TableContents"/>
              <w:bidi w:val="0"/>
              <w:spacing w:before="0" w:after="0"/>
              <w:ind w:left="0" w:right="0" w:hanging="0"/>
              <w:jc w:val="left"/>
              <w:rPr/>
            </w:pPr>
            <w:r>
              <w:rPr/>
              <w:t>​</w:t>
            </w:r>
          </w:p>
        </w:tc>
        <w:tc>
          <w:tcPr>
            <w:tcW w:w="255" w:type="dxa"/>
            <w:tcBorders/>
            <w:vAlign w:val="center"/>
          </w:tcPr>
          <w:p>
            <w:pPr>
              <w:pStyle w:val="TableContents"/>
              <w:bidi w:val="0"/>
              <w:spacing w:before="0" w:after="0"/>
              <w:ind w:left="0" w:right="0" w:hanging="0"/>
              <w:jc w:val="left"/>
              <w:rPr/>
            </w:pPr>
            <w:r>
              <w:rPr/>
              <w:t>​</w:t>
            </w:r>
          </w:p>
        </w:tc>
        <w:tc>
          <w:tcPr>
            <w:tcW w:w="102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(53,521)</w:t>
            </w:r>
          </w:p>
        </w:tc>
        <w:tc>
          <w:tcPr>
            <w:tcW w:w="109" w:type="dxa"/>
            <w:tcBorders/>
            <w:vAlign w:val="center"/>
          </w:tcPr>
          <w:p>
            <w:pPr>
              <w:pStyle w:val="TableContents"/>
              <w:bidi w:val="0"/>
              <w:spacing w:before="0" w:after="0"/>
              <w:ind w:left="0" w:right="0" w:hanging="0"/>
              <w:jc w:val="left"/>
              <w:rPr/>
            </w:pPr>
            <w:r>
              <w:rPr/>
              <w:t>​</w:t>
            </w:r>
          </w:p>
        </w:tc>
        <w:tc>
          <w:tcPr>
            <w:tcW w:w="254" w:type="dxa"/>
            <w:tcBorders/>
            <w:vAlign w:val="center"/>
          </w:tcPr>
          <w:p>
            <w:pPr>
              <w:pStyle w:val="TableContents"/>
              <w:bidi w:val="0"/>
              <w:spacing w:before="0" w:after="0"/>
              <w:ind w:left="0" w:right="0" w:hanging="0"/>
              <w:jc w:val="left"/>
              <w:rPr/>
            </w:pPr>
            <w:r>
              <w:rPr/>
              <w:t>​</w:t>
            </w:r>
          </w:p>
        </w:tc>
        <w:tc>
          <w:tcPr>
            <w:tcW w:w="1067"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(50,785)</w:t>
            </w:r>
          </w:p>
        </w:tc>
      </w:tr>
      <w:tr>
        <w:trPr/>
        <w:tc>
          <w:tcPr>
            <w:tcW w:w="4729"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Gain on sale of building</w:t>
            </w:r>
          </w:p>
        </w:tc>
        <w:tc>
          <w:tcPr>
            <w:tcW w:w="255" w:type="dxa"/>
            <w:tcBorders/>
            <w:shd w:fill="CCEEFF" w:val="clear"/>
            <w:vAlign w:val="center"/>
          </w:tcPr>
          <w:p>
            <w:pPr>
              <w:pStyle w:val="TableContents"/>
              <w:bidi w:val="0"/>
              <w:spacing w:before="0" w:after="0"/>
              <w:ind w:left="0" w:right="0" w:hanging="0"/>
              <w:jc w:val="left"/>
              <w:rPr/>
            </w:pPr>
            <w:r>
              <w:rPr/>
              <w:t>​</w:t>
            </w:r>
          </w:p>
        </w:tc>
        <w:tc>
          <w:tcPr>
            <w:tcW w:w="102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55" w:type="dxa"/>
            <w:tcBorders/>
            <w:shd w:fill="CCEEFF" w:val="clear"/>
            <w:vAlign w:val="center"/>
          </w:tcPr>
          <w:p>
            <w:pPr>
              <w:pStyle w:val="TableContents"/>
              <w:bidi w:val="0"/>
              <w:spacing w:before="0" w:after="0"/>
              <w:ind w:left="0" w:right="0" w:hanging="0"/>
              <w:jc w:val="left"/>
              <w:rPr/>
            </w:pPr>
            <w:r>
              <w:rPr/>
              <w:t>​</w:t>
            </w:r>
          </w:p>
        </w:tc>
        <w:tc>
          <w:tcPr>
            <w:tcW w:w="1021"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10,960</w:t>
            </w:r>
          </w:p>
        </w:tc>
        <w:tc>
          <w:tcPr>
            <w:tcW w:w="109" w:type="dxa"/>
            <w:tcBorders/>
            <w:shd w:fill="CCEEFF" w:val="clear"/>
            <w:vAlign w:val="center"/>
          </w:tcPr>
          <w:p>
            <w:pPr>
              <w:pStyle w:val="TableContents"/>
              <w:bidi w:val="0"/>
              <w:spacing w:before="0" w:after="0"/>
              <w:ind w:left="0" w:right="0" w:hanging="0"/>
              <w:jc w:val="left"/>
              <w:rPr/>
            </w:pPr>
            <w:r>
              <w:rPr/>
              <w:t>​</w:t>
            </w:r>
          </w:p>
        </w:tc>
        <w:tc>
          <w:tcPr>
            <w:tcW w:w="255" w:type="dxa"/>
            <w:tcBorders/>
            <w:shd w:fill="CCEEFF" w:val="clear"/>
            <w:vAlign w:val="center"/>
          </w:tcPr>
          <w:p>
            <w:pPr>
              <w:pStyle w:val="TableContents"/>
              <w:bidi w:val="0"/>
              <w:spacing w:before="0" w:after="0"/>
              <w:ind w:left="0" w:right="0" w:hanging="0"/>
              <w:jc w:val="left"/>
              <w:rPr/>
            </w:pPr>
            <w:r>
              <w:rPr/>
              <w:t>​</w:t>
            </w:r>
          </w:p>
        </w:tc>
        <w:tc>
          <w:tcPr>
            <w:tcW w:w="102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54" w:type="dxa"/>
            <w:tcBorders/>
            <w:shd w:fill="CCEEFF" w:val="clear"/>
            <w:vAlign w:val="center"/>
          </w:tcPr>
          <w:p>
            <w:pPr>
              <w:pStyle w:val="TableContents"/>
              <w:bidi w:val="0"/>
              <w:spacing w:before="0" w:after="0"/>
              <w:ind w:left="0" w:right="0" w:hanging="0"/>
              <w:jc w:val="left"/>
              <w:rPr/>
            </w:pPr>
            <w:r>
              <w:rPr/>
              <w:t>​</w:t>
            </w:r>
          </w:p>
        </w:tc>
        <w:tc>
          <w:tcPr>
            <w:tcW w:w="1067"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10,960</w:t>
            </w:r>
          </w:p>
        </w:tc>
      </w:tr>
      <w:tr>
        <w:trPr/>
        <w:tc>
          <w:tcPr>
            <w:tcW w:w="4729"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Gain on insurance related to operating activities</w:t>
            </w:r>
          </w:p>
        </w:tc>
        <w:tc>
          <w:tcPr>
            <w:tcW w:w="255" w:type="dxa"/>
            <w:tcBorders/>
            <w:vAlign w:val="center"/>
          </w:tcPr>
          <w:p>
            <w:pPr>
              <w:pStyle w:val="TableContents"/>
              <w:bidi w:val="0"/>
              <w:spacing w:before="0" w:after="0"/>
              <w:ind w:left="0" w:right="0" w:hanging="0"/>
              <w:jc w:val="left"/>
              <w:rPr/>
            </w:pPr>
            <w:r>
              <w:rPr/>
              <w:t>​</w:t>
            </w:r>
          </w:p>
        </w:tc>
        <w:tc>
          <w:tcPr>
            <w:tcW w:w="102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146</w:t>
            </w:r>
          </w:p>
        </w:tc>
        <w:tc>
          <w:tcPr>
            <w:tcW w:w="109" w:type="dxa"/>
            <w:tcBorders/>
            <w:vAlign w:val="center"/>
          </w:tcPr>
          <w:p>
            <w:pPr>
              <w:pStyle w:val="TableContents"/>
              <w:bidi w:val="0"/>
              <w:spacing w:before="0" w:after="0"/>
              <w:ind w:left="0" w:right="0" w:hanging="0"/>
              <w:jc w:val="left"/>
              <w:rPr/>
            </w:pPr>
            <w:r>
              <w:rPr/>
              <w:t>​</w:t>
            </w:r>
          </w:p>
        </w:tc>
        <w:tc>
          <w:tcPr>
            <w:tcW w:w="255" w:type="dxa"/>
            <w:tcBorders/>
            <w:vAlign w:val="center"/>
          </w:tcPr>
          <w:p>
            <w:pPr>
              <w:pStyle w:val="TableContents"/>
              <w:bidi w:val="0"/>
              <w:spacing w:before="0" w:after="0"/>
              <w:ind w:left="0" w:right="0" w:hanging="0"/>
              <w:jc w:val="left"/>
              <w:rPr/>
            </w:pPr>
            <w:r>
              <w:rPr/>
              <w:t>​</w:t>
            </w:r>
          </w:p>
        </w:tc>
        <w:tc>
          <w:tcPr>
            <w:tcW w:w="102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55" w:type="dxa"/>
            <w:tcBorders/>
            <w:vAlign w:val="center"/>
          </w:tcPr>
          <w:p>
            <w:pPr>
              <w:pStyle w:val="TableContents"/>
              <w:bidi w:val="0"/>
              <w:spacing w:before="0" w:after="0"/>
              <w:ind w:left="0" w:right="0" w:hanging="0"/>
              <w:jc w:val="left"/>
              <w:rPr/>
            </w:pPr>
            <w:r>
              <w:rPr/>
              <w:t>​</w:t>
            </w:r>
          </w:p>
        </w:tc>
        <w:tc>
          <w:tcPr>
            <w:tcW w:w="102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146</w:t>
            </w:r>
          </w:p>
        </w:tc>
        <w:tc>
          <w:tcPr>
            <w:tcW w:w="109" w:type="dxa"/>
            <w:tcBorders/>
            <w:vAlign w:val="center"/>
          </w:tcPr>
          <w:p>
            <w:pPr>
              <w:pStyle w:val="TableContents"/>
              <w:bidi w:val="0"/>
              <w:spacing w:before="0" w:after="0"/>
              <w:ind w:left="0" w:right="0" w:hanging="0"/>
              <w:jc w:val="left"/>
              <w:rPr/>
            </w:pPr>
            <w:r>
              <w:rPr/>
              <w:t>​</w:t>
            </w:r>
          </w:p>
        </w:tc>
        <w:tc>
          <w:tcPr>
            <w:tcW w:w="254" w:type="dxa"/>
            <w:tcBorders/>
            <w:vAlign w:val="center"/>
          </w:tcPr>
          <w:p>
            <w:pPr>
              <w:pStyle w:val="TableContents"/>
              <w:bidi w:val="0"/>
              <w:spacing w:before="0" w:after="0"/>
              <w:ind w:left="0" w:right="0" w:hanging="0"/>
              <w:jc w:val="left"/>
              <w:rPr/>
            </w:pPr>
            <w:r>
              <w:rPr/>
              <w:t>​</w:t>
            </w:r>
          </w:p>
        </w:tc>
        <w:tc>
          <w:tcPr>
            <w:tcW w:w="1067" w:type="dxa"/>
            <w:tcBorders/>
            <w:vAlign w:val="center"/>
          </w:tcPr>
          <w:p>
            <w:pPr>
              <w:pStyle w:val="TableContents"/>
              <w:bidi w:val="0"/>
              <w:spacing w:before="0" w:after="0"/>
              <w:ind w:left="0" w:right="0" w:hanging="0"/>
              <w:jc w:val="right"/>
              <w:rPr/>
            </w:pPr>
            <w:r>
              <w:rPr/>
              <w:t>—</w:t>
            </w:r>
          </w:p>
        </w:tc>
      </w:tr>
      <w:tr>
        <w:trPr/>
        <w:tc>
          <w:tcPr>
            <w:tcW w:w="4729"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Depreciation</w:t>
            </w:r>
          </w:p>
        </w:tc>
        <w:tc>
          <w:tcPr>
            <w:tcW w:w="255" w:type="dxa"/>
            <w:tcBorders/>
            <w:shd w:fill="CCEEFF" w:val="clear"/>
            <w:vAlign w:val="center"/>
          </w:tcPr>
          <w:p>
            <w:pPr>
              <w:pStyle w:val="TableContents"/>
              <w:bidi w:val="0"/>
              <w:spacing w:before="0" w:after="0"/>
              <w:ind w:left="0" w:right="0" w:hanging="0"/>
              <w:jc w:val="left"/>
              <w:rPr/>
            </w:pPr>
            <w:r>
              <w:rPr/>
              <w:t>​</w:t>
            </w:r>
          </w:p>
        </w:tc>
        <w:tc>
          <w:tcPr>
            <w:tcW w:w="1021"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(5,446)</w:t>
            </w:r>
          </w:p>
        </w:tc>
        <w:tc>
          <w:tcPr>
            <w:tcW w:w="109" w:type="dxa"/>
            <w:tcBorders/>
            <w:shd w:fill="CCEEFF" w:val="clear"/>
            <w:vAlign w:val="center"/>
          </w:tcPr>
          <w:p>
            <w:pPr>
              <w:pStyle w:val="TableContents"/>
              <w:bidi w:val="0"/>
              <w:spacing w:before="0" w:after="0"/>
              <w:ind w:left="0" w:right="0" w:hanging="0"/>
              <w:jc w:val="left"/>
              <w:rPr/>
            </w:pPr>
            <w:r>
              <w:rPr/>
              <w:t>​</w:t>
            </w:r>
          </w:p>
        </w:tc>
        <w:tc>
          <w:tcPr>
            <w:tcW w:w="255" w:type="dxa"/>
            <w:tcBorders/>
            <w:shd w:fill="CCEEFF" w:val="clear"/>
            <w:vAlign w:val="center"/>
          </w:tcPr>
          <w:p>
            <w:pPr>
              <w:pStyle w:val="TableContents"/>
              <w:bidi w:val="0"/>
              <w:spacing w:before="0" w:after="0"/>
              <w:ind w:left="0" w:right="0" w:hanging="0"/>
              <w:jc w:val="left"/>
              <w:rPr/>
            </w:pPr>
            <w:r>
              <w:rPr/>
              <w:t>​</w:t>
            </w:r>
          </w:p>
        </w:tc>
        <w:tc>
          <w:tcPr>
            <w:tcW w:w="1021"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(4,548)</w:t>
            </w:r>
          </w:p>
        </w:tc>
        <w:tc>
          <w:tcPr>
            <w:tcW w:w="109" w:type="dxa"/>
            <w:tcBorders/>
            <w:shd w:fill="CCEEFF" w:val="clear"/>
            <w:vAlign w:val="center"/>
          </w:tcPr>
          <w:p>
            <w:pPr>
              <w:pStyle w:val="TableContents"/>
              <w:bidi w:val="0"/>
              <w:spacing w:before="0" w:after="0"/>
              <w:ind w:left="0" w:right="0" w:hanging="0"/>
              <w:jc w:val="left"/>
              <w:rPr/>
            </w:pPr>
            <w:r>
              <w:rPr/>
              <w:t>​</w:t>
            </w:r>
          </w:p>
        </w:tc>
        <w:tc>
          <w:tcPr>
            <w:tcW w:w="255" w:type="dxa"/>
            <w:tcBorders/>
            <w:shd w:fill="CCEEFF" w:val="clear"/>
            <w:vAlign w:val="center"/>
          </w:tcPr>
          <w:p>
            <w:pPr>
              <w:pStyle w:val="TableContents"/>
              <w:bidi w:val="0"/>
              <w:spacing w:before="0" w:after="0"/>
              <w:ind w:left="0" w:right="0" w:hanging="0"/>
              <w:jc w:val="left"/>
              <w:rPr/>
            </w:pPr>
            <w:r>
              <w:rPr/>
              <w:t>​</w:t>
            </w:r>
          </w:p>
        </w:tc>
        <w:tc>
          <w:tcPr>
            <w:tcW w:w="1021"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(10,554)</w:t>
            </w:r>
          </w:p>
        </w:tc>
        <w:tc>
          <w:tcPr>
            <w:tcW w:w="109" w:type="dxa"/>
            <w:tcBorders/>
            <w:shd w:fill="CCEEFF" w:val="clear"/>
            <w:vAlign w:val="center"/>
          </w:tcPr>
          <w:p>
            <w:pPr>
              <w:pStyle w:val="TableContents"/>
              <w:bidi w:val="0"/>
              <w:spacing w:before="0" w:after="0"/>
              <w:ind w:left="0" w:right="0" w:hanging="0"/>
              <w:jc w:val="left"/>
              <w:rPr/>
            </w:pPr>
            <w:r>
              <w:rPr/>
              <w:t>​</w:t>
            </w:r>
          </w:p>
        </w:tc>
        <w:tc>
          <w:tcPr>
            <w:tcW w:w="254" w:type="dxa"/>
            <w:tcBorders/>
            <w:shd w:fill="CCEEFF" w:val="clear"/>
            <w:vAlign w:val="center"/>
          </w:tcPr>
          <w:p>
            <w:pPr>
              <w:pStyle w:val="TableContents"/>
              <w:bidi w:val="0"/>
              <w:spacing w:before="0" w:after="0"/>
              <w:ind w:left="0" w:right="0" w:hanging="0"/>
              <w:jc w:val="left"/>
              <w:rPr/>
            </w:pPr>
            <w:r>
              <w:rPr/>
              <w:t>​</w:t>
            </w:r>
          </w:p>
        </w:tc>
        <w:tc>
          <w:tcPr>
            <w:tcW w:w="1067"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(8,918)</w:t>
            </w:r>
          </w:p>
        </w:tc>
      </w:tr>
      <w:tr>
        <w:trPr/>
        <w:tc>
          <w:tcPr>
            <w:tcW w:w="4729"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Asset impairment</w:t>
            </w:r>
          </w:p>
        </w:tc>
        <w:tc>
          <w:tcPr>
            <w:tcW w:w="255" w:type="dxa"/>
            <w:tcBorders/>
            <w:vAlign w:val="center"/>
          </w:tcPr>
          <w:p>
            <w:pPr>
              <w:pStyle w:val="TableContents"/>
              <w:bidi w:val="0"/>
              <w:spacing w:before="0" w:after="0"/>
              <w:ind w:left="0" w:right="0" w:hanging="0"/>
              <w:jc w:val="left"/>
              <w:rPr/>
            </w:pPr>
            <w:r>
              <w:rPr/>
              <w:t>​</w:t>
            </w:r>
          </w:p>
        </w:tc>
        <w:tc>
          <w:tcPr>
            <w:tcW w:w="102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55" w:type="dxa"/>
            <w:tcBorders/>
            <w:vAlign w:val="center"/>
          </w:tcPr>
          <w:p>
            <w:pPr>
              <w:pStyle w:val="TableContents"/>
              <w:bidi w:val="0"/>
              <w:spacing w:before="0" w:after="0"/>
              <w:ind w:left="0" w:right="0" w:hanging="0"/>
              <w:jc w:val="left"/>
              <w:rPr/>
            </w:pPr>
            <w:r>
              <w:rPr/>
              <w:t>​</w:t>
            </w:r>
          </w:p>
        </w:tc>
        <w:tc>
          <w:tcPr>
            <w:tcW w:w="102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(263)</w:t>
            </w:r>
          </w:p>
        </w:tc>
        <w:tc>
          <w:tcPr>
            <w:tcW w:w="109" w:type="dxa"/>
            <w:tcBorders/>
            <w:vAlign w:val="center"/>
          </w:tcPr>
          <w:p>
            <w:pPr>
              <w:pStyle w:val="TableContents"/>
              <w:bidi w:val="0"/>
              <w:spacing w:before="0" w:after="0"/>
              <w:ind w:left="0" w:right="0" w:hanging="0"/>
              <w:jc w:val="left"/>
              <w:rPr/>
            </w:pPr>
            <w:r>
              <w:rPr/>
              <w:t>​</w:t>
            </w:r>
          </w:p>
        </w:tc>
        <w:tc>
          <w:tcPr>
            <w:tcW w:w="255" w:type="dxa"/>
            <w:tcBorders/>
            <w:vAlign w:val="center"/>
          </w:tcPr>
          <w:p>
            <w:pPr>
              <w:pStyle w:val="TableContents"/>
              <w:bidi w:val="0"/>
              <w:spacing w:before="0" w:after="0"/>
              <w:ind w:left="0" w:right="0" w:hanging="0"/>
              <w:jc w:val="left"/>
              <w:rPr/>
            </w:pPr>
            <w:r>
              <w:rPr/>
              <w:t>​</w:t>
            </w:r>
          </w:p>
        </w:tc>
        <w:tc>
          <w:tcPr>
            <w:tcW w:w="102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w:t>
            </w:r>
          </w:p>
        </w:tc>
        <w:tc>
          <w:tcPr>
            <w:tcW w:w="109" w:type="dxa"/>
            <w:tcBorders/>
            <w:vAlign w:val="center"/>
          </w:tcPr>
          <w:p>
            <w:pPr>
              <w:pStyle w:val="TableContents"/>
              <w:bidi w:val="0"/>
              <w:spacing w:before="0" w:after="0"/>
              <w:ind w:left="0" w:right="0" w:hanging="0"/>
              <w:jc w:val="left"/>
              <w:rPr/>
            </w:pPr>
            <w:r>
              <w:rPr/>
              <w:t>​</w:t>
            </w:r>
          </w:p>
        </w:tc>
        <w:tc>
          <w:tcPr>
            <w:tcW w:w="254" w:type="dxa"/>
            <w:tcBorders/>
            <w:vAlign w:val="center"/>
          </w:tcPr>
          <w:p>
            <w:pPr>
              <w:pStyle w:val="TableContents"/>
              <w:bidi w:val="0"/>
              <w:spacing w:before="0" w:after="0"/>
              <w:ind w:left="0" w:right="0" w:hanging="0"/>
              <w:jc w:val="left"/>
              <w:rPr/>
            </w:pPr>
            <w:r>
              <w:rPr/>
              <w:t>​</w:t>
            </w:r>
          </w:p>
        </w:tc>
        <w:tc>
          <w:tcPr>
            <w:tcW w:w="1067"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(327)</w:t>
            </w:r>
          </w:p>
        </w:tc>
      </w:tr>
      <w:tr>
        <w:trPr/>
        <w:tc>
          <w:tcPr>
            <w:tcW w:w="4729"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Interest income</w:t>
            </w:r>
          </w:p>
        </w:tc>
        <w:tc>
          <w:tcPr>
            <w:tcW w:w="255" w:type="dxa"/>
            <w:tcBorders/>
            <w:shd w:fill="CCEEFF" w:val="clear"/>
            <w:vAlign w:val="center"/>
          </w:tcPr>
          <w:p>
            <w:pPr>
              <w:pStyle w:val="TableContents"/>
              <w:bidi w:val="0"/>
              <w:spacing w:before="0" w:after="0"/>
              <w:ind w:left="0" w:right="0" w:hanging="0"/>
              <w:jc w:val="left"/>
              <w:rPr/>
            </w:pPr>
            <w:r>
              <w:rPr/>
              <w:t>​</w:t>
            </w:r>
          </w:p>
        </w:tc>
        <w:tc>
          <w:tcPr>
            <w:tcW w:w="1021"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541</w:t>
            </w:r>
          </w:p>
        </w:tc>
        <w:tc>
          <w:tcPr>
            <w:tcW w:w="109" w:type="dxa"/>
            <w:tcBorders/>
            <w:shd w:fill="CCEEFF" w:val="clear"/>
            <w:vAlign w:val="center"/>
          </w:tcPr>
          <w:p>
            <w:pPr>
              <w:pStyle w:val="TableContents"/>
              <w:bidi w:val="0"/>
              <w:spacing w:before="0" w:after="0"/>
              <w:ind w:left="0" w:right="0" w:hanging="0"/>
              <w:jc w:val="left"/>
              <w:rPr/>
            </w:pPr>
            <w:r>
              <w:rPr/>
              <w:t>​</w:t>
            </w:r>
          </w:p>
        </w:tc>
        <w:tc>
          <w:tcPr>
            <w:tcW w:w="255" w:type="dxa"/>
            <w:tcBorders/>
            <w:shd w:fill="CCEEFF" w:val="clear"/>
            <w:vAlign w:val="center"/>
          </w:tcPr>
          <w:p>
            <w:pPr>
              <w:pStyle w:val="TableContents"/>
              <w:bidi w:val="0"/>
              <w:spacing w:before="0" w:after="0"/>
              <w:ind w:left="0" w:right="0" w:hanging="0"/>
              <w:jc w:val="left"/>
              <w:rPr/>
            </w:pPr>
            <w:r>
              <w:rPr/>
              <w:t>​</w:t>
            </w:r>
          </w:p>
        </w:tc>
        <w:tc>
          <w:tcPr>
            <w:tcW w:w="1021"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389</w:t>
            </w:r>
          </w:p>
        </w:tc>
        <w:tc>
          <w:tcPr>
            <w:tcW w:w="109" w:type="dxa"/>
            <w:tcBorders/>
            <w:shd w:fill="CCEEFF" w:val="clear"/>
            <w:vAlign w:val="center"/>
          </w:tcPr>
          <w:p>
            <w:pPr>
              <w:pStyle w:val="TableContents"/>
              <w:bidi w:val="0"/>
              <w:spacing w:before="0" w:after="0"/>
              <w:ind w:left="0" w:right="0" w:hanging="0"/>
              <w:jc w:val="left"/>
              <w:rPr/>
            </w:pPr>
            <w:r>
              <w:rPr/>
              <w:t>​</w:t>
            </w:r>
          </w:p>
        </w:tc>
        <w:tc>
          <w:tcPr>
            <w:tcW w:w="255" w:type="dxa"/>
            <w:tcBorders/>
            <w:shd w:fill="CCEEFF" w:val="clear"/>
            <w:vAlign w:val="center"/>
          </w:tcPr>
          <w:p>
            <w:pPr>
              <w:pStyle w:val="TableContents"/>
              <w:bidi w:val="0"/>
              <w:spacing w:before="0" w:after="0"/>
              <w:ind w:left="0" w:right="0" w:hanging="0"/>
              <w:jc w:val="left"/>
              <w:rPr/>
            </w:pPr>
            <w:r>
              <w:rPr/>
              <w:t>​</w:t>
            </w:r>
          </w:p>
        </w:tc>
        <w:tc>
          <w:tcPr>
            <w:tcW w:w="1021"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1,188</w:t>
            </w:r>
          </w:p>
        </w:tc>
        <w:tc>
          <w:tcPr>
            <w:tcW w:w="109" w:type="dxa"/>
            <w:tcBorders/>
            <w:shd w:fill="CCEEFF" w:val="clear"/>
            <w:vAlign w:val="center"/>
          </w:tcPr>
          <w:p>
            <w:pPr>
              <w:pStyle w:val="TableContents"/>
              <w:bidi w:val="0"/>
              <w:spacing w:before="0" w:after="0"/>
              <w:ind w:left="0" w:right="0" w:hanging="0"/>
              <w:jc w:val="left"/>
              <w:rPr/>
            </w:pPr>
            <w:r>
              <w:rPr/>
              <w:t>​</w:t>
            </w:r>
          </w:p>
        </w:tc>
        <w:tc>
          <w:tcPr>
            <w:tcW w:w="254" w:type="dxa"/>
            <w:tcBorders/>
            <w:shd w:fill="CCEEFF" w:val="clear"/>
            <w:vAlign w:val="center"/>
          </w:tcPr>
          <w:p>
            <w:pPr>
              <w:pStyle w:val="TableContents"/>
              <w:bidi w:val="0"/>
              <w:spacing w:before="0" w:after="0"/>
              <w:ind w:left="0" w:right="0" w:hanging="0"/>
              <w:jc w:val="left"/>
              <w:rPr/>
            </w:pPr>
            <w:r>
              <w:rPr/>
              <w:t>​</w:t>
            </w:r>
          </w:p>
        </w:tc>
        <w:tc>
          <w:tcPr>
            <w:tcW w:w="1067"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847</w:t>
            </w:r>
          </w:p>
        </w:tc>
      </w:tr>
      <w:tr>
        <w:trPr/>
        <w:tc>
          <w:tcPr>
            <w:tcW w:w="4729"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Interest expense</w:t>
            </w:r>
          </w:p>
        </w:tc>
        <w:tc>
          <w:tcPr>
            <w:tcW w:w="255" w:type="dxa"/>
            <w:tcBorders/>
            <w:vAlign w:val="center"/>
          </w:tcPr>
          <w:p>
            <w:pPr>
              <w:pStyle w:val="TableContents"/>
              <w:bidi w:val="0"/>
              <w:spacing w:before="0" w:after="0"/>
              <w:ind w:left="0" w:right="0" w:hanging="0"/>
              <w:jc w:val="left"/>
              <w:rPr/>
            </w:pPr>
            <w:r>
              <w:rPr/>
              <w:t>​</w:t>
            </w:r>
          </w:p>
        </w:tc>
        <w:tc>
          <w:tcPr>
            <w:tcW w:w="102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(89)</w:t>
            </w:r>
          </w:p>
        </w:tc>
        <w:tc>
          <w:tcPr>
            <w:tcW w:w="109" w:type="dxa"/>
            <w:tcBorders/>
            <w:vAlign w:val="center"/>
          </w:tcPr>
          <w:p>
            <w:pPr>
              <w:pStyle w:val="TableContents"/>
              <w:bidi w:val="0"/>
              <w:spacing w:before="0" w:after="0"/>
              <w:ind w:left="0" w:right="0" w:hanging="0"/>
              <w:jc w:val="left"/>
              <w:rPr/>
            </w:pPr>
            <w:r>
              <w:rPr/>
              <w:t>​</w:t>
            </w:r>
          </w:p>
        </w:tc>
        <w:tc>
          <w:tcPr>
            <w:tcW w:w="255" w:type="dxa"/>
            <w:tcBorders/>
            <w:vAlign w:val="center"/>
          </w:tcPr>
          <w:p>
            <w:pPr>
              <w:pStyle w:val="TableContents"/>
              <w:bidi w:val="0"/>
              <w:spacing w:before="0" w:after="0"/>
              <w:ind w:left="0" w:right="0" w:hanging="0"/>
              <w:jc w:val="left"/>
              <w:rPr/>
            </w:pPr>
            <w:r>
              <w:rPr/>
              <w:t>​</w:t>
            </w:r>
          </w:p>
        </w:tc>
        <w:tc>
          <w:tcPr>
            <w:tcW w:w="102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(88)</w:t>
            </w:r>
          </w:p>
        </w:tc>
        <w:tc>
          <w:tcPr>
            <w:tcW w:w="109" w:type="dxa"/>
            <w:tcBorders/>
            <w:vAlign w:val="center"/>
          </w:tcPr>
          <w:p>
            <w:pPr>
              <w:pStyle w:val="TableContents"/>
              <w:bidi w:val="0"/>
              <w:spacing w:before="0" w:after="0"/>
              <w:ind w:left="0" w:right="0" w:hanging="0"/>
              <w:jc w:val="left"/>
              <w:rPr/>
            </w:pPr>
            <w:r>
              <w:rPr/>
              <w:t>​</w:t>
            </w:r>
          </w:p>
        </w:tc>
        <w:tc>
          <w:tcPr>
            <w:tcW w:w="255" w:type="dxa"/>
            <w:tcBorders/>
            <w:vAlign w:val="center"/>
          </w:tcPr>
          <w:p>
            <w:pPr>
              <w:pStyle w:val="TableContents"/>
              <w:bidi w:val="0"/>
              <w:spacing w:before="0" w:after="0"/>
              <w:ind w:left="0" w:right="0" w:hanging="0"/>
              <w:jc w:val="left"/>
              <w:rPr/>
            </w:pPr>
            <w:r>
              <w:rPr/>
              <w:t>​</w:t>
            </w:r>
          </w:p>
        </w:tc>
        <w:tc>
          <w:tcPr>
            <w:tcW w:w="102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(175)</w:t>
            </w:r>
          </w:p>
        </w:tc>
        <w:tc>
          <w:tcPr>
            <w:tcW w:w="109" w:type="dxa"/>
            <w:tcBorders/>
            <w:vAlign w:val="center"/>
          </w:tcPr>
          <w:p>
            <w:pPr>
              <w:pStyle w:val="TableContents"/>
              <w:bidi w:val="0"/>
              <w:spacing w:before="0" w:after="0"/>
              <w:ind w:left="0" w:right="0" w:hanging="0"/>
              <w:jc w:val="left"/>
              <w:rPr/>
            </w:pPr>
            <w:r>
              <w:rPr/>
              <w:t>​</w:t>
            </w:r>
          </w:p>
        </w:tc>
        <w:tc>
          <w:tcPr>
            <w:tcW w:w="254" w:type="dxa"/>
            <w:tcBorders/>
            <w:vAlign w:val="center"/>
          </w:tcPr>
          <w:p>
            <w:pPr>
              <w:pStyle w:val="TableContents"/>
              <w:bidi w:val="0"/>
              <w:spacing w:before="0" w:after="0"/>
              <w:ind w:left="0" w:right="0" w:hanging="0"/>
              <w:jc w:val="left"/>
              <w:rPr/>
            </w:pPr>
            <w:r>
              <w:rPr/>
              <w:t>​</w:t>
            </w:r>
          </w:p>
        </w:tc>
        <w:tc>
          <w:tcPr>
            <w:tcW w:w="1067"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(164)</w:t>
            </w:r>
          </w:p>
        </w:tc>
      </w:tr>
      <w:tr>
        <w:trPr/>
        <w:tc>
          <w:tcPr>
            <w:tcW w:w="4729"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Income tax benefit</w:t>
            </w:r>
          </w:p>
        </w:tc>
        <w:tc>
          <w:tcPr>
            <w:tcW w:w="25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324</w:t>
            </w:r>
          </w:p>
        </w:tc>
        <w:tc>
          <w:tcPr>
            <w:tcW w:w="109" w:type="dxa"/>
            <w:tcBorders/>
            <w:shd w:fill="CCEEFF" w:val="clear"/>
            <w:vAlign w:val="center"/>
          </w:tcPr>
          <w:p>
            <w:pPr>
              <w:pStyle w:val="TableContents"/>
              <w:bidi w:val="0"/>
              <w:spacing w:before="0" w:after="0"/>
              <w:ind w:left="0" w:right="0" w:hanging="0"/>
              <w:jc w:val="left"/>
              <w:rPr/>
            </w:pPr>
            <w:r>
              <w:rPr/>
              <w:t>​</w:t>
            </w:r>
          </w:p>
        </w:tc>
        <w:tc>
          <w:tcPr>
            <w:tcW w:w="25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5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142</w:t>
            </w:r>
          </w:p>
        </w:tc>
        <w:tc>
          <w:tcPr>
            <w:tcW w:w="109" w:type="dxa"/>
            <w:tcBorders/>
            <w:shd w:fill="CCEEFF" w:val="clear"/>
            <w:vAlign w:val="center"/>
          </w:tcPr>
          <w:p>
            <w:pPr>
              <w:pStyle w:val="TableContents"/>
              <w:bidi w:val="0"/>
              <w:spacing w:before="0" w:after="0"/>
              <w:ind w:left="0" w:right="0" w:hanging="0"/>
              <w:jc w:val="left"/>
              <w:rPr/>
            </w:pPr>
            <w:r>
              <w:rPr/>
              <w:t>​</w:t>
            </w:r>
          </w:p>
        </w:tc>
        <w:tc>
          <w:tcPr>
            <w:tcW w:w="25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6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4729"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Net Income (loss)</w:t>
            </w:r>
          </w:p>
        </w:tc>
        <w:tc>
          <w:tcPr>
            <w:tcW w:w="255"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1021"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(931)</w:t>
            </w:r>
          </w:p>
        </w:tc>
        <w:tc>
          <w:tcPr>
            <w:tcW w:w="109" w:type="dxa"/>
            <w:tcBorders/>
            <w:vAlign w:val="center"/>
          </w:tcPr>
          <w:p>
            <w:pPr>
              <w:pStyle w:val="TableContents"/>
              <w:bidi w:val="0"/>
              <w:spacing w:before="0" w:after="0"/>
              <w:ind w:left="0" w:right="0" w:hanging="0"/>
              <w:jc w:val="left"/>
              <w:rPr/>
            </w:pPr>
            <w:r>
              <w:rPr/>
              <w:t>​</w:t>
            </w:r>
          </w:p>
        </w:tc>
        <w:tc>
          <w:tcPr>
            <w:tcW w:w="255"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1021"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3,818</w:t>
            </w:r>
          </w:p>
        </w:tc>
        <w:tc>
          <w:tcPr>
            <w:tcW w:w="109" w:type="dxa"/>
            <w:tcBorders/>
            <w:vAlign w:val="center"/>
          </w:tcPr>
          <w:p>
            <w:pPr>
              <w:pStyle w:val="TableContents"/>
              <w:bidi w:val="0"/>
              <w:spacing w:before="0" w:after="0"/>
              <w:ind w:left="0" w:right="0" w:hanging="0"/>
              <w:jc w:val="left"/>
              <w:rPr/>
            </w:pPr>
            <w:r>
              <w:rPr/>
              <w:t>​</w:t>
            </w:r>
          </w:p>
        </w:tc>
        <w:tc>
          <w:tcPr>
            <w:tcW w:w="255"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1021"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6,823</w:t>
            </w:r>
          </w:p>
        </w:tc>
        <w:tc>
          <w:tcPr>
            <w:tcW w:w="109" w:type="dxa"/>
            <w:tcBorders/>
            <w:vAlign w:val="center"/>
          </w:tcPr>
          <w:p>
            <w:pPr>
              <w:pStyle w:val="TableContents"/>
              <w:bidi w:val="0"/>
              <w:spacing w:before="0" w:after="0"/>
              <w:ind w:left="0" w:right="0" w:hanging="0"/>
              <w:jc w:val="left"/>
              <w:rPr/>
            </w:pPr>
            <w:r>
              <w:rPr/>
              <w:t>​</w:t>
            </w:r>
          </w:p>
        </w:tc>
        <w:tc>
          <w:tcPr>
            <w:tcW w:w="254"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1067" w:type="dxa"/>
            <w:tcBorders>
              <w:bottom w:val="double" w:sz="6" w:space="0" w:color="000000"/>
            </w:tcBorders>
            <w:tcMar>
              <w:bottom w:w="28" w:type="dxa"/>
            </w:tcMar>
            <w:vAlign w:val="center"/>
          </w:tcPr>
          <w:p>
            <w:pPr>
              <w:pStyle w:val="TableContents"/>
              <w:bidi w:val="0"/>
              <w:spacing w:before="0" w:after="0"/>
              <w:ind w:left="0" w:right="60" w:hanging="0"/>
              <w:jc w:val="right"/>
              <w:rPr>
                <w:rFonts w:ascii="Arial;Helvetica;sans-serif" w:hAnsi="Arial;Helvetica;sans-serif"/>
                <w:sz w:val="18"/>
              </w:rPr>
            </w:pPr>
            <w:r>
              <w:rPr>
                <w:rFonts w:ascii="Arial;Helvetica;sans-serif" w:hAnsi="Arial;Helvetica;sans-serif"/>
                <w:sz w:val="18"/>
              </w:rPr>
              <w:t>4,689</w:t>
            </w:r>
          </w:p>
        </w:tc>
      </w:tr>
    </w:tbl>
    <w:p>
      <w:pPr>
        <w:pStyle w:val="TextBody"/>
        <w:bidi w:val="0"/>
        <w:spacing w:lineRule="auto" w:line="307" w:before="0" w:after="0"/>
        <w:ind w:left="0" w:right="0" w:hanging="0"/>
        <w:jc w:val="left"/>
        <w:rPr/>
      </w:pPr>
      <w:r>
        <w:rPr/>
        <w:t>​</w:t>
      </w:r>
    </w:p>
    <w:p>
      <w:pPr>
        <w:pStyle w:val="TextBody"/>
        <w:bidi w:val="0"/>
        <w:spacing w:lineRule="auto" w:line="240" w:before="0" w:after="0"/>
        <w:ind w:left="0" w:right="0" w:hanging="0"/>
        <w:jc w:val="left"/>
        <w:rPr>
          <w:rFonts w:ascii="Times New Roman;Times;serif" w:hAnsi="Times New Roman;Times;serif"/>
          <w:sz w:val="18"/>
        </w:rPr>
      </w:pPr>
      <w:r>
        <w:rPr>
          <w:rFonts w:ascii="Helvetica" w:hAnsi="Helvetica"/>
          <w:sz w:val="14"/>
        </w:rPr>
        <w:t>(1)</w:t>
      </w:r>
      <w:r>
        <w:rPr>
          <w:rFonts w:ascii="Times New Roman;Times;serif" w:hAnsi="Times New Roman;Times;serif"/>
          <w:sz w:val="18"/>
        </w:rPr>
        <w:t xml:space="preserve"> </w:t>
      </w:r>
      <w:r>
        <w:rPr>
          <w:rFonts w:ascii="Helvetica" w:hAnsi="Helvetica"/>
          <w:sz w:val="18"/>
        </w:rPr>
        <w:t>Other segment expenses represent other store, corporate and distribution center expenses including utilities, repairs, supplies, insurance, professional fees and other miscellaneous fees.</w:t>
      </w:r>
    </w:p>
    <w:p>
      <w:pPr>
        <w:pStyle w:val="TextBody"/>
        <w:bidi w:val="0"/>
        <w:spacing w:before="480" w:after="0"/>
        <w:ind w:left="0" w:right="0" w:hanging="0"/>
        <w:jc w:val="center"/>
        <w:rPr>
          <w:rFonts w:ascii="Helvetica" w:hAnsi="Helvetica"/>
          <w:sz w:val="18"/>
        </w:rPr>
      </w:pPr>
      <w:r>
        <w:rPr>
          <w:rFonts w:ascii="Helvetica" w:hAnsi="Helvetica"/>
          <w:sz w:val="18"/>
        </w:rPr>
        <w:t>13</w:t>
      </w:r>
    </w:p>
    <w:p>
      <w:pPr>
        <w:pStyle w:val="TextBody"/>
        <w:bidi w:val="0"/>
        <w:spacing w:before="0" w:after="6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lineRule="auto" w:line="307" w:before="0" w:after="240"/>
        <w:ind w:left="0" w:right="0" w:hanging="0"/>
        <w:jc w:val="left"/>
        <w:rPr/>
      </w:pPr>
      <w:r>
        <w:rPr/>
        <w:t>​</w:t>
      </w:r>
    </w:p>
    <w:p>
      <w:pPr>
        <w:pStyle w:val="TextBody"/>
        <w:bidi w:val="0"/>
        <w:spacing w:lineRule="auto" w:line="307" w:before="0" w:after="240"/>
        <w:ind w:left="0" w:right="0" w:hanging="0"/>
        <w:jc w:val="left"/>
        <w:rPr>
          <w:rFonts w:ascii="Helvetica" w:hAnsi="Helvetica"/>
          <w:b/>
          <w:sz w:val="18"/>
        </w:rPr>
      </w:pPr>
      <w:bookmarkStart w:id="962" w:name="Item2ManagementsDiscussionandAnalysis_36"/>
      <w:bookmarkStart w:id="963" w:name="_a0d26570_1929_4ffd_9139_498f61c0e138"/>
      <w:bookmarkEnd w:id="962"/>
      <w:bookmarkEnd w:id="963"/>
      <w:r>
        <w:rPr>
          <w:rFonts w:ascii="Helvetica" w:hAnsi="Helvetica"/>
          <w:b/>
          <w:sz w:val="18"/>
        </w:rPr>
        <w:t>Item 2. Management’s Discussion and Analysis of Financial Condition and Results of Operations.</w:t>
      </w:r>
    </w:p>
    <w:p>
      <w:pPr>
        <w:pStyle w:val="TextBody"/>
        <w:bidi w:val="0"/>
        <w:spacing w:lineRule="auto" w:line="307" w:before="0" w:after="240"/>
        <w:ind w:left="0" w:right="0" w:hanging="0"/>
        <w:jc w:val="left"/>
        <w:rPr>
          <w:rFonts w:ascii="Helvetica" w:hAnsi="Helvetica"/>
          <w:b/>
          <w:sz w:val="18"/>
        </w:rPr>
      </w:pPr>
      <w:r>
        <w:rPr>
          <w:rFonts w:ascii="Helvetica" w:hAnsi="Helvetica"/>
          <w:b/>
          <w:sz w:val="18"/>
        </w:rPr>
        <w:t>Forward-Looking Statements</w:t>
      </w:r>
    </w:p>
    <w:p>
      <w:pPr>
        <w:pStyle w:val="TextBody"/>
        <w:bidi w:val="0"/>
        <w:spacing w:lineRule="auto" w:line="307" w:before="0" w:after="240"/>
        <w:ind w:left="0" w:right="0" w:hanging="0"/>
        <w:jc w:val="left"/>
        <w:rPr>
          <w:rFonts w:ascii="Helvetica" w:hAnsi="Helvetica"/>
          <w:sz w:val="18"/>
        </w:rPr>
      </w:pPr>
      <w:r>
        <w:rPr>
          <w:rFonts w:ascii="Helvetica" w:hAnsi="Helvetica"/>
          <w:sz w:val="18"/>
        </w:rPr>
        <w:t>Except for specific historical information, many of the matters discussed in this Form 10-Q may express or imply projections of revenues or expenditures, statements of plans and objectives for future operations, growth or initiatives, statements of future economic performance, capital allocation expectations or statements regarding the outcome or impact of pending or threatened litigation. These, and similar statements, are forward-looking statements, as defined in the Private Securities Litigation Reform Act of 1995, concerning matters that involve risks, uncertainties and other factors that may cause the actual performance of the Company to differ materially from those expressed or implied by these statements. All forward-looking information should be evaluated in the context of these risks, uncertainties and other factors. The words “believe,” “anticipate,” “project,” “plan,” “expect,” “estimate,” “objective,” “forecast,” “goal,” “intend,” “could,” “will likely result,” or “will continue” and similar words and expressions generally identify forward-looking statements, although not all forward-looking statements contain such language. The Company believes the assumptions underlying these forward-looking statements are reasonable; however, any of the assumptions could be inaccurate, and therefore, actual results may differ materially from those projected in the forward-looking statements.</w:t>
      </w:r>
    </w:p>
    <w:p>
      <w:pPr>
        <w:pStyle w:val="TextBody"/>
        <w:bidi w:val="0"/>
        <w:spacing w:lineRule="auto" w:line="307" w:before="0" w:after="240"/>
        <w:ind w:left="0" w:right="0" w:hanging="0"/>
        <w:jc w:val="left"/>
        <w:rPr>
          <w:rFonts w:ascii="Times New Roman;Times;serif" w:hAnsi="Times New Roman;Times;serif"/>
          <w:sz w:val="18"/>
        </w:rPr>
      </w:pPr>
      <w:r>
        <w:rPr>
          <w:rFonts w:ascii="Helvetica" w:hAnsi="Helvetica"/>
          <w:sz w:val="18"/>
        </w:rPr>
        <w:t>The factors that may result in actual results differing from such forward-looking information include, but are not limited to: uncertainties relating to general economic conditions, including inflation, energy and fuel costs, unemployment levels, and any deterioration whether caused by acts of war, terrorism, political or social unrest (including any resulting store closures, damage or loss of inventory) or other factors; changes in market interest rates and market levels of wages; the imposition of new taxes on imports, new tariffs and changes in existing tariff rates; the imposition of new trade restrictions and changes in existing trade restrictions; impact of natural disasters such as hurricanes; uncertainty and economic impact of pandemics, epidemics or other public health emergencies; transportation and distribution delays or interruptions; changes in freight rates; the Company’s ability to attract and retain workers; the Company’s ability to negotiate effectively the cost and purchase of merchandise; inventory risks due to shifts in market demand; the Company’s ability to gauge fashion trends and changing consumer preferences; consumer confidence and changes in consumer spending patterns; competition within the industry; competition in our markets; the duration and extent of any economic stimulus programs; changes in product mix; interruptions in suppliers’ businesses;</w:t>
      </w:r>
      <w:r>
        <w:rPr>
          <w:rFonts w:ascii="Times New Roman;Times;serif" w:hAnsi="Times New Roman;Times;serif"/>
          <w:sz w:val="18"/>
        </w:rPr>
        <w:t xml:space="preserve"> </w:t>
      </w:r>
      <w:r>
        <w:rPr>
          <w:rFonts w:ascii="Helvetica" w:hAnsi="Helvetica"/>
          <w:sz w:val="18"/>
        </w:rPr>
        <w:t>risks related to cybersecurity, data privacy and intellectual property; temporary changes in demand due to weather patterns; seasonality of the Company’s business; the results of pending or threatened litigation; delays and costs associated with building, opening, remodeling, assuming leases and operating new stores; delays and costs associated with building, opening or expanding new or existing distribution centers; changes in regulatory requirements or stackholder’s expectations on environmental, social and sustainability related topics, challenges effectively managing the use of artificial intelligence; strategic transactions that could negatively impact our liquidity, increase our expenses, or present significant distractions to management; debt and equity market conditions, including the ability to access capital markets on favorable terms or at all; and other factors described in the section titled “Item 1A. Risk Factors” and elsewhere in the Company’s Annual Report on Form 10-K for the fiscal year ended January 31, 2026 and in Part II, “Item 1A. Risk Factors” and elsewhere in the Company’s Quarterly Reports on Form 10-Q and any amendments thereto and in the other documents the Company files with the SEC, including reports on Form 8-K.</w:t>
      </w:r>
    </w:p>
    <w:p>
      <w:pPr>
        <w:pStyle w:val="TextBody"/>
        <w:bidi w:val="0"/>
        <w:spacing w:lineRule="auto" w:line="307" w:before="0" w:after="240"/>
        <w:ind w:left="0" w:right="0" w:hanging="0"/>
        <w:jc w:val="left"/>
        <w:rPr>
          <w:rFonts w:ascii="Helvetica" w:hAnsi="Helvetica"/>
          <w:sz w:val="18"/>
        </w:rPr>
      </w:pPr>
      <w:r>
        <w:rPr>
          <w:rFonts w:ascii="Helvetica" w:hAnsi="Helvetica"/>
          <w:sz w:val="18"/>
        </w:rPr>
        <w:t>Readers are cautioned not to place undue reliance on these forward-looking statements, which speak only as of the date of this Form 10-Q. Except as may be required by law, the Company undertakes no obligation to update or revise publicly any forward-looking statements contained herein to reflect events or circumstances occurring after the date of this Form 10-Q or to reflect the occurrence of unanticipated events. Readers are advised, however, to read any further disclosures the Company may make on related subjects in its public disclosures or documents filed with the SEC, including reports on Form 8-K.</w:t>
      </w:r>
    </w:p>
    <w:p>
      <w:pPr>
        <w:pStyle w:val="TextBody"/>
        <w:bidi w:val="0"/>
        <w:spacing w:lineRule="auto" w:line="307" w:before="0" w:after="240"/>
        <w:ind w:left="0" w:right="0" w:hanging="0"/>
        <w:jc w:val="left"/>
        <w:rPr>
          <w:rFonts w:ascii="Helvetica" w:hAnsi="Helvetica"/>
          <w:b/>
          <w:sz w:val="18"/>
        </w:rPr>
      </w:pPr>
      <w:r>
        <w:rPr>
          <w:rFonts w:ascii="Helvetica" w:hAnsi="Helvetica"/>
          <w:b/>
          <w:sz w:val="18"/>
        </w:rPr>
        <w:t>Executive Overview</w:t>
      </w:r>
    </w:p>
    <w:p>
      <w:pPr>
        <w:pStyle w:val="TextBody"/>
        <w:bidi w:val="0"/>
        <w:spacing w:lineRule="auto" w:line="307" w:before="0" w:after="240"/>
        <w:ind w:left="0" w:right="0" w:hanging="0"/>
        <w:jc w:val="left"/>
        <w:rPr>
          <w:rFonts w:ascii="Helvetica" w:hAnsi="Helvetica"/>
          <w:sz w:val="18"/>
        </w:rPr>
      </w:pPr>
      <w:r>
        <w:rPr>
          <w:rFonts w:ascii="Helvetica" w:hAnsi="Helvetica"/>
          <w:sz w:val="18"/>
        </w:rPr>
        <w:t xml:space="preserve">We are a leading off-price value retailer of apparel, accessories and home trends primarily for Black families in the United States. Our high quality and trend-right merchandise offerings at everyday low prices are designed to appeal to the fashion and trend preferences of value-concious customers. </w:t>
      </w:r>
    </w:p>
    <w:p>
      <w:pPr>
        <w:pStyle w:val="TextBody"/>
        <w:bidi w:val="0"/>
        <w:spacing w:lineRule="auto" w:line="307" w:before="0" w:after="240"/>
        <w:ind w:left="0" w:right="0" w:hanging="0"/>
        <w:jc w:val="left"/>
        <w:rPr>
          <w:rFonts w:ascii="Helvetica" w:hAnsi="Helvetica"/>
          <w:sz w:val="18"/>
        </w:rPr>
      </w:pPr>
      <w:r>
        <w:rPr>
          <w:rFonts w:ascii="Helvetica" w:hAnsi="Helvetica"/>
          <w:sz w:val="18"/>
        </w:rPr>
        <w:t>As of August 1, 2026, we operated 594 stores in urban, suburban and rural markets in 33 states.</w:t>
      </w:r>
    </w:p>
    <w:p>
      <w:pPr>
        <w:pStyle w:val="TextBody"/>
        <w:bidi w:val="0"/>
        <w:spacing w:before="480" w:after="0"/>
        <w:ind w:left="0" w:right="0" w:hanging="0"/>
        <w:jc w:val="center"/>
        <w:rPr>
          <w:rFonts w:ascii="Helvetica" w:hAnsi="Helvetica"/>
          <w:sz w:val="18"/>
        </w:rPr>
      </w:pPr>
      <w:r>
        <w:rPr>
          <w:rFonts w:ascii="Helvetica" w:hAnsi="Helvetica"/>
          <w:sz w:val="18"/>
        </w:rPr>
        <w:t>14</w:t>
      </w:r>
    </w:p>
    <w:p>
      <w:pPr>
        <w:pStyle w:val="TextBody"/>
        <w:bidi w:val="0"/>
        <w:spacing w:before="0" w:after="6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lineRule="auto" w:line="307" w:before="0" w:after="240"/>
        <w:ind w:left="0" w:right="0" w:hanging="0"/>
        <w:jc w:val="left"/>
        <w:rPr>
          <w:rFonts w:ascii="Helvetica" w:hAnsi="Helvetica"/>
          <w:b/>
          <w:sz w:val="18"/>
        </w:rPr>
      </w:pPr>
      <w:r>
        <w:rPr>
          <w:rFonts w:ascii="Helvetica" w:hAnsi="Helvetica"/>
          <w:b/>
          <w:sz w:val="18"/>
        </w:rPr>
        <w:t>Uncertainties and Challenges</w:t>
      </w:r>
    </w:p>
    <w:p>
      <w:pPr>
        <w:pStyle w:val="TextBody"/>
        <w:pBdr/>
        <w:bidi w:val="0"/>
        <w:spacing w:lineRule="auto" w:line="307" w:before="0" w:after="0"/>
        <w:ind w:left="0" w:right="0" w:hanging="0"/>
        <w:jc w:val="left"/>
        <w:rPr>
          <w:rFonts w:ascii="Helvetica" w:hAnsi="Helvetica"/>
          <w:b/>
          <w:i/>
          <w:sz w:val="18"/>
        </w:rPr>
      </w:pPr>
      <w:r>
        <w:rPr>
          <w:rFonts w:ascii="Helvetica" w:hAnsi="Helvetica"/>
          <w:b/>
          <w:i/>
          <w:sz w:val="18"/>
        </w:rPr>
        <w:t>General Economic Conditions</w:t>
      </w:r>
    </w:p>
    <w:p>
      <w:pPr>
        <w:pStyle w:val="TextBody"/>
        <w:pBdr/>
        <w:shd w:fill="FFFFFF" w:val="clear"/>
        <w:bidi w:val="0"/>
        <w:spacing w:lineRule="auto" w:line="307" w:before="0" w:after="0"/>
        <w:ind w:left="0" w:right="0" w:hanging="0"/>
        <w:jc w:val="left"/>
        <w:rPr>
          <w:rFonts w:ascii="Helvetica" w:hAnsi="Helvetica"/>
          <w:sz w:val="18"/>
        </w:rPr>
      </w:pPr>
      <w:r>
        <w:rPr>
          <w:rFonts w:ascii="Helvetica" w:hAnsi="Helvetica"/>
          <w:sz w:val="18"/>
        </w:rPr>
        <w:t>We are monitoring trends in general economic conditions including inflation, tariffs and changes in consumer sentiment. We also regularly monitor the impacts on our business of unemployment levels, wage inflation, interest rates, inflation rates, housing costs, energy costs, gas prices, consumer confidence, consumer perception of economic conditions, costs to source our merchandise and supply chain disruptions.</w:t>
      </w:r>
    </w:p>
    <w:p>
      <w:pPr>
        <w:pStyle w:val="TextBody"/>
        <w:pBdr/>
        <w:shd w:fill="FFFFFF" w:val="clear"/>
        <w:bidi w:val="0"/>
        <w:spacing w:lineRule="auto" w:line="307" w:before="0" w:after="0"/>
        <w:ind w:left="0" w:right="0" w:hanging="0"/>
        <w:jc w:val="left"/>
        <w:rPr>
          <w:rFonts w:ascii="Helvetica" w:hAnsi="Helvetica"/>
          <w:b/>
          <w:i/>
          <w:sz w:val="18"/>
        </w:rPr>
      </w:pPr>
      <w:r>
        <w:rPr>
          <w:rFonts w:ascii="Helvetica" w:hAnsi="Helvetica"/>
          <w:b/>
          <w:i/>
          <w:sz w:val="18"/>
        </w:rPr>
        <w:t>Seasonality and Weather Patterns</w:t>
      </w:r>
    </w:p>
    <w:p>
      <w:pPr>
        <w:pStyle w:val="TextBody"/>
        <w:pBdr/>
        <w:shd w:fill="FFFFFF" w:val="clear"/>
        <w:bidi w:val="0"/>
        <w:spacing w:lineRule="auto" w:line="307" w:before="0" w:after="0"/>
        <w:ind w:left="0" w:right="0" w:hanging="0"/>
        <w:jc w:val="left"/>
        <w:rPr>
          <w:rFonts w:ascii="Helvetica" w:hAnsi="Helvetica"/>
          <w:sz w:val="18"/>
        </w:rPr>
      </w:pPr>
      <w:r>
        <w:rPr>
          <w:rFonts w:ascii="Helvetica" w:hAnsi="Helvetica"/>
          <w:sz w:val="18"/>
        </w:rPr>
        <w:t>The nature of our business is seasonal. Historically, sales in the first and fourth quarters have been higher than sales achieved in the second and third quarters of the fiscal year. In addition, sales of clothing are directly impacted by the timing of the seasons to which the clothing relates. While we have expanded our product offerings to balance discretionary with non-discretionary product, traffic to our stores is still influenced by weather patterns to some extent.</w:t>
      </w:r>
    </w:p>
    <w:p>
      <w:pPr>
        <w:pStyle w:val="TextBody"/>
        <w:shd w:fill="FFFFFF" w:val="clear"/>
        <w:bidi w:val="0"/>
        <w:spacing w:lineRule="auto" w:line="307" w:before="0" w:after="240"/>
        <w:ind w:left="0" w:right="0" w:hanging="0"/>
        <w:jc w:val="left"/>
        <w:rPr>
          <w:rFonts w:ascii="Helvetica" w:hAnsi="Helvetica"/>
          <w:b/>
          <w:sz w:val="18"/>
        </w:rPr>
      </w:pPr>
      <w:r>
        <w:rPr>
          <w:rFonts w:ascii="Helvetica" w:hAnsi="Helvetica"/>
          <w:b/>
          <w:sz w:val="18"/>
        </w:rPr>
        <w:t>Basis of Presentation</w:t>
      </w:r>
    </w:p>
    <w:p>
      <w:pPr>
        <w:pStyle w:val="TextBody"/>
        <w:bidi w:val="0"/>
        <w:spacing w:lineRule="auto" w:line="307" w:before="0" w:after="240"/>
        <w:ind w:left="0" w:right="0" w:hanging="0"/>
        <w:jc w:val="left"/>
        <w:rPr>
          <w:rFonts w:ascii="Helvetica" w:hAnsi="Helvetica"/>
          <w:sz w:val="18"/>
          <w:shd w:fill="FFFFFF" w:val="clear"/>
        </w:rPr>
      </w:pPr>
      <w:r>
        <w:rPr>
          <w:rFonts w:ascii="Helvetica" w:hAnsi="Helvetica"/>
          <w:sz w:val="18"/>
          <w:shd w:fill="FFFFFF" w:val="clear"/>
        </w:rPr>
        <w:t>Net sales consist of store sales and layaway fees, net of returns by customers. Cost of sales consists of the cost of products we sell and associated freight costs. Depreciation is not considered a component of cost of sales and is included as a separate line item in the consolidated statements of operations. Selling, general and administrative expenses are comprised of store costs, including payroll and occupancy costs, corporate and distribution center costs, and advertising costs.</w:t>
      </w:r>
    </w:p>
    <w:p>
      <w:pPr>
        <w:pStyle w:val="TextBody"/>
        <w:bidi w:val="0"/>
        <w:spacing w:lineRule="auto" w:line="307" w:before="0" w:after="240"/>
        <w:ind w:left="0" w:right="0" w:hanging="0"/>
        <w:jc w:val="left"/>
        <w:rPr>
          <w:rFonts w:ascii="Helvetica" w:hAnsi="Helvetica"/>
          <w:sz w:val="18"/>
        </w:rPr>
      </w:pPr>
      <w:r>
        <w:rPr>
          <w:rFonts w:ascii="Helvetica" w:hAnsi="Helvetica"/>
          <w:sz w:val="18"/>
        </w:rPr>
        <w:t xml:space="preserve">The following discussion contains references to fiscal years 2026 and 2025, which represent fiscal years ending or ended on January 30, 2027 and January 31, 2026, respectively. Fiscal 2026 and fiscal 2025 both have 52-week accounting periods. This discussion and analysis should be read with the unaudited condensed consolidated financial statements and the notes thereto contained in Part I, Item 1 of this Report. </w:t>
      </w:r>
    </w:p>
    <w:p>
      <w:pPr>
        <w:pStyle w:val="TextBody"/>
        <w:bidi w:val="0"/>
        <w:spacing w:lineRule="auto" w:line="307" w:before="0" w:after="240"/>
        <w:ind w:left="0" w:right="0" w:hanging="0"/>
        <w:jc w:val="left"/>
        <w:rPr>
          <w:rFonts w:ascii="Helvetica" w:hAnsi="Helvetica"/>
          <w:b/>
          <w:sz w:val="18"/>
        </w:rPr>
      </w:pPr>
      <w:r>
        <w:rPr>
          <w:rFonts w:ascii="Helvetica" w:hAnsi="Helvetica"/>
          <w:b/>
          <w:sz w:val="18"/>
        </w:rPr>
        <w:t>Results of Operations</w:t>
      </w:r>
    </w:p>
    <w:p>
      <w:pPr>
        <w:pStyle w:val="TextBody"/>
        <w:bidi w:val="0"/>
        <w:spacing w:lineRule="auto" w:line="307" w:before="0" w:after="240"/>
        <w:ind w:left="0" w:right="0" w:hanging="0"/>
        <w:jc w:val="left"/>
        <w:rPr>
          <w:rFonts w:ascii="Helvetica" w:hAnsi="Helvetica"/>
          <w:sz w:val="18"/>
        </w:rPr>
      </w:pPr>
      <w:r>
        <w:rPr>
          <w:rFonts w:ascii="Helvetica" w:hAnsi="Helvetica"/>
          <w:sz w:val="18"/>
        </w:rPr>
        <w:t>The following discussion of the Company’s financial performance is based on the unaudited condensed consolidated financial statements set forth herein. Expenses and, to a greater extent, operating income, vary by quarter. Results of a period shorter than a full year may not be indicative of results expected for the entire year as a result of the seasonality of our business, and the current economic uncertainty.</w:t>
      </w:r>
    </w:p>
    <w:p>
      <w:pPr>
        <w:pStyle w:val="TextBody"/>
        <w:bidi w:val="0"/>
        <w:spacing w:lineRule="auto" w:line="307" w:before="0" w:after="240"/>
        <w:ind w:left="0" w:right="0" w:hanging="0"/>
        <w:jc w:val="left"/>
        <w:rPr>
          <w:rFonts w:ascii="Helvetica" w:hAnsi="Helvetica"/>
          <w:b/>
          <w:sz w:val="18"/>
        </w:rPr>
      </w:pPr>
      <w:r>
        <w:rPr>
          <w:rFonts w:ascii="Helvetica" w:hAnsi="Helvetica"/>
          <w:b/>
          <w:sz w:val="18"/>
        </w:rPr>
        <w:t>Key Operating Statistics</w:t>
      </w:r>
    </w:p>
    <w:p>
      <w:pPr>
        <w:pStyle w:val="TextBody"/>
        <w:bidi w:val="0"/>
        <w:spacing w:lineRule="auto" w:line="307" w:before="0" w:after="240"/>
        <w:ind w:left="0" w:right="0" w:hanging="0"/>
        <w:jc w:val="left"/>
        <w:rPr>
          <w:rFonts w:ascii="Times New Roman;Times;serif" w:hAnsi="Times New Roman;Times;serif"/>
          <w:sz w:val="18"/>
        </w:rPr>
      </w:pPr>
      <w:r>
        <w:rPr>
          <w:rFonts w:ascii="Helvetica" w:hAnsi="Helvetica"/>
          <w:sz w:val="18"/>
        </w:rPr>
        <w:t>We measure performance using key operating statistics. One of the main performance measures we use is comparable store sales growth. We define a comparable store as a store that has been open for at least 14 full consecutive months without closure for more than seven days within the same fiscal month.</w:t>
      </w:r>
      <w:r>
        <w:rPr>
          <w:rFonts w:ascii="Times New Roman;Times;serif" w:hAnsi="Times New Roman;Times;serif"/>
          <w:sz w:val="18"/>
        </w:rPr>
        <w:t xml:space="preserve"> </w:t>
      </w:r>
      <w:r>
        <w:rPr>
          <w:rFonts w:ascii="Helvetica" w:hAnsi="Helvetica"/>
          <w:sz w:val="18"/>
        </w:rPr>
        <w:t xml:space="preserve">Remodeled and relocated stores are included in the comparable store sales results if the selling square footage is not changed significantly, the store is not closed for more than five days in any fiscal month and the store remains in the same trade area. </w:t>
      </w:r>
    </w:p>
    <w:p>
      <w:pPr>
        <w:pStyle w:val="TextBody"/>
        <w:bidi w:val="0"/>
        <w:spacing w:lineRule="auto" w:line="307" w:before="0" w:after="240"/>
        <w:ind w:left="0" w:right="0" w:hanging="0"/>
        <w:jc w:val="left"/>
        <w:rPr>
          <w:rFonts w:ascii="Helvetica" w:hAnsi="Helvetica"/>
          <w:sz w:val="18"/>
        </w:rPr>
      </w:pPr>
      <w:r>
        <w:rPr>
          <w:rFonts w:ascii="Helvetica" w:hAnsi="Helvetica"/>
          <w:sz w:val="18"/>
        </w:rPr>
        <w:t xml:space="preserve">We also use other operating statistics, most notably average sales per store, to measure our performance. As we typically occupy existing space in established shopping centers rather than sites built specifically for our stores, store square footage (and therefore sales per square foot) varies by store. We focus on overall store sales volume as the critical driver of profitability. In addition to sales, we measure cost of sales as a percentage of sales and store operating expenses, with a particular focus on labor, as a percentage of sales. These results translate into store level contribution, which we use to evaluate the overall performance of each individual store. Finally, we monitor corporate and distribution center expenses against budgeted amounts. </w:t>
      </w:r>
    </w:p>
    <w:p>
      <w:pPr>
        <w:pStyle w:val="TextBody"/>
        <w:bidi w:val="0"/>
        <w:spacing w:before="480" w:after="0"/>
        <w:ind w:left="0" w:right="0" w:hanging="0"/>
        <w:jc w:val="center"/>
        <w:rPr>
          <w:rFonts w:ascii="Helvetica" w:hAnsi="Helvetica"/>
          <w:sz w:val="18"/>
        </w:rPr>
      </w:pPr>
      <w:r>
        <w:rPr>
          <w:rFonts w:ascii="Helvetica" w:hAnsi="Helvetica"/>
          <w:sz w:val="18"/>
        </w:rPr>
        <w:t>15</w:t>
      </w:r>
    </w:p>
    <w:p>
      <w:pPr>
        <w:pStyle w:val="TextBody"/>
        <w:bidi w:val="0"/>
        <w:spacing w:before="0" w:after="6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lineRule="auto" w:line="307" w:before="0" w:after="240"/>
        <w:ind w:left="0" w:right="0" w:hanging="0"/>
        <w:jc w:val="left"/>
        <w:rPr>
          <w:rFonts w:ascii="Helvetica" w:hAnsi="Helvetica"/>
          <w:b/>
          <w:sz w:val="18"/>
        </w:rPr>
      </w:pPr>
      <w:r>
        <w:rPr>
          <w:rFonts w:ascii="Helvetica" w:hAnsi="Helvetica"/>
          <w:b/>
          <w:sz w:val="18"/>
        </w:rPr>
        <w:t>Thirteen Weeks Ended August 1, 2026 and August 2, 2025</w:t>
      </w:r>
    </w:p>
    <w:p>
      <w:pPr>
        <w:pStyle w:val="TextBody"/>
        <w:bidi w:val="0"/>
        <w:spacing w:lineRule="auto" w:line="307" w:before="0" w:after="240"/>
        <w:ind w:left="0" w:right="0" w:hanging="0"/>
        <w:jc w:val="left"/>
        <w:rPr>
          <w:rFonts w:ascii="Times New Roman;Times;serif" w:hAnsi="Times New Roman;Times;serif"/>
          <w:sz w:val="18"/>
        </w:rPr>
      </w:pPr>
      <w:r>
        <w:rPr>
          <w:rFonts w:ascii="Helvetica" w:hAnsi="Helvetica"/>
          <w:i/>
          <w:sz w:val="18"/>
        </w:rPr>
        <w:t xml:space="preserve">Net Sales. </w:t>
      </w:r>
      <w:r>
        <w:rPr>
          <w:rFonts w:ascii="Helvetica" w:hAnsi="Helvetica"/>
          <w:sz w:val="18"/>
        </w:rPr>
        <w:t>Net sales increased $20.9 million, or 10.9%, to $211.6 million in the second quarter of 2026 from $190.8 million in the second quarter of 2025. Comparable store sales increased 10.5%, resulting in an increase of $19.8 million in sales. Net store opening and closing activity resulted in a net increase of $1.0 million in sales.</w:t>
      </w:r>
    </w:p>
    <w:p>
      <w:pPr>
        <w:pStyle w:val="TextBody"/>
        <w:bidi w:val="0"/>
        <w:spacing w:lineRule="auto" w:line="307" w:before="0" w:after="240"/>
        <w:ind w:left="0" w:right="0" w:hanging="0"/>
        <w:jc w:val="left"/>
        <w:rPr>
          <w:rFonts w:ascii="Times New Roman;Times;serif" w:hAnsi="Times New Roman;Times;serif"/>
          <w:sz w:val="18"/>
        </w:rPr>
      </w:pPr>
      <w:r>
        <w:rPr>
          <w:rFonts w:ascii="Helvetica" w:hAnsi="Helvetica"/>
          <w:i/>
          <w:sz w:val="18"/>
        </w:rPr>
        <w:t xml:space="preserve">Cost of Sales (exclusive of depreciation). </w:t>
      </w:r>
      <w:r>
        <w:rPr>
          <w:rFonts w:ascii="Helvetica" w:hAnsi="Helvetica"/>
          <w:sz w:val="18"/>
        </w:rPr>
        <w:t xml:space="preserve">Cost of sales (exclusive of depreciation) increased $11.3 million, or 9.8%, to $125.7 million in the second quarter of 2026 from $114.5 million in the second quarter of 2025. Cost of sales as a percentage of sales was 59.4% in the second quarter of 2026 and 60.0% in the second quarter of 2025. The </w:t>
      </w:r>
      <w:r>
        <w:rPr>
          <w:rFonts w:ascii="Helvetica" w:hAnsi="Helvetica"/>
          <w:sz w:val="18"/>
          <w:shd w:fill="FFFFFF" w:val="clear"/>
        </w:rPr>
        <w:t>change was due to higher merchandise margin and lower shrink, partially offset by higher freight expense.</w:t>
      </w:r>
    </w:p>
    <w:p>
      <w:pPr>
        <w:pStyle w:val="TextBody"/>
        <w:bidi w:val="0"/>
        <w:spacing w:lineRule="auto" w:line="307" w:before="0" w:after="240"/>
        <w:ind w:left="0" w:right="0" w:hanging="0"/>
        <w:jc w:val="left"/>
        <w:rPr>
          <w:rFonts w:ascii="Times New Roman;Times;serif" w:hAnsi="Times New Roman;Times;serif"/>
          <w:sz w:val="18"/>
        </w:rPr>
      </w:pPr>
      <w:r>
        <w:rPr>
          <w:rFonts w:ascii="Helvetica" w:hAnsi="Helvetica"/>
          <w:i/>
          <w:sz w:val="18"/>
        </w:rPr>
        <w:t xml:space="preserve">Selling, General and Administrative Expenses. </w:t>
      </w:r>
      <w:r>
        <w:rPr>
          <w:rFonts w:ascii="Helvetica" w:hAnsi="Helvetica"/>
          <w:sz w:val="18"/>
        </w:rPr>
        <w:t>Selling, general and administrative expenses increased $3.4 million, or 4.3%, to $82.3 million in the second quarter of 2026 from $78.9 million in the second quarter of 2025. The increase was primarily driven by certain store expenses to support additional sales. As a percentage of sales, selling, general and administrative expenses decreased to 38.9% in the second quarter of 2026 from 41.4% in the second quarter of 2025, primarily driven by the aforementioned items.</w:t>
      </w:r>
    </w:p>
    <w:p>
      <w:pPr>
        <w:pStyle w:val="TextBody"/>
        <w:bidi w:val="0"/>
        <w:spacing w:lineRule="auto" w:line="307" w:before="0" w:after="240"/>
        <w:ind w:left="0" w:right="0" w:hanging="0"/>
        <w:jc w:val="left"/>
        <w:rPr>
          <w:rFonts w:ascii="Times New Roman;Times;serif" w:hAnsi="Times New Roman;Times;serif"/>
          <w:sz w:val="18"/>
        </w:rPr>
      </w:pPr>
      <w:r>
        <w:rPr>
          <w:rFonts w:ascii="Helvetica" w:hAnsi="Helvetica"/>
          <w:i/>
          <w:sz w:val="18"/>
        </w:rPr>
        <w:t xml:space="preserve">Depreciation. </w:t>
      </w:r>
      <w:r>
        <w:rPr>
          <w:rFonts w:ascii="Helvetica" w:hAnsi="Helvetica"/>
          <w:sz w:val="18"/>
        </w:rPr>
        <w:t>Depreciation expense increased $1.0 million, or 19.7%, to $5.4 million in the second quarter of 2026 from $4.5 million in the second quarter of 2025.</w:t>
      </w:r>
    </w:p>
    <w:p>
      <w:pPr>
        <w:pStyle w:val="TextBody"/>
        <w:bidi w:val="0"/>
        <w:spacing w:lineRule="auto" w:line="307" w:before="0" w:after="240"/>
        <w:ind w:left="0" w:right="0" w:hanging="0"/>
        <w:jc w:val="left"/>
        <w:rPr>
          <w:rFonts w:ascii="Times New Roman;Times;serif" w:hAnsi="Times New Roman;Times;serif"/>
          <w:sz w:val="18"/>
        </w:rPr>
      </w:pPr>
      <w:r>
        <w:rPr>
          <w:rFonts w:ascii="Helvetica" w:hAnsi="Helvetica"/>
          <w:i/>
          <w:sz w:val="18"/>
        </w:rPr>
        <w:t xml:space="preserve">Impairment. </w:t>
      </w:r>
      <w:r>
        <w:rPr>
          <w:rFonts w:ascii="Helvetica" w:hAnsi="Helvetica"/>
          <w:sz w:val="18"/>
        </w:rPr>
        <w:t>There were no non-cash impairment expenses related to underperforming stores in the second quarter of 2026 compared to $0.2 million in the second quarter of 2025, comprised of leasehold improvements and fixtures and equipment.</w:t>
      </w:r>
    </w:p>
    <w:p>
      <w:pPr>
        <w:pStyle w:val="TextBody"/>
        <w:bidi w:val="0"/>
        <w:spacing w:lineRule="auto" w:line="307" w:before="0" w:after="240"/>
        <w:ind w:left="0" w:right="0" w:hanging="0"/>
        <w:jc w:val="left"/>
        <w:rPr>
          <w:rFonts w:ascii="Times New Roman;Times;serif" w:hAnsi="Times New Roman;Times;serif"/>
          <w:sz w:val="18"/>
        </w:rPr>
      </w:pPr>
      <w:r>
        <w:rPr>
          <w:rFonts w:ascii="Helvetica" w:hAnsi="Helvetica"/>
          <w:i/>
          <w:sz w:val="18"/>
        </w:rPr>
        <w:t>Gain on Sale of Building.</w:t>
      </w:r>
      <w:r>
        <w:rPr>
          <w:rFonts w:ascii="Times New Roman;Times;serif" w:hAnsi="Times New Roman;Times;serif"/>
          <w:sz w:val="18"/>
        </w:rPr>
        <w:t xml:space="preserve"> </w:t>
      </w:r>
      <w:r>
        <w:rPr>
          <w:rFonts w:ascii="Helvetica" w:hAnsi="Helvetica"/>
          <w:sz w:val="18"/>
        </w:rPr>
        <w:t>Gain on sale of the corporate office building was $11.0 million in the second quarter of 2025.</w:t>
      </w:r>
    </w:p>
    <w:p>
      <w:pPr>
        <w:pStyle w:val="TextBody"/>
        <w:bidi w:val="0"/>
        <w:spacing w:lineRule="auto" w:line="307" w:before="0" w:after="240"/>
        <w:ind w:left="0" w:right="0" w:hanging="0"/>
        <w:jc w:val="left"/>
        <w:rPr>
          <w:rFonts w:ascii="Times New Roman;Times;serif" w:hAnsi="Times New Roman;Times;serif"/>
          <w:sz w:val="18"/>
        </w:rPr>
      </w:pPr>
      <w:r>
        <w:rPr>
          <w:rFonts w:ascii="Helvetica" w:hAnsi="Helvetica"/>
          <w:i/>
          <w:sz w:val="18"/>
        </w:rPr>
        <w:t xml:space="preserve">Income Tax Benefit. </w:t>
      </w:r>
      <w:r>
        <w:rPr>
          <w:rFonts w:ascii="Helvetica" w:hAnsi="Helvetica"/>
          <w:sz w:val="18"/>
        </w:rPr>
        <w:t xml:space="preserve">Income tax benefit of $.3 million was recognized in the second quarter of 2026. No income tax benefit was recognized in the second quarter of 2025. We used the annual effective tax rate to determine income tax benefit based upon interim period results. </w:t>
      </w:r>
    </w:p>
    <w:p>
      <w:pPr>
        <w:pStyle w:val="TextBody"/>
        <w:bidi w:val="0"/>
        <w:spacing w:lineRule="auto" w:line="307" w:before="0" w:after="240"/>
        <w:ind w:left="0" w:right="0" w:hanging="0"/>
        <w:jc w:val="left"/>
        <w:rPr>
          <w:rFonts w:ascii="Times New Roman;Times;serif" w:hAnsi="Times New Roman;Times;serif"/>
          <w:sz w:val="18"/>
        </w:rPr>
      </w:pPr>
      <w:r>
        <w:rPr>
          <w:rFonts w:ascii="Helvetica" w:hAnsi="Helvetica"/>
          <w:i/>
          <w:sz w:val="18"/>
        </w:rPr>
        <w:t xml:space="preserve">Net Income (Loss). </w:t>
      </w:r>
      <w:r>
        <w:rPr>
          <w:rFonts w:ascii="Helvetica" w:hAnsi="Helvetica"/>
          <w:sz w:val="18"/>
        </w:rPr>
        <w:t>Net loss was $0.9 million in the second quarter of 2026 compared to net income of $3.8 million in the second quarter of 2025 due to the factors discussed above.</w:t>
      </w:r>
    </w:p>
    <w:p>
      <w:pPr>
        <w:pStyle w:val="TextBody"/>
        <w:bidi w:val="0"/>
        <w:spacing w:lineRule="auto" w:line="307" w:before="0" w:after="240"/>
        <w:ind w:left="0" w:right="0" w:hanging="0"/>
        <w:jc w:val="left"/>
        <w:rPr>
          <w:rFonts w:ascii="Helvetica" w:hAnsi="Helvetica"/>
          <w:b/>
          <w:sz w:val="18"/>
        </w:rPr>
      </w:pPr>
      <w:r>
        <w:rPr>
          <w:rFonts w:ascii="Helvetica" w:hAnsi="Helvetica"/>
          <w:b/>
          <w:sz w:val="18"/>
        </w:rPr>
        <w:t>Twenty-Six Weeks Ended August 1, 2026 and August 2, 2025</w:t>
      </w:r>
    </w:p>
    <w:p>
      <w:pPr>
        <w:pStyle w:val="TextBody"/>
        <w:bidi w:val="0"/>
        <w:spacing w:lineRule="auto" w:line="307" w:before="0" w:after="240"/>
        <w:ind w:left="0" w:right="0" w:hanging="0"/>
        <w:jc w:val="left"/>
        <w:rPr>
          <w:rFonts w:ascii="Times New Roman;Times;serif" w:hAnsi="Times New Roman;Times;serif"/>
          <w:sz w:val="18"/>
        </w:rPr>
      </w:pPr>
      <w:r>
        <w:rPr>
          <w:rFonts w:ascii="Helvetica" w:hAnsi="Helvetica"/>
          <w:i/>
          <w:sz w:val="18"/>
        </w:rPr>
        <w:t xml:space="preserve">Net Sales. </w:t>
      </w:r>
      <w:r>
        <w:rPr>
          <w:rFonts w:ascii="Helvetica" w:hAnsi="Helvetica"/>
          <w:sz w:val="18"/>
        </w:rPr>
        <w:t>Net sales increased $50.0 million, or 12.7%, to $442.5 million in the first twenty-six weeks of 2026 from $392.5 million in the same period of 2025. Comparable store sales increased 12.2%, resulting in an increase of $47.5 million in sales. Net store opening and closing activity resulted in a net increase of $2.5 million in sales.</w:t>
      </w:r>
    </w:p>
    <w:p>
      <w:pPr>
        <w:pStyle w:val="TextBody"/>
        <w:bidi w:val="0"/>
        <w:spacing w:lineRule="auto" w:line="307" w:before="0" w:after="240"/>
        <w:ind w:left="0" w:right="0" w:hanging="0"/>
        <w:jc w:val="left"/>
        <w:rPr>
          <w:rFonts w:ascii="Times New Roman;Times;serif" w:hAnsi="Times New Roman;Times;serif"/>
          <w:sz w:val="18"/>
        </w:rPr>
      </w:pPr>
      <w:r>
        <w:rPr>
          <w:rFonts w:ascii="Helvetica" w:hAnsi="Helvetica"/>
          <w:i/>
          <w:sz w:val="18"/>
        </w:rPr>
        <w:t xml:space="preserve">Cost of Sales (exclusive of depreciation). </w:t>
      </w:r>
      <w:r>
        <w:rPr>
          <w:rFonts w:ascii="Helvetica" w:hAnsi="Helvetica"/>
          <w:sz w:val="18"/>
        </w:rPr>
        <w:t>Cost of sales (exclusive of depreciation) increased $28.0 million, or 11.8%, to $264.4 million in the first twenty-six weeks of 2026 from $236.4 million in the same period of 2025. Cost of sales as a percentage of sales decreased to 59.7% in the first twenty-six weeks of 2026 from 60.2% in the same period of 2025. The change was due to higher merchandise margin and lower shrink, partially offset by higher freight expense.</w:t>
      </w:r>
    </w:p>
    <w:p>
      <w:pPr>
        <w:pStyle w:val="TextBody"/>
        <w:bidi w:val="0"/>
        <w:spacing w:lineRule="auto" w:line="307" w:before="0" w:after="240"/>
        <w:ind w:left="0" w:right="0" w:hanging="0"/>
        <w:jc w:val="left"/>
        <w:rPr>
          <w:rFonts w:ascii="Times New Roman;Times;serif" w:hAnsi="Times New Roman;Times;serif"/>
          <w:sz w:val="18"/>
        </w:rPr>
      </w:pPr>
      <w:r>
        <w:rPr>
          <w:rFonts w:ascii="Helvetica" w:hAnsi="Helvetica"/>
          <w:i/>
          <w:sz w:val="18"/>
        </w:rPr>
        <w:t xml:space="preserve">Selling, General and Administrative Expenses. </w:t>
      </w:r>
      <w:r>
        <w:rPr>
          <w:rFonts w:ascii="Helvetica" w:hAnsi="Helvetica"/>
          <w:sz w:val="18"/>
        </w:rPr>
        <w:t>Selling, general and administrative expenses increased $8.2 million, or 5.4%, to $162.0 million in the first twenty-six weeks of 2026 from $153.8 million in the same period of 2025. The increase was primarily driven by certain store expense to support additional sales. As a percentage of sales, Selling, general and administrative expenses decreased to 36.6% in the first twenty-six weeks of 2026 from 39.2% in the same period of 2025, due to the aforementioned items.</w:t>
      </w:r>
    </w:p>
    <w:p>
      <w:pPr>
        <w:pStyle w:val="TextBody"/>
        <w:bidi w:val="0"/>
        <w:spacing w:lineRule="auto" w:line="307" w:before="0" w:after="240"/>
        <w:ind w:left="0" w:right="0" w:hanging="0"/>
        <w:jc w:val="left"/>
        <w:rPr>
          <w:rFonts w:ascii="Times New Roman;Times;serif" w:hAnsi="Times New Roman;Times;serif"/>
          <w:sz w:val="18"/>
        </w:rPr>
      </w:pPr>
      <w:r>
        <w:rPr>
          <w:rFonts w:ascii="Helvetica" w:hAnsi="Helvetica"/>
          <w:i/>
          <w:sz w:val="18"/>
        </w:rPr>
        <w:t xml:space="preserve">Depreciation. </w:t>
      </w:r>
      <w:r>
        <w:rPr>
          <w:rFonts w:ascii="Helvetica" w:hAnsi="Helvetica"/>
          <w:sz w:val="18"/>
        </w:rPr>
        <w:t>Depreciation expense increased $1.7 million, or 18.3%, to $10.6 million in the first twenty-six weeks of 2026 from $8.9 million in the same period of 2025 primarily due to increase in property and equipment.</w:t>
      </w:r>
    </w:p>
    <w:p>
      <w:pPr>
        <w:pStyle w:val="TextBody"/>
        <w:bidi w:val="0"/>
        <w:spacing w:lineRule="auto" w:line="307" w:before="0" w:after="240"/>
        <w:ind w:left="0" w:right="0" w:hanging="0"/>
        <w:jc w:val="left"/>
        <w:rPr>
          <w:rFonts w:ascii="Times New Roman;Times;serif" w:hAnsi="Times New Roman;Times;serif"/>
          <w:sz w:val="18"/>
        </w:rPr>
      </w:pPr>
      <w:r>
        <w:rPr>
          <w:rFonts w:ascii="Helvetica" w:hAnsi="Helvetica"/>
          <w:i/>
          <w:sz w:val="18"/>
        </w:rPr>
        <w:t>Impairment.</w:t>
      </w:r>
      <w:r>
        <w:rPr>
          <w:rFonts w:ascii="Times New Roman;Times;serif" w:hAnsi="Times New Roman;Times;serif"/>
          <w:sz w:val="18"/>
        </w:rPr>
        <w:t> </w:t>
      </w:r>
      <w:r>
        <w:rPr>
          <w:rFonts w:ascii="Helvetica" w:hAnsi="Helvetica"/>
          <w:sz w:val="18"/>
        </w:rPr>
        <w:t>There were no non-cash impairment expenses related to underperforming stores in the first twenty-six weeks of 2026 compared to $0.3 million in the first twenty-six weeks of 2025, comprised of leasehold improvements and fixtures and equipment. </w:t>
      </w:r>
    </w:p>
    <w:p>
      <w:pPr>
        <w:pStyle w:val="TextBody"/>
        <w:bidi w:val="0"/>
        <w:spacing w:before="480" w:after="0"/>
        <w:ind w:left="0" w:right="0" w:hanging="0"/>
        <w:jc w:val="center"/>
        <w:rPr>
          <w:rFonts w:ascii="Helvetica" w:hAnsi="Helvetica"/>
          <w:sz w:val="18"/>
        </w:rPr>
      </w:pPr>
      <w:r>
        <w:rPr>
          <w:rFonts w:ascii="Helvetica" w:hAnsi="Helvetica"/>
          <w:sz w:val="18"/>
        </w:rPr>
        <w:t>16</w:t>
      </w:r>
    </w:p>
    <w:p>
      <w:pPr>
        <w:pStyle w:val="TextBody"/>
        <w:bidi w:val="0"/>
        <w:spacing w:before="0" w:after="6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lineRule="auto" w:line="307" w:before="0" w:after="240"/>
        <w:ind w:left="0" w:right="0" w:hanging="0"/>
        <w:jc w:val="left"/>
        <w:rPr>
          <w:rFonts w:ascii="Times New Roman;Times;serif" w:hAnsi="Times New Roman;Times;serif"/>
          <w:sz w:val="18"/>
        </w:rPr>
      </w:pPr>
      <w:r>
        <w:rPr>
          <w:rFonts w:ascii="Helvetica" w:hAnsi="Helvetica"/>
          <w:i/>
          <w:sz w:val="18"/>
        </w:rPr>
        <w:t>Gain on Sale of Building.</w:t>
      </w:r>
      <w:r>
        <w:rPr>
          <w:rFonts w:ascii="Times New Roman;Times;serif" w:hAnsi="Times New Roman;Times;serif"/>
          <w:sz w:val="18"/>
        </w:rPr>
        <w:t xml:space="preserve"> </w:t>
      </w:r>
      <w:r>
        <w:rPr>
          <w:rFonts w:ascii="Helvetica" w:hAnsi="Helvetica"/>
          <w:sz w:val="18"/>
        </w:rPr>
        <w:t>Gain on sale of the corporate office building was $11.0 million in the second quarter of 2025.</w:t>
      </w:r>
    </w:p>
    <w:p>
      <w:pPr>
        <w:pStyle w:val="TextBody"/>
        <w:bidi w:val="0"/>
        <w:spacing w:lineRule="auto" w:line="307" w:before="0" w:after="240"/>
        <w:ind w:left="0" w:right="0" w:hanging="0"/>
        <w:jc w:val="left"/>
        <w:rPr>
          <w:rFonts w:ascii="Times New Roman;Times;serif" w:hAnsi="Times New Roman;Times;serif"/>
          <w:sz w:val="18"/>
        </w:rPr>
      </w:pPr>
      <w:r>
        <w:rPr>
          <w:rFonts w:ascii="Helvetica" w:hAnsi="Helvetica"/>
          <w:i/>
          <w:sz w:val="18"/>
        </w:rPr>
        <w:t xml:space="preserve">Income Tax Benefit. </w:t>
      </w:r>
      <w:r>
        <w:rPr>
          <w:rFonts w:ascii="Helvetica" w:hAnsi="Helvetica"/>
          <w:sz w:val="18"/>
        </w:rPr>
        <w:t xml:space="preserve">Income tax benefit of $.14 million was recognized in the first twenty-six weeks of 2026. No income tax benefit was recognized in the first twenty-six weeks of 2025. We used the annual effective tax rate to determine income tax benefit based upon interim period results. </w:t>
      </w:r>
    </w:p>
    <w:p>
      <w:pPr>
        <w:pStyle w:val="TextBody"/>
        <w:bidi w:val="0"/>
        <w:spacing w:lineRule="auto" w:line="307" w:before="0" w:after="240"/>
        <w:ind w:left="0" w:right="0" w:hanging="0"/>
        <w:jc w:val="left"/>
        <w:rPr>
          <w:rFonts w:ascii="Times New Roman;Times;serif" w:hAnsi="Times New Roman;Times;serif"/>
          <w:sz w:val="18"/>
        </w:rPr>
      </w:pPr>
      <w:r>
        <w:rPr>
          <w:rFonts w:ascii="Helvetica" w:hAnsi="Helvetica"/>
          <w:i/>
          <w:sz w:val="18"/>
        </w:rPr>
        <w:t xml:space="preserve">Net Income (Loss). </w:t>
      </w:r>
      <w:r>
        <w:rPr>
          <w:rFonts w:ascii="Helvetica" w:hAnsi="Helvetica"/>
          <w:sz w:val="18"/>
        </w:rPr>
        <w:t>Net income was $6.8 million in the first twenty-six weeks of 2026 compared to net income of $4.7 million in the same period of 2025 due to the factors discussed above.</w:t>
      </w:r>
    </w:p>
    <w:p>
      <w:pPr>
        <w:pStyle w:val="TextBody"/>
        <w:pBdr/>
        <w:bidi w:val="0"/>
        <w:spacing w:lineRule="auto" w:line="307" w:before="0" w:after="0"/>
        <w:ind w:left="0" w:right="0" w:hanging="0"/>
        <w:jc w:val="left"/>
        <w:rPr>
          <w:rFonts w:ascii="Helvetica" w:hAnsi="Helvetica"/>
          <w:b/>
          <w:sz w:val="18"/>
        </w:rPr>
      </w:pPr>
      <w:r>
        <w:rPr>
          <w:rFonts w:ascii="Helvetica" w:hAnsi="Helvetica"/>
          <w:b/>
          <w:sz w:val="18"/>
        </w:rPr>
        <w:t>Liquidity and Capital Resources</w:t>
      </w:r>
    </w:p>
    <w:p>
      <w:pPr>
        <w:pStyle w:val="TextBody"/>
        <w:pBdr/>
        <w:shd w:fill="FFFFFF" w:val="clear"/>
        <w:bidi w:val="0"/>
        <w:spacing w:before="0" w:after="0"/>
        <w:ind w:left="0" w:right="0" w:hanging="0"/>
        <w:jc w:val="left"/>
        <w:rPr>
          <w:rFonts w:ascii="Helvetica" w:hAnsi="Helvetica"/>
          <w:b/>
          <w:i/>
          <w:sz w:val="18"/>
        </w:rPr>
      </w:pPr>
      <w:r>
        <w:rPr>
          <w:rFonts w:ascii="Helvetica" w:hAnsi="Helvetica"/>
          <w:b/>
          <w:i/>
          <w:sz w:val="18"/>
        </w:rPr>
        <w:t>Capital Allocation</w:t>
      </w:r>
    </w:p>
    <w:p>
      <w:pPr>
        <w:pStyle w:val="TextBody"/>
        <w:shd w:fill="FFFFFF" w:val="clear"/>
        <w:bidi w:val="0"/>
        <w:spacing w:lineRule="auto" w:line="307" w:before="0" w:after="240"/>
        <w:ind w:left="0" w:right="0" w:hanging="0"/>
        <w:jc w:val="left"/>
        <w:rPr>
          <w:rFonts w:ascii="Times New Roman;Times;serif" w:hAnsi="Times New Roman;Times;serif"/>
          <w:sz w:val="18"/>
        </w:rPr>
      </w:pPr>
      <w:r>
        <w:rPr>
          <w:rFonts w:ascii="Helvetica" w:hAnsi="Helvetica"/>
          <w:sz w:val="18"/>
        </w:rPr>
        <w:t>Our capital allocation strategy is to maintain adequate liquidity to prioritize investments in opportunities to profitably grow our business and maintain current operations. Our existing share repurchase authorization also remains in place with $40 million of authorization outstanding. We will deploy or return capital based on the opportunities available to us, market conditions, and ultimately, where we believe we can generate the greatest long term value for our shareholders. Our quarter-end cash and cash equivalents balance was $55.9 million</w:t>
      </w:r>
      <w:r>
        <w:rPr>
          <w:rFonts w:ascii="Times New Roman;Times;serif" w:hAnsi="Times New Roman;Times;serif"/>
          <w:sz w:val="18"/>
        </w:rPr>
        <w:t xml:space="preserve"> </w:t>
      </w:r>
      <w:r>
        <w:rPr>
          <w:rFonts w:ascii="Helvetica" w:hAnsi="Helvetica"/>
          <w:sz w:val="18"/>
        </w:rPr>
        <w:t>compared to $50.4 million at the end of the second quarter last year. Until required for other purposes, we maintain cash and cash equivalents in deposit or money market accounts.</w:t>
      </w:r>
    </w:p>
    <w:p>
      <w:pPr>
        <w:pStyle w:val="TextBody"/>
        <w:bidi w:val="0"/>
        <w:spacing w:lineRule="auto" w:line="307" w:before="0" w:after="240"/>
        <w:ind w:left="0" w:right="0" w:hanging="0"/>
        <w:jc w:val="left"/>
        <w:rPr>
          <w:rFonts w:ascii="Helvetica" w:hAnsi="Helvetica"/>
          <w:sz w:val="18"/>
        </w:rPr>
      </w:pPr>
      <w:r>
        <w:rPr>
          <w:rFonts w:ascii="Helvetica" w:hAnsi="Helvetica"/>
          <w:sz w:val="18"/>
        </w:rPr>
        <w:t>Our principal sources of liquidity consist of: (i) cash and cash equivalents on hand; (ii) short-term trade credit arising from customary payment terms and trade practices with our vendors; (iii) cash generated from operations on an ongoing basis; and (iv) a revolving credit facility with a $75 million credit commitment.</w:t>
      </w:r>
    </w:p>
    <w:p>
      <w:pPr>
        <w:pStyle w:val="TextBody"/>
        <w:pBdr/>
        <w:bidi w:val="0"/>
        <w:spacing w:lineRule="auto" w:line="307" w:before="0" w:after="0"/>
        <w:ind w:left="0" w:right="0" w:hanging="0"/>
        <w:jc w:val="left"/>
        <w:rPr>
          <w:rFonts w:ascii="Times New Roman;Times;serif" w:hAnsi="Times New Roman;Times;serif"/>
          <w:sz w:val="18"/>
        </w:rPr>
      </w:pPr>
      <w:r>
        <w:rPr>
          <w:rFonts w:ascii="Helvetica" w:hAnsi="Helvetica"/>
          <w:sz w:val="18"/>
        </w:rPr>
        <w:t>On August 25, 2026, the Company filed a registration statement on Form S-3 relating to the potential offer and sale from time to time of up to $100 million of its common stock. Once effective, the registration statement will provide the Company with additional flexibility to access the capital markets and support potential future capital needs. The Company currently has no definitive plans to issue securities under the registration statement, and no securities have been issued thereunder as of the date of this report.</w:t>
      </w:r>
      <w:r>
        <w:rPr>
          <w:rFonts w:ascii="Times New Roman;Times;serif" w:hAnsi="Times New Roman;Times;serif"/>
          <w:sz w:val="18"/>
        </w:rPr>
        <w:t xml:space="preserve"> </w:t>
      </w:r>
    </w:p>
    <w:p>
      <w:pPr>
        <w:pStyle w:val="TextBody"/>
        <w:pBdr/>
        <w:shd w:fill="FFFFFF" w:val="clear"/>
        <w:bidi w:val="0"/>
        <w:spacing w:before="0" w:after="0"/>
        <w:ind w:left="0" w:right="0" w:hanging="0"/>
        <w:jc w:val="left"/>
        <w:rPr>
          <w:rFonts w:ascii="Helvetica" w:hAnsi="Helvetica"/>
          <w:b/>
          <w:i/>
          <w:sz w:val="18"/>
        </w:rPr>
      </w:pPr>
      <w:r>
        <w:rPr>
          <w:rFonts w:ascii="Helvetica" w:hAnsi="Helvetica"/>
          <w:b/>
          <w:i/>
          <w:sz w:val="18"/>
        </w:rPr>
        <w:t>Inventory</w:t>
      </w:r>
    </w:p>
    <w:p>
      <w:pPr>
        <w:pStyle w:val="TextBody"/>
        <w:pBdr/>
        <w:shd w:fill="FFFFFF" w:val="clear"/>
        <w:bidi w:val="0"/>
        <w:spacing w:before="0" w:after="0"/>
        <w:ind w:left="0" w:right="0" w:hanging="0"/>
        <w:jc w:val="left"/>
        <w:rPr>
          <w:rFonts w:ascii="Times New Roman;Times;serif" w:hAnsi="Times New Roman;Times;serif"/>
          <w:sz w:val="18"/>
        </w:rPr>
      </w:pPr>
      <w:r>
        <w:rPr>
          <w:rFonts w:ascii="Helvetica" w:hAnsi="Helvetica"/>
          <w:sz w:val="18"/>
        </w:rPr>
        <w:t xml:space="preserve">Our quarter-end inventory balance was $126.4 million, a 7.5% increase compared to $117.6 million at the end of the second quarter last year. </w:t>
      </w:r>
      <w:r>
        <w:rPr>
          <w:rFonts w:ascii="Helvetica" w:hAnsi="Helvetica"/>
          <w:sz w:val="18"/>
          <w:shd w:fill="F1F4F6" w:val="clear"/>
        </w:rPr>
        <w:t>The increase was primarily driven by inventory investments to support strong customer demand.</w:t>
      </w:r>
    </w:p>
    <w:p>
      <w:pPr>
        <w:pStyle w:val="TextBody"/>
        <w:pBdr/>
        <w:shd w:fill="FFFFFF" w:val="clear"/>
        <w:bidi w:val="0"/>
        <w:spacing w:before="0" w:after="0"/>
        <w:ind w:left="0" w:right="0" w:hanging="0"/>
        <w:jc w:val="left"/>
        <w:rPr>
          <w:rFonts w:ascii="Helvetica" w:hAnsi="Helvetica"/>
          <w:b/>
          <w:i/>
          <w:sz w:val="18"/>
        </w:rPr>
      </w:pPr>
      <w:r>
        <w:rPr>
          <w:rFonts w:ascii="Helvetica" w:hAnsi="Helvetica"/>
          <w:b/>
          <w:i/>
          <w:sz w:val="18"/>
        </w:rPr>
        <w:t>Capital Expenditures</w:t>
      </w:r>
    </w:p>
    <w:p>
      <w:pPr>
        <w:pStyle w:val="TextBody"/>
        <w:shd w:fill="FFFFFF" w:val="clear"/>
        <w:bidi w:val="0"/>
        <w:spacing w:lineRule="auto" w:line="307" w:before="0" w:after="240"/>
        <w:ind w:left="0" w:right="0" w:hanging="0"/>
        <w:jc w:val="left"/>
        <w:rPr>
          <w:rFonts w:ascii="Times New Roman;Times;serif" w:hAnsi="Times New Roman;Times;serif"/>
          <w:sz w:val="18"/>
        </w:rPr>
      </w:pPr>
      <w:r>
        <w:rPr>
          <w:rFonts w:ascii="Helvetica" w:hAnsi="Helvetica"/>
          <w:sz w:val="18"/>
        </w:rPr>
        <w:t>Capital expenditures in the first twenty-six</w:t>
      </w:r>
      <w:r>
        <w:rPr>
          <w:rFonts w:ascii="Times New Roman;Times;serif" w:hAnsi="Times New Roman;Times;serif"/>
          <w:sz w:val="18"/>
        </w:rPr>
        <w:t xml:space="preserve"> </w:t>
      </w:r>
      <w:r>
        <w:rPr>
          <w:rFonts w:ascii="Helvetica" w:hAnsi="Helvetica"/>
          <w:sz w:val="18"/>
        </w:rPr>
        <w:t>weeks of 2026 were $15.6 million, an increase of $7.9 million over the first twenty-six</w:t>
      </w:r>
      <w:r>
        <w:rPr>
          <w:rFonts w:ascii="Times New Roman;Times;serif" w:hAnsi="Times New Roman;Times;serif"/>
          <w:sz w:val="18"/>
        </w:rPr>
        <w:t xml:space="preserve"> </w:t>
      </w:r>
      <w:r>
        <w:rPr>
          <w:rFonts w:ascii="Helvetica" w:hAnsi="Helvetica"/>
          <w:sz w:val="18"/>
        </w:rPr>
        <w:t xml:space="preserve">weeks of 2025, as we increased our investments in new stores and remodels. We anticipate capital expenditures in fiscal 2026 to be in the range of $35 million to $40 million, primarily for new stores and remodeling of existing stores. </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Helvetica" w:hAnsi="Helvetica"/>
          <w:sz w:val="18"/>
        </w:rPr>
      </w:pPr>
      <w:r>
        <w:rPr>
          <w:rFonts w:ascii="Helvetica" w:hAnsi="Helvetica"/>
          <w:sz w:val="18"/>
        </w:rPr>
        <w:t>17</w:t>
      </w:r>
    </w:p>
    <w:p>
      <w:pPr>
        <w:pStyle w:val="TextBody"/>
        <w:bidi w:val="0"/>
        <w:spacing w:before="0" w:after="6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pBdr/>
        <w:shd w:fill="FFFFFF" w:val="clear"/>
        <w:bidi w:val="0"/>
        <w:spacing w:lineRule="auto" w:line="307" w:before="0" w:after="0"/>
        <w:ind w:left="0" w:right="0" w:hanging="0"/>
        <w:jc w:val="left"/>
        <w:rPr>
          <w:rFonts w:ascii="Helvetica" w:hAnsi="Helvetica"/>
          <w:b/>
          <w:i/>
          <w:sz w:val="18"/>
        </w:rPr>
      </w:pPr>
      <w:r>
        <w:rPr>
          <w:rFonts w:ascii="Helvetica" w:hAnsi="Helvetica"/>
          <w:b/>
          <w:i/>
          <w:sz w:val="18"/>
        </w:rPr>
        <w:t>Share Repurchases</w:t>
      </w:r>
    </w:p>
    <w:p>
      <w:pPr>
        <w:pStyle w:val="TextBody"/>
        <w:pBdr/>
        <w:shd w:fill="FFFFFF" w:val="clear"/>
        <w:bidi w:val="0"/>
        <w:spacing w:lineRule="auto" w:line="307" w:before="0" w:after="0"/>
        <w:ind w:left="0" w:right="0" w:hanging="0"/>
        <w:jc w:val="left"/>
        <w:rPr>
          <w:rFonts w:ascii="Helvetica" w:hAnsi="Helvetica"/>
          <w:sz w:val="18"/>
        </w:rPr>
      </w:pPr>
      <w:r>
        <w:rPr>
          <w:rFonts w:ascii="Helvetica" w:hAnsi="Helvetica"/>
          <w:sz w:val="18"/>
        </w:rPr>
        <w:t>No shares were repurchased in the first tweny-six weeks of fiscal 2026. In the first twenty-six weeks of fiscal 2025, we returned $6.3 million to stockholders through share repurchases. See Part II, Item 2 of this Report and Note 8 to the Financial Statements for more information.</w:t>
      </w:r>
    </w:p>
    <w:p>
      <w:pPr>
        <w:pStyle w:val="TextBody"/>
        <w:pBdr/>
        <w:shd w:fill="FFFFFF" w:val="clear"/>
        <w:bidi w:val="0"/>
        <w:spacing w:lineRule="auto" w:line="307" w:before="0" w:after="0"/>
        <w:ind w:left="0" w:right="0" w:hanging="0"/>
        <w:jc w:val="left"/>
        <w:rPr>
          <w:rFonts w:ascii="Helvetica" w:hAnsi="Helvetica"/>
          <w:b/>
          <w:i/>
          <w:sz w:val="18"/>
        </w:rPr>
      </w:pPr>
      <w:r>
        <w:rPr>
          <w:rFonts w:ascii="Helvetica" w:hAnsi="Helvetica"/>
          <w:b/>
          <w:i/>
          <w:sz w:val="18"/>
        </w:rPr>
        <w:t>Revolving Credit Facility</w:t>
      </w:r>
    </w:p>
    <w:p>
      <w:pPr>
        <w:pStyle w:val="TextBody"/>
        <w:shd w:fill="FFFFFF" w:val="clear"/>
        <w:bidi w:val="0"/>
        <w:spacing w:lineRule="auto" w:line="307" w:before="0" w:after="240"/>
        <w:ind w:left="0" w:right="0" w:hanging="0"/>
        <w:jc w:val="left"/>
        <w:rPr>
          <w:rFonts w:ascii="Helvetica" w:hAnsi="Helvetica"/>
          <w:sz w:val="18"/>
        </w:rPr>
      </w:pPr>
      <w:r>
        <w:rPr>
          <w:rFonts w:ascii="Helvetica" w:hAnsi="Helvetica"/>
          <w:sz w:val="18"/>
        </w:rPr>
        <w:t>We have a revolving credit facility that matures in April 2030 and provides a $75 million credit commitment and a $25 million uncommitted “accordion” feature. Additional details of the credit facility are in Note 4 to the Financial Statements. At the end of the second quarter of 2026, we had no borrowings under the credit facility and $2.2 million in letters of credit outstanding.</w:t>
      </w:r>
    </w:p>
    <w:p>
      <w:pPr>
        <w:pStyle w:val="TextBody"/>
        <w:bidi w:val="0"/>
        <w:spacing w:lineRule="auto" w:line="307" w:before="0" w:after="240"/>
        <w:ind w:left="0" w:right="0" w:hanging="0"/>
        <w:jc w:val="left"/>
        <w:rPr>
          <w:rFonts w:ascii="Helvetica" w:hAnsi="Helvetica"/>
          <w:b/>
          <w:sz w:val="18"/>
        </w:rPr>
      </w:pPr>
      <w:r>
        <w:rPr>
          <w:rFonts w:ascii="Helvetica" w:hAnsi="Helvetica"/>
          <w:b/>
          <w:sz w:val="18"/>
        </w:rPr>
        <w:t>Cash Flows</w:t>
      </w:r>
    </w:p>
    <w:p>
      <w:pPr>
        <w:pStyle w:val="TextBody"/>
        <w:bidi w:val="0"/>
        <w:spacing w:lineRule="auto" w:line="307" w:before="0" w:after="240"/>
        <w:ind w:left="0" w:right="0" w:hanging="0"/>
        <w:jc w:val="left"/>
        <w:rPr>
          <w:rFonts w:ascii="Times New Roman;Times;serif" w:hAnsi="Times New Roman;Times;serif"/>
          <w:sz w:val="18"/>
        </w:rPr>
      </w:pPr>
      <w:r>
        <w:rPr>
          <w:rFonts w:ascii="Helvetica" w:hAnsi="Helvetica"/>
          <w:i/>
          <w:sz w:val="18"/>
        </w:rPr>
        <w:t>Cash Flows From Operating Activities</w:t>
      </w:r>
      <w:r>
        <w:rPr>
          <w:rFonts w:ascii="Helvetica" w:hAnsi="Helvetica"/>
          <w:sz w:val="18"/>
        </w:rPr>
        <w:t xml:space="preserve">. Net cash provided by operating activities was $6.7 million in the first twenty-six weeks of 2026 compared to net cash used in operating activities of $7.1 million in the same period of 2025. Significant sources of cash for the first twenty-six weeks of 2026 included net income adjusted for non-cash items totaling $45.0 million compared to net income adjusted for non-cash items of $29.9 million in the first twenty-six weeks of 2025. </w:t>
      </w:r>
    </w:p>
    <w:p>
      <w:pPr>
        <w:pStyle w:val="TextBody"/>
        <w:bidi w:val="0"/>
        <w:spacing w:lineRule="auto" w:line="307" w:before="0" w:after="240"/>
        <w:ind w:left="0" w:right="0" w:hanging="0"/>
        <w:jc w:val="left"/>
        <w:rPr>
          <w:rFonts w:ascii="Helvetica" w:hAnsi="Helvetica"/>
          <w:sz w:val="18"/>
        </w:rPr>
      </w:pPr>
      <w:r>
        <w:rPr>
          <w:rFonts w:ascii="Helvetica" w:hAnsi="Helvetica"/>
          <w:sz w:val="18"/>
        </w:rPr>
        <w:t>Significant uses of cash from operating activities in the first twenty-six weeks of 2026 included (1) a $21.8 million decrease in accrued expenses and other long-term liabilities (compared to a $29.6 million decrease in the first twenty-six weeks of 2025) due primarily to payments of operating lease liabilities; (2) a $7.9 million increase in prepaid and other current assets compared to a $9.4 million dollar increase in the first twenty-six weeks of 2025; (3) a $12.9 million increase in inventory in the first twenty-six weeks of 2026 compared to a $5.1 million decrease in inventory for the same period in 2025 and (4) a $2.8 million decrease in accrued compensation in the first twenty-six weeks of 2026 compared to a $2.0 increase in the same period last year.</w:t>
      </w:r>
    </w:p>
    <w:p>
      <w:pPr>
        <w:pStyle w:val="TextBody"/>
        <w:bidi w:val="0"/>
        <w:spacing w:lineRule="auto" w:line="307" w:before="0" w:after="240"/>
        <w:ind w:left="0" w:right="0" w:hanging="0"/>
        <w:jc w:val="left"/>
        <w:rPr>
          <w:rFonts w:ascii="Times New Roman;Times;serif" w:hAnsi="Times New Roman;Times;serif"/>
          <w:sz w:val="18"/>
        </w:rPr>
      </w:pPr>
      <w:r>
        <w:rPr>
          <w:rFonts w:ascii="Helvetica" w:hAnsi="Helvetica"/>
          <w:i/>
          <w:sz w:val="18"/>
        </w:rPr>
        <w:t>Cash Flows From Investing Activities.</w:t>
      </w:r>
      <w:r>
        <w:rPr>
          <w:rFonts w:ascii="Times New Roman;Times;serif" w:hAnsi="Times New Roman;Times;serif"/>
          <w:sz w:val="18"/>
        </w:rPr>
        <w:t xml:space="preserve"> </w:t>
      </w:r>
      <w:r>
        <w:rPr>
          <w:rFonts w:ascii="Helvetica" w:hAnsi="Helvetica"/>
          <w:sz w:val="18"/>
        </w:rPr>
        <w:t>Cash used in investing activities was $15.6 million in the first twenty-six weeks of 2026 compared to $3.5 million provided in the same period last year. Cash used of $15.6 million in the first twenty-six weeks of fiscal 2026 consisted of purchases of property and equipment. The cash provided of $3.5 million in the first twenty-six weeks of 2025 was from the sale of a building for $11.2 million, offset by $7.7 million used for the purchases of property and equipment.</w:t>
      </w:r>
    </w:p>
    <w:p>
      <w:pPr>
        <w:pStyle w:val="TextBody"/>
        <w:bidi w:val="0"/>
        <w:spacing w:lineRule="auto" w:line="307" w:before="0" w:after="240"/>
        <w:ind w:left="0" w:right="0" w:hanging="0"/>
        <w:jc w:val="left"/>
        <w:rPr>
          <w:rFonts w:ascii="Times New Roman;Times;serif" w:hAnsi="Times New Roman;Times;serif"/>
          <w:sz w:val="18"/>
        </w:rPr>
      </w:pPr>
      <w:r>
        <w:rPr>
          <w:rFonts w:ascii="Helvetica" w:hAnsi="Helvetica"/>
          <w:i/>
          <w:sz w:val="18"/>
        </w:rPr>
        <w:t>Cash Flows From Financing Activities.</w:t>
      </w:r>
      <w:r>
        <w:rPr>
          <w:rFonts w:ascii="Times New Roman;Times;serif" w:hAnsi="Times New Roman;Times;serif"/>
          <w:sz w:val="18"/>
        </w:rPr>
        <w:t xml:space="preserve"> </w:t>
      </w:r>
      <w:r>
        <w:rPr>
          <w:rFonts w:ascii="Helvetica" w:hAnsi="Helvetica"/>
          <w:sz w:val="18"/>
        </w:rPr>
        <w:t>Cash used in financing activities was $1.3 million in the first twenty-six weeks of 2026 compared to $7.1 million in the same period last year. Cash used in the first twenty-six weeks of fiscal 2026 was $1.3 million to settle withholding taxes on the vesting of restricted stock, compared to $0.8 million used to settle withholding taxes on the vesting of restricted stock and $6.3 million for share repurchases in the first twenty-six weeks of fiscal 2025.</w:t>
      </w:r>
    </w:p>
    <w:p>
      <w:pPr>
        <w:pStyle w:val="TextBody"/>
        <w:bidi w:val="0"/>
        <w:spacing w:lineRule="auto" w:line="307" w:before="0" w:after="240"/>
        <w:ind w:left="0" w:right="0" w:hanging="0"/>
        <w:jc w:val="left"/>
        <w:rPr>
          <w:rFonts w:ascii="Helvetica" w:hAnsi="Helvetica"/>
          <w:b/>
          <w:sz w:val="18"/>
        </w:rPr>
      </w:pPr>
      <w:r>
        <w:rPr>
          <w:rFonts w:ascii="Helvetica" w:hAnsi="Helvetica"/>
          <w:b/>
          <w:sz w:val="18"/>
        </w:rPr>
        <w:t>Cash Requirements and Commitments</w:t>
      </w:r>
    </w:p>
    <w:p>
      <w:pPr>
        <w:pStyle w:val="TextBody"/>
        <w:bidi w:val="0"/>
        <w:spacing w:lineRule="auto" w:line="307" w:before="0" w:after="240"/>
        <w:ind w:left="0" w:right="0" w:hanging="0"/>
        <w:jc w:val="left"/>
        <w:rPr>
          <w:rFonts w:ascii="Helvetica" w:hAnsi="Helvetica"/>
          <w:sz w:val="18"/>
        </w:rPr>
      </w:pPr>
      <w:r>
        <w:rPr>
          <w:rFonts w:ascii="Helvetica" w:hAnsi="Helvetica"/>
          <w:sz w:val="18"/>
        </w:rPr>
        <w:t xml:space="preserve">Our principal cash requirements consist of (1) inventory purchases; (2) capital expenditures to invest in our infrastructure; and (3) operational needs, including salaries, occupancy costs, taxes and other operating costs. We may also use cash to fund any share repurchases, make any required debt payments and satisfy other contractual obligations. Historically, we have met these cash requirements using cash flow from operations and short-term trade credit. As of August 1, 2026, our contractual commitments for operating leases totaled $224.8 million (with $64.9 million due within 12 months). See Note 11 to the Financial Statements for more information regarding lease commitments. </w:t>
      </w:r>
    </w:p>
    <w:p>
      <w:pPr>
        <w:pStyle w:val="TextBody"/>
        <w:bidi w:val="0"/>
        <w:spacing w:lineRule="auto" w:line="307" w:before="0" w:after="240"/>
        <w:ind w:left="0" w:right="0" w:hanging="0"/>
        <w:jc w:val="left"/>
        <w:rPr>
          <w:rFonts w:ascii="Helvetica" w:hAnsi="Helvetica"/>
          <w:b/>
          <w:sz w:val="18"/>
        </w:rPr>
      </w:pPr>
      <w:r>
        <w:rPr>
          <w:rFonts w:ascii="Helvetica" w:hAnsi="Helvetica"/>
          <w:b/>
          <w:sz w:val="18"/>
        </w:rPr>
        <w:t>Critical Accounting Policies</w:t>
      </w:r>
    </w:p>
    <w:p>
      <w:pPr>
        <w:pStyle w:val="TextBody"/>
        <w:bidi w:val="0"/>
        <w:spacing w:lineRule="auto" w:line="307" w:before="0" w:after="240"/>
        <w:ind w:left="0" w:right="0" w:hanging="0"/>
        <w:jc w:val="left"/>
        <w:rPr>
          <w:rFonts w:ascii="Helvetica" w:hAnsi="Helvetica"/>
          <w:sz w:val="18"/>
        </w:rPr>
      </w:pPr>
      <w:r>
        <w:rPr>
          <w:rFonts w:ascii="Helvetica" w:hAnsi="Helvetica"/>
          <w:sz w:val="18"/>
        </w:rPr>
        <w:t xml:space="preserve">The preparation of our condensed consolidated financial statements in conformity with accounting principles generally accepted in the United States of America requires management to make estimates and assumptions that affect the reported amounts of assets and liabilities and the disclosure of contingent assets and liabilities at the date of the financial statements and the reported amounts of revenues and expenses during the reporting period. Actual results could differ from those estimates. </w:t>
      </w:r>
    </w:p>
    <w:p>
      <w:pPr>
        <w:pStyle w:val="TextBody"/>
        <w:bidi w:val="0"/>
        <w:spacing w:before="480" w:after="0"/>
        <w:ind w:left="0" w:right="0" w:hanging="0"/>
        <w:jc w:val="center"/>
        <w:rPr>
          <w:rFonts w:ascii="Helvetica" w:hAnsi="Helvetica"/>
          <w:sz w:val="18"/>
        </w:rPr>
      </w:pPr>
      <w:r>
        <w:rPr>
          <w:rFonts w:ascii="Helvetica" w:hAnsi="Helvetica"/>
          <w:sz w:val="18"/>
        </w:rPr>
        <w:t>18</w:t>
      </w:r>
    </w:p>
    <w:p>
      <w:pPr>
        <w:pStyle w:val="TextBody"/>
        <w:bidi w:val="0"/>
        <w:spacing w:before="0" w:after="6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lineRule="auto" w:line="307" w:before="0" w:after="240"/>
        <w:ind w:left="0" w:right="0" w:hanging="0"/>
        <w:jc w:val="left"/>
        <w:rPr>
          <w:rFonts w:ascii="Helvetica" w:hAnsi="Helvetica"/>
          <w:sz w:val="18"/>
        </w:rPr>
      </w:pPr>
      <w:r>
        <w:rPr>
          <w:rFonts w:ascii="Helvetica" w:hAnsi="Helvetica"/>
          <w:sz w:val="18"/>
        </w:rPr>
        <w:t>There have been no material changes to the Critical Accounting Policies outlined in our Annual Report on Form 10-K for the fiscal year ended January 31, 2026.</w:t>
      </w:r>
    </w:p>
    <w:p>
      <w:pPr>
        <w:pStyle w:val="TextBody"/>
        <w:bidi w:val="0"/>
        <w:spacing w:lineRule="auto" w:line="307" w:before="0" w:after="240"/>
        <w:ind w:left="0" w:right="0" w:hanging="0"/>
        <w:jc w:val="left"/>
        <w:rPr>
          <w:rFonts w:ascii="Helvetica" w:hAnsi="Helvetica"/>
          <w:b/>
          <w:sz w:val="18"/>
        </w:rPr>
      </w:pPr>
      <w:bookmarkStart w:id="964" w:name="Item3Quantitative_526205"/>
      <w:bookmarkStart w:id="965" w:name="_55878f5c_4085_4edf_bcaa_7432c6ea7ae4"/>
      <w:bookmarkEnd w:id="964"/>
      <w:bookmarkEnd w:id="965"/>
      <w:r>
        <w:rPr>
          <w:rFonts w:ascii="Helvetica" w:hAnsi="Helvetica"/>
          <w:b/>
          <w:sz w:val="18"/>
        </w:rPr>
        <w:t>Item 3. Quantitative and Qualitative Disclosures About Market Risk.</w:t>
      </w:r>
    </w:p>
    <w:p>
      <w:pPr>
        <w:pStyle w:val="TextBody"/>
        <w:bidi w:val="0"/>
        <w:spacing w:lineRule="auto" w:line="307" w:before="0" w:after="240"/>
        <w:ind w:left="0" w:right="0" w:hanging="0"/>
        <w:jc w:val="left"/>
        <w:rPr>
          <w:rFonts w:ascii="Times New Roman;Times;serif" w:hAnsi="Times New Roman;Times;serif"/>
          <w:sz w:val="18"/>
        </w:rPr>
      </w:pPr>
      <w:r>
        <w:rPr>
          <w:rFonts w:ascii="Helvetica" w:hAnsi="Helvetica"/>
          <w:sz w:val="18"/>
        </w:rPr>
        <w:t>There have been no material changes in our market risk during the twenty-six weeks ended August 1, 2026 compared to the disclosures in Part II, Item 7A of our Annual Report on Form 10-K for the fiscal year ended January 31, 2026</w:t>
      </w:r>
      <w:r>
        <w:rPr>
          <w:rFonts w:ascii="Helvetica" w:hAnsi="Helvetica"/>
          <w:sz w:val="20"/>
        </w:rPr>
        <w:t>.</w:t>
      </w:r>
    </w:p>
    <w:p>
      <w:pPr>
        <w:pStyle w:val="TextBody"/>
        <w:bidi w:val="0"/>
        <w:spacing w:lineRule="auto" w:line="307" w:before="0" w:after="240"/>
        <w:ind w:left="0" w:right="0" w:hanging="0"/>
        <w:jc w:val="left"/>
        <w:rPr>
          <w:rFonts w:ascii="Helvetica" w:hAnsi="Helvetica"/>
          <w:b/>
          <w:sz w:val="18"/>
        </w:rPr>
      </w:pPr>
      <w:bookmarkStart w:id="966" w:name="Item4ControlsandProcedures_109413"/>
      <w:bookmarkStart w:id="967" w:name="_6bffa93e_17b9_429d_a5cc_d899eeabf72b"/>
      <w:bookmarkEnd w:id="966"/>
      <w:bookmarkEnd w:id="967"/>
      <w:r>
        <w:rPr>
          <w:rFonts w:ascii="Helvetica" w:hAnsi="Helvetica"/>
          <w:b/>
          <w:sz w:val="18"/>
        </w:rPr>
        <w:t>Item 4. Controls and Procedures.</w:t>
      </w:r>
    </w:p>
    <w:p>
      <w:pPr>
        <w:pStyle w:val="TextBody"/>
        <w:bidi w:val="0"/>
        <w:spacing w:lineRule="auto" w:line="307" w:before="0" w:after="240"/>
        <w:ind w:left="0" w:right="0" w:hanging="0"/>
        <w:jc w:val="left"/>
        <w:rPr>
          <w:rFonts w:ascii="Helvetica" w:hAnsi="Helvetica"/>
          <w:sz w:val="18"/>
        </w:rPr>
      </w:pPr>
      <w:r>
        <w:rPr>
          <w:rFonts w:ascii="Helvetica" w:hAnsi="Helvetica"/>
          <w:sz w:val="18"/>
        </w:rPr>
        <w:t>We have carried out an evaluation under the supervision and with the participation of management, including the principal executive officer and the principal financial officer, of the effectiveness of the design and operation of our disclosure controls and procedures as of August 1, 2026 pursuant to Rules 13a-15 and 15d-15 of the Exchange Act. Based on that evaluation, the principal executive officer and the principal financial officer concluded that our disclosure controls and procedures are effective to provide reasonable assurance that information required to be disclosed by us in reports that we file or submit under the Exchange Act is recorded, processed, summarized and reported within the time periods specified in the SEC’s rules and forms, and that such information has been accumulated and communicated to our management, including the officers who certify our financial reports, as appropriate, to allow timely decisions regarding the required disclosures.</w:t>
      </w:r>
    </w:p>
    <w:p>
      <w:pPr>
        <w:pStyle w:val="TextBody"/>
        <w:bidi w:val="0"/>
        <w:spacing w:lineRule="auto" w:line="304" w:before="0" w:after="240"/>
        <w:ind w:left="0" w:right="0" w:hanging="0"/>
        <w:jc w:val="left"/>
        <w:rPr>
          <w:rFonts w:ascii="Helvetica" w:hAnsi="Helvetica"/>
          <w:sz w:val="18"/>
        </w:rPr>
      </w:pPr>
      <w:r>
        <w:rPr>
          <w:rFonts w:ascii="Helvetica" w:hAnsi="Helvetica"/>
          <w:sz w:val="18"/>
        </w:rPr>
        <w:t>Our disclosure controls and procedures are designed to provide reasonable assurance that the controls and procedures will meet their objectives. Management recognizes that any controls and procedures, no matter how well designed and operated, can provide only reasonable assurance of achieving the desired control objectives.</w:t>
      </w:r>
    </w:p>
    <w:p>
      <w:pPr>
        <w:pStyle w:val="TextBody"/>
        <w:bidi w:val="0"/>
        <w:spacing w:lineRule="auto" w:line="307" w:before="0" w:after="240"/>
        <w:ind w:left="0" w:right="0" w:hanging="0"/>
        <w:jc w:val="left"/>
        <w:rPr>
          <w:rFonts w:ascii="Helvetica" w:hAnsi="Helvetica"/>
          <w:sz w:val="18"/>
        </w:rPr>
      </w:pPr>
      <w:r>
        <w:rPr>
          <w:rFonts w:ascii="Helvetica" w:hAnsi="Helvetica"/>
          <w:sz w:val="18"/>
        </w:rPr>
        <w:t>There were no changes in our internal control over financial reporting that occurred during the fiscal quarter ended August 1, 2026 that have materially affected, or are reasonably likely to materially affect, our internal control over financial reporting.</w:t>
      </w:r>
    </w:p>
    <w:p>
      <w:pPr>
        <w:pStyle w:val="TextBody"/>
        <w:bidi w:val="0"/>
        <w:spacing w:lineRule="auto" w:line="307" w:before="0" w:after="240"/>
        <w:ind w:left="0" w:right="0" w:hanging="0"/>
        <w:jc w:val="left"/>
        <w:rPr/>
      </w:pPr>
      <w:r>
        <w:rPr/>
        <w:t>​</w:t>
      </w:r>
    </w:p>
    <w:p>
      <w:pPr>
        <w:pStyle w:val="TextBody"/>
        <w:bidi w:val="0"/>
        <w:spacing w:before="480" w:after="0"/>
        <w:ind w:left="0" w:right="0" w:hanging="0"/>
        <w:jc w:val="center"/>
        <w:rPr>
          <w:rFonts w:ascii="Helvetica" w:hAnsi="Helvetica"/>
          <w:sz w:val="18"/>
        </w:rPr>
      </w:pPr>
      <w:r>
        <w:rPr>
          <w:rFonts w:ascii="Helvetica" w:hAnsi="Helvetica"/>
          <w:sz w:val="18"/>
        </w:rPr>
        <w:t>19</w:t>
      </w:r>
    </w:p>
    <w:p>
      <w:pPr>
        <w:pStyle w:val="TextBody"/>
        <w:bidi w:val="0"/>
        <w:spacing w:before="0" w:after="6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lineRule="auto" w:line="307" w:before="0" w:after="240"/>
        <w:ind w:left="0" w:right="0" w:hanging="0"/>
        <w:jc w:val="left"/>
        <w:rPr>
          <w:rFonts w:ascii="Helvetica" w:hAnsi="Helvetica"/>
          <w:b/>
          <w:sz w:val="18"/>
        </w:rPr>
      </w:pPr>
      <w:bookmarkStart w:id="968" w:name="PARTIIOTHER_417392"/>
      <w:bookmarkStart w:id="969" w:name="_dc59fbac_8ed6_4206_bcba_3ced6ba547df"/>
      <w:bookmarkEnd w:id="968"/>
      <w:bookmarkEnd w:id="969"/>
      <w:r>
        <w:rPr>
          <w:rFonts w:ascii="Helvetica" w:hAnsi="Helvetica"/>
          <w:b/>
          <w:sz w:val="18"/>
        </w:rPr>
        <w:t>PART II — OTHER INFORMATION</w:t>
      </w:r>
    </w:p>
    <w:p>
      <w:pPr>
        <w:pStyle w:val="TextBody"/>
        <w:bidi w:val="0"/>
        <w:spacing w:lineRule="auto" w:line="307" w:before="0" w:after="240"/>
        <w:ind w:left="0" w:right="0" w:hanging="0"/>
        <w:jc w:val="left"/>
        <w:rPr>
          <w:rFonts w:ascii="Helvetica" w:hAnsi="Helvetica"/>
          <w:b/>
          <w:sz w:val="18"/>
        </w:rPr>
      </w:pPr>
      <w:bookmarkStart w:id="970" w:name="Item1LegalProceedings_534485"/>
      <w:bookmarkEnd w:id="970"/>
      <w:r>
        <w:rPr>
          <w:rFonts w:ascii="Helvetica" w:hAnsi="Helvetica"/>
          <w:b/>
          <w:sz w:val="18"/>
        </w:rPr>
        <w:t>Item 1. Legal Proceedings.</w:t>
      </w:r>
    </w:p>
    <w:p>
      <w:pPr>
        <w:pStyle w:val="TextBody"/>
        <w:bidi w:val="0"/>
        <w:spacing w:lineRule="auto" w:line="307" w:before="0" w:after="240"/>
        <w:ind w:left="0" w:right="0" w:hanging="0"/>
        <w:jc w:val="left"/>
        <w:rPr>
          <w:rFonts w:ascii="Helvetica" w:hAnsi="Helvetica"/>
          <w:sz w:val="18"/>
          <w:shd w:fill="FFFFFF" w:val="clear"/>
        </w:rPr>
      </w:pPr>
      <w:r>
        <w:rPr>
          <w:rFonts w:ascii="Helvetica" w:hAnsi="Helvetica"/>
          <w:sz w:val="18"/>
          <w:shd w:fill="FFFFFF" w:val="clear"/>
        </w:rPr>
        <w:t>We are from time to time involved in various legal proceedings incidental to the conduct of our business, including claims by customers, landlords, employees, or former employees. Once it becomes probable that we will incur costs in connection with a legal proceeding and such costs can be reasonably estimated, we establish appropriate reserves. While legal proceedings are subject to uncertainties and the outcome of any such matter is not predictable, we are not aware of any legal proceedings pending or threatened against us that we expect to have a material adverse effect on our financial condition, results of operations or liquidity.</w:t>
      </w:r>
    </w:p>
    <w:p>
      <w:pPr>
        <w:pStyle w:val="TextBody"/>
        <w:bidi w:val="0"/>
        <w:spacing w:lineRule="auto" w:line="307" w:before="0" w:after="240"/>
        <w:ind w:left="0" w:right="0" w:hanging="0"/>
        <w:jc w:val="left"/>
        <w:rPr>
          <w:rFonts w:ascii="Helvetica" w:hAnsi="Helvetica"/>
          <w:b/>
          <w:sz w:val="18"/>
        </w:rPr>
      </w:pPr>
      <w:bookmarkStart w:id="971" w:name="Item1ARiskFactors_712442"/>
      <w:bookmarkStart w:id="972" w:name="_fa4702b3_8a99_4ccf_b6f7_02c7c4e4a342"/>
      <w:bookmarkEnd w:id="971"/>
      <w:bookmarkEnd w:id="972"/>
      <w:r>
        <w:rPr>
          <w:rFonts w:ascii="Helvetica" w:hAnsi="Helvetica"/>
          <w:b/>
          <w:sz w:val="18"/>
        </w:rPr>
        <w:t>Item 1A. Risk Factors.</w:t>
      </w:r>
    </w:p>
    <w:p>
      <w:pPr>
        <w:pStyle w:val="TextBody"/>
        <w:bidi w:val="0"/>
        <w:spacing w:lineRule="auto" w:line="307" w:before="0" w:after="240"/>
        <w:ind w:left="0" w:right="0" w:hanging="0"/>
        <w:jc w:val="left"/>
        <w:rPr>
          <w:rFonts w:ascii="Helvetica" w:hAnsi="Helvetica"/>
          <w:sz w:val="18"/>
        </w:rPr>
      </w:pPr>
      <w:r>
        <w:rPr>
          <w:rFonts w:ascii="Helvetica" w:hAnsi="Helvetica"/>
          <w:sz w:val="18"/>
        </w:rPr>
        <w:t>There have been no material changes to the Risk Factors described under the section “Item 1A. Risk Factors” in our Annual Report on Form 10-K for the fiscal year ended January 31, 2026.</w:t>
      </w:r>
    </w:p>
    <w:p>
      <w:pPr>
        <w:pStyle w:val="TextBody"/>
        <w:bidi w:val="0"/>
        <w:spacing w:before="0" w:after="53"/>
        <w:ind w:left="0" w:right="0" w:hanging="0"/>
        <w:jc w:val="left"/>
        <w:rPr>
          <w:rFonts w:ascii="Helvetica" w:hAnsi="Helvetica"/>
          <w:b/>
          <w:sz w:val="18"/>
        </w:rPr>
      </w:pPr>
      <w:bookmarkStart w:id="973" w:name="Item2Unregistered_848127"/>
      <w:bookmarkStart w:id="974" w:name="_e53e1776_f101_4bc4_b267_cec351fa413b"/>
      <w:bookmarkEnd w:id="973"/>
      <w:bookmarkEnd w:id="974"/>
      <w:r>
        <w:rPr>
          <w:rFonts w:ascii="Helvetica" w:hAnsi="Helvetica"/>
          <w:b/>
          <w:sz w:val="18"/>
        </w:rPr>
        <w:t>Item 2. Unregistered Sales of Equity Securities and Use of Proceeds.</w:t>
      </w:r>
    </w:p>
    <w:p>
      <w:pPr>
        <w:pStyle w:val="TextBody"/>
        <w:bidi w:val="0"/>
        <w:spacing w:before="0" w:after="53"/>
        <w:ind w:left="0" w:right="0" w:hanging="0"/>
        <w:jc w:val="left"/>
        <w:rPr/>
      </w:pPr>
      <w:r>
        <w:rPr/>
        <w:t>​</w:t>
      </w:r>
    </w:p>
    <w:p>
      <w:pPr>
        <w:pStyle w:val="TextBody"/>
        <w:bidi w:val="0"/>
        <w:spacing w:lineRule="auto" w:line="307" w:before="0" w:after="240"/>
        <w:ind w:left="0" w:right="0" w:hanging="0"/>
        <w:jc w:val="left"/>
        <w:rPr>
          <w:rFonts w:ascii="Helvetica" w:hAnsi="Helvetica"/>
          <w:i/>
          <w:sz w:val="18"/>
        </w:rPr>
      </w:pPr>
      <w:r>
        <w:rPr>
          <w:rFonts w:ascii="Helvetica" w:hAnsi="Helvetica"/>
          <w:i/>
          <w:sz w:val="18"/>
        </w:rPr>
        <w:t>Information on Share Repurchases</w:t>
      </w:r>
    </w:p>
    <w:p>
      <w:pPr>
        <w:pStyle w:val="TextBody"/>
        <w:bidi w:val="0"/>
        <w:spacing w:lineRule="auto" w:line="307" w:before="0" w:after="240"/>
        <w:ind w:left="0" w:right="0" w:hanging="0"/>
        <w:jc w:val="left"/>
        <w:rPr>
          <w:rFonts w:ascii="Helvetica" w:hAnsi="Helvetica"/>
          <w:sz w:val="18"/>
        </w:rPr>
      </w:pPr>
      <w:r>
        <w:rPr>
          <w:rFonts w:ascii="Helvetica" w:hAnsi="Helvetica"/>
          <w:sz w:val="18"/>
        </w:rPr>
        <w:t>The Company did not repurchase any shares in the second quarter of 2026. As of August 1, 2026, $40.0 million remained under the Company’s stock repurchase authorization.</w:t>
      </w:r>
    </w:p>
    <w:p>
      <w:pPr>
        <w:pStyle w:val="TextBody"/>
        <w:bidi w:val="0"/>
        <w:spacing w:before="0" w:after="53"/>
        <w:ind w:left="0" w:right="0" w:hanging="0"/>
        <w:jc w:val="left"/>
        <w:rPr/>
      </w:pPr>
      <w:r>
        <w:rPr/>
        <w:t>​</w:t>
      </w:r>
    </w:p>
    <w:p>
      <w:pPr>
        <w:pStyle w:val="TextBody"/>
        <w:bidi w:val="0"/>
        <w:spacing w:lineRule="auto" w:line="307" w:before="0" w:after="240"/>
        <w:ind w:left="0" w:right="0" w:hanging="0"/>
        <w:jc w:val="left"/>
        <w:rPr>
          <w:rFonts w:ascii="Helvetica" w:hAnsi="Helvetica"/>
          <w:b/>
          <w:sz w:val="18"/>
        </w:rPr>
      </w:pPr>
      <w:bookmarkStart w:id="975" w:name="Item3DefaultsUponSeniorSecurities_256165"/>
      <w:bookmarkStart w:id="976" w:name="_be966a63_924e_4b28_a5e3_44257139c348"/>
      <w:bookmarkEnd w:id="975"/>
      <w:bookmarkEnd w:id="976"/>
      <w:r>
        <w:rPr>
          <w:rFonts w:ascii="Helvetica" w:hAnsi="Helvetica"/>
          <w:b/>
          <w:sz w:val="18"/>
        </w:rPr>
        <w:t>Item 3. Defaults Upon Senior Securities.</w:t>
      </w:r>
    </w:p>
    <w:p>
      <w:pPr>
        <w:pStyle w:val="TextBody"/>
        <w:bidi w:val="0"/>
        <w:spacing w:lineRule="auto" w:line="307" w:before="0" w:after="240"/>
        <w:ind w:left="0" w:right="0" w:firstLine="720"/>
        <w:jc w:val="left"/>
        <w:rPr>
          <w:rFonts w:ascii="Helvetica" w:hAnsi="Helvetica"/>
          <w:sz w:val="18"/>
        </w:rPr>
      </w:pPr>
      <w:r>
        <w:rPr>
          <w:rFonts w:ascii="Helvetica" w:hAnsi="Helvetica"/>
          <w:sz w:val="18"/>
        </w:rPr>
        <w:t>Not applicable.</w:t>
      </w:r>
    </w:p>
    <w:p>
      <w:pPr>
        <w:pStyle w:val="TextBody"/>
        <w:bidi w:val="0"/>
        <w:spacing w:lineRule="auto" w:line="307" w:before="0" w:after="240"/>
        <w:ind w:left="0" w:right="0" w:hanging="0"/>
        <w:jc w:val="left"/>
        <w:rPr>
          <w:rFonts w:ascii="Helvetica" w:hAnsi="Helvetica"/>
          <w:b/>
          <w:sz w:val="18"/>
        </w:rPr>
      </w:pPr>
      <w:bookmarkStart w:id="977" w:name="Item4MineSafetyDisclosures_796715"/>
      <w:bookmarkStart w:id="978" w:name="_bcb59604_4f81_487c_8e9d_ac71feca0460"/>
      <w:bookmarkEnd w:id="977"/>
      <w:bookmarkEnd w:id="978"/>
      <w:r>
        <w:rPr>
          <w:rFonts w:ascii="Helvetica" w:hAnsi="Helvetica"/>
          <w:b/>
          <w:sz w:val="18"/>
        </w:rPr>
        <w:t>Item 4. Mine Safety Disclosures.</w:t>
      </w:r>
    </w:p>
    <w:p>
      <w:pPr>
        <w:pStyle w:val="TextBody"/>
        <w:bidi w:val="0"/>
        <w:spacing w:lineRule="auto" w:line="307" w:before="0" w:after="240"/>
        <w:ind w:left="0" w:right="0" w:firstLine="720"/>
        <w:jc w:val="left"/>
        <w:rPr>
          <w:rFonts w:ascii="Helvetica" w:hAnsi="Helvetica"/>
          <w:sz w:val="18"/>
        </w:rPr>
      </w:pPr>
      <w:r>
        <w:rPr>
          <w:rFonts w:ascii="Helvetica" w:hAnsi="Helvetica"/>
          <w:sz w:val="18"/>
        </w:rPr>
        <w:t>Not applicable.</w:t>
      </w:r>
    </w:p>
    <w:p>
      <w:pPr>
        <w:pStyle w:val="TextBody"/>
        <w:bidi w:val="0"/>
        <w:spacing w:lineRule="auto" w:line="307" w:before="0" w:after="240"/>
        <w:ind w:left="0" w:right="0" w:hanging="0"/>
        <w:jc w:val="left"/>
        <w:rPr>
          <w:rFonts w:ascii="Helvetica" w:hAnsi="Helvetica"/>
          <w:b/>
          <w:sz w:val="18"/>
        </w:rPr>
      </w:pPr>
      <w:bookmarkStart w:id="979" w:name="Item5OtherInformation_995576"/>
      <w:bookmarkStart w:id="980" w:name="_c5dc393f_d352_408e_bb92_93717634d5d0"/>
      <w:bookmarkEnd w:id="979"/>
      <w:bookmarkEnd w:id="980"/>
      <w:r>
        <w:rPr>
          <w:rFonts w:ascii="Helvetica" w:hAnsi="Helvetica"/>
          <w:b/>
          <w:sz w:val="18"/>
        </w:rPr>
        <w:t>Item 5. Other Information.</w:t>
      </w:r>
    </w:p>
    <w:p>
      <w:pPr>
        <w:pStyle w:val="TextBody"/>
        <w:bidi w:val="0"/>
        <w:spacing w:before="0" w:after="240"/>
        <w:ind w:left="0" w:right="0" w:hanging="0"/>
        <w:jc w:val="left"/>
        <w:rPr>
          <w:rFonts w:ascii="Helvetica" w:hAnsi="Helvetica"/>
          <w:sz w:val="18"/>
        </w:rPr>
      </w:pPr>
      <w:r>
        <w:rPr>
          <w:rFonts w:ascii="Helvetica" w:hAnsi="Helvetica"/>
          <w:sz w:val="18"/>
        </w:rPr>
        <w:t>Not applicable.</w:t>
      </w:r>
    </w:p>
    <w:p>
      <w:pPr>
        <w:pStyle w:val="TextBody"/>
        <w:bidi w:val="0"/>
        <w:spacing w:before="0" w:after="53"/>
        <w:ind w:left="0" w:right="0" w:hanging="0"/>
        <w:jc w:val="left"/>
        <w:rPr/>
      </w:pPr>
      <w:r>
        <w:rPr/>
        <w:t>​</w:t>
      </w:r>
    </w:p>
    <w:p>
      <w:pPr>
        <w:pStyle w:val="TextBody"/>
        <w:bidi w:val="0"/>
        <w:spacing w:before="480" w:after="0"/>
        <w:ind w:left="0" w:right="0" w:hanging="0"/>
        <w:jc w:val="center"/>
        <w:rPr>
          <w:rFonts w:ascii="Helvetica" w:hAnsi="Helvetica"/>
          <w:sz w:val="18"/>
        </w:rPr>
      </w:pPr>
      <w:r>
        <w:rPr>
          <w:rFonts w:ascii="Helvetica" w:hAnsi="Helvetica"/>
          <w:sz w:val="18"/>
        </w:rPr>
        <w:t>20</w:t>
      </w:r>
    </w:p>
    <w:p>
      <w:pPr>
        <w:pStyle w:val="TextBody"/>
        <w:bidi w:val="0"/>
        <w:spacing w:before="0" w:after="6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53"/>
        <w:ind w:left="0" w:right="0" w:hanging="0"/>
        <w:jc w:val="left"/>
        <w:rPr>
          <w:rFonts w:ascii="Helvetica" w:hAnsi="Helvetica"/>
          <w:b/>
          <w:sz w:val="18"/>
        </w:rPr>
      </w:pPr>
      <w:bookmarkStart w:id="981" w:name="Item6Exhibits_688103"/>
      <w:bookmarkStart w:id="982" w:name="_ebcceec0_8473_40f1_b934_d499c2bde8fe"/>
      <w:bookmarkEnd w:id="981"/>
      <w:bookmarkEnd w:id="982"/>
      <w:r>
        <w:rPr>
          <w:rFonts w:ascii="Helvetica" w:hAnsi="Helvetica"/>
          <w:b/>
          <w:sz w:val="18"/>
        </w:rPr>
        <w:t>Item 6. Exhibits.</w:t>
      </w:r>
    </w:p>
    <w:p>
      <w:pPr>
        <w:pStyle w:val="TextBody"/>
        <w:bidi w:val="0"/>
        <w:spacing w:before="0" w:after="53"/>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481"/>
        <w:gridCol w:w="109"/>
        <w:gridCol w:w="9615"/>
      </w:tblGrid>
      <w:tr>
        <w:trPr/>
        <w:tc>
          <w:tcPr>
            <w:tcW w:w="481" w:type="dxa"/>
            <w:tcBorders/>
            <w:vAlign w:val="center"/>
          </w:tcPr>
          <w:p>
            <w:pPr>
              <w:pStyle w:val="TableContents"/>
              <w:bidi w:val="0"/>
              <w:spacing w:before="0" w:after="53"/>
              <w:ind w:left="0" w:right="0" w:hanging="0"/>
              <w:jc w:val="left"/>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69215" cy="175260"/>
                      <wp:effectExtent l="0" t="0" r="0" b="0"/>
                      <wp:wrapNone/>
                      <wp:docPr id="148" name="Frame14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53"/>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53"/>
                              <w:ind w:left="0" w:right="0" w:hanging="0"/>
                              <w:jc w:val="left"/>
                              <w:rPr/>
                            </w:pPr>
                            <w:r>
                              <w:rPr/>
                              <w:t>​</w:t>
                            </w:r>
                          </w:p>
                        </w:txbxContent>
                      </v:textbox>
                      <w10:wrap type="none"/>
                    </v:rect>
                  </w:pict>
                </mc:Fallback>
              </mc:AlternateContent>
            </w:r>
          </w:p>
        </w:tc>
        <w:tc>
          <w:tcPr>
            <w:tcW w:w="9615" w:type="dxa"/>
            <w:tcBorders/>
            <w:vAlign w:val="center"/>
          </w:tcPr>
          <w:p>
            <w:pPr>
              <w:pStyle w:val="TableContents"/>
              <w:bidi w:val="0"/>
              <w:spacing w:before="0" w:after="283"/>
              <w:ind w:left="0" w:right="0" w:hanging="0"/>
              <w:jc w:val="left"/>
              <w:rPr>
                <w:sz w:val="4"/>
                <w:szCs w:val="4"/>
              </w:rPr>
            </w:pPr>
            <w:r>
              <w:rPr>
                <w:sz w:val="4"/>
                <w:szCs w:val="4"/>
              </w:rPr>
            </w:r>
          </w:p>
        </w:tc>
      </w:tr>
      <w:tr>
        <w:trPr/>
        <w:tc>
          <w:tcPr>
            <w:tcW w:w="481" w:type="dxa"/>
            <w:tcBorders/>
            <w:vAlign w:val="center"/>
          </w:tcPr>
          <w:p>
            <w:pPr>
              <w:pStyle w:val="TableContents"/>
              <w:pBdr/>
              <w:bidi w:val="0"/>
              <w:spacing w:lineRule="auto" w:line="343" w:before="0" w:after="0"/>
              <w:ind w:left="0" w:right="0" w:hanging="0"/>
              <w:jc w:val="left"/>
              <w:rPr>
                <w:rFonts w:ascii="Helvetica" w:hAnsi="Helvetica"/>
                <w:sz w:val="18"/>
              </w:rPr>
            </w:pPr>
            <w:r>
              <w:rPr>
                <w:rFonts w:ascii="Helvetica" w:hAnsi="Helvetica"/>
                <w:sz w:val="18"/>
              </w:rPr>
              <w:t>3.1</w:t>
            </w:r>
          </w:p>
        </w:tc>
        <w:tc>
          <w:tcPr>
            <w:tcW w:w="109" w:type="dxa"/>
            <w:tcBorders/>
            <w:vAlign w:val="center"/>
          </w:tcPr>
          <w:p>
            <w:pPr>
              <w:pStyle w:val="TableContents"/>
              <w:bidi w:val="0"/>
              <w:spacing w:lineRule="auto" w:line="343" w:before="0" w:after="0"/>
              <w:ind w:left="0" w:right="0" w:hanging="0"/>
              <w:jc w:val="left"/>
              <w:rPr/>
            </w:pPr>
            <w:r>
              <w:rPr/>
              <w:t>​</w:t>
            </w:r>
          </w:p>
        </w:tc>
        <w:tc>
          <w:tcPr>
            <w:tcW w:w="9615" w:type="dxa"/>
            <w:tcBorders/>
            <w:vAlign w:val="center"/>
          </w:tcPr>
          <w:p>
            <w:pPr>
              <w:pStyle w:val="TableContents"/>
              <w:bidi w:val="0"/>
              <w:spacing w:lineRule="auto" w:line="343" w:before="0" w:after="0"/>
              <w:ind w:left="0" w:right="0" w:hanging="0"/>
              <w:jc w:val="left"/>
              <w:rPr/>
            </w:pPr>
            <w:hyperlink r:id="rId2">
              <w:r>
                <w:rPr>
                  <w:rStyle w:val="InternetLink"/>
                  <w:rFonts w:ascii="Times New Roman;Times;serif" w:hAnsi="Times New Roman;Times;serif"/>
                  <w:b w:val="false"/>
                  <w:i w:val="false"/>
                  <w:caps w:val="false"/>
                  <w:smallCaps w:val="false"/>
                  <w:sz w:val="18"/>
                </w:rPr>
                <w:t>Third Amended and Restated Certificate of Incorporation (incorporated by reference to Exhibit 3.1 to the Company’s Current Report on Form 8-K filed with the SEC on June 7, 2018)</w:t>
              </w:r>
            </w:hyperlink>
            <w:r>
              <w:rPr>
                <w:rFonts w:ascii="Helvetica" w:hAnsi="Helvetica"/>
                <w:sz w:val="18"/>
              </w:rPr>
              <w:t>.</w:t>
            </w:r>
          </w:p>
        </w:tc>
      </w:tr>
      <w:tr>
        <w:trPr/>
        <w:tc>
          <w:tcPr>
            <w:tcW w:w="481" w:type="dxa"/>
            <w:tcBorders/>
            <w:vAlign w:val="center"/>
          </w:tcPr>
          <w:p>
            <w:pPr>
              <w:pStyle w:val="TableContents"/>
              <w:pBdr/>
              <w:bidi w:val="0"/>
              <w:spacing w:lineRule="auto" w:line="343" w:before="0" w:after="0"/>
              <w:ind w:left="0" w:right="0" w:hanging="0"/>
              <w:jc w:val="left"/>
              <w:rPr/>
            </w:pPr>
            <w:r>
              <w:rPr/>
              <w:t>​</w:t>
            </w:r>
          </w:p>
        </w:tc>
        <w:tc>
          <w:tcPr>
            <w:tcW w:w="109" w:type="dxa"/>
            <w:tcBorders/>
            <w:vAlign w:val="center"/>
          </w:tcPr>
          <w:p>
            <w:pPr>
              <w:pStyle w:val="TableContents"/>
              <w:bidi w:val="0"/>
              <w:spacing w:lineRule="auto" w:line="343" w:before="0" w:after="0"/>
              <w:ind w:left="0" w:right="0" w:hanging="0"/>
              <w:jc w:val="left"/>
              <w:rPr/>
            </w:pPr>
            <w:r>
              <w:rPr/>
              <w:t>​</w:t>
            </w:r>
          </w:p>
        </w:tc>
        <w:tc>
          <w:tcPr>
            <w:tcW w:w="9615" w:type="dxa"/>
            <w:tcBorders/>
            <w:vAlign w:val="center"/>
          </w:tcPr>
          <w:p>
            <w:pPr>
              <w:pStyle w:val="TableContents"/>
              <w:bidi w:val="0"/>
              <w:spacing w:lineRule="auto" w:line="343" w:before="0" w:after="0"/>
              <w:ind w:left="0" w:right="0" w:hanging="0"/>
              <w:jc w:val="left"/>
              <w:rPr/>
            </w:pPr>
            <w:r>
              <w:rPr/>
              <w:t>​</w:t>
            </w:r>
          </w:p>
        </w:tc>
      </w:tr>
      <w:tr>
        <w:trPr/>
        <w:tc>
          <w:tcPr>
            <w:tcW w:w="481" w:type="dxa"/>
            <w:tcBorders/>
            <w:vAlign w:val="center"/>
          </w:tcPr>
          <w:p>
            <w:pPr>
              <w:pStyle w:val="TableContents"/>
              <w:pBdr/>
              <w:bidi w:val="0"/>
              <w:spacing w:lineRule="auto" w:line="343" w:before="0" w:after="0"/>
              <w:ind w:left="0" w:right="0" w:hanging="0"/>
              <w:jc w:val="left"/>
              <w:rPr>
                <w:rFonts w:ascii="Helvetica" w:hAnsi="Helvetica"/>
                <w:sz w:val="18"/>
              </w:rPr>
            </w:pPr>
            <w:r>
              <w:rPr>
                <w:rFonts w:ascii="Helvetica" w:hAnsi="Helvetica"/>
                <w:sz w:val="18"/>
              </w:rPr>
              <w:t>3.2</w:t>
            </w:r>
          </w:p>
        </w:tc>
        <w:tc>
          <w:tcPr>
            <w:tcW w:w="109" w:type="dxa"/>
            <w:tcBorders/>
            <w:vAlign w:val="center"/>
          </w:tcPr>
          <w:p>
            <w:pPr>
              <w:pStyle w:val="TableContents"/>
              <w:bidi w:val="0"/>
              <w:spacing w:lineRule="auto" w:line="343" w:before="0" w:after="0"/>
              <w:ind w:left="0" w:right="0" w:hanging="0"/>
              <w:jc w:val="left"/>
              <w:rPr/>
            </w:pPr>
            <w:r>
              <w:rPr/>
              <w:t>​</w:t>
            </w:r>
          </w:p>
        </w:tc>
        <w:tc>
          <w:tcPr>
            <w:tcW w:w="9615" w:type="dxa"/>
            <w:tcBorders/>
            <w:vAlign w:val="center"/>
          </w:tcPr>
          <w:p>
            <w:pPr>
              <w:pStyle w:val="TableContents"/>
              <w:bidi w:val="0"/>
              <w:spacing w:lineRule="auto" w:line="343" w:before="0" w:after="0"/>
              <w:ind w:left="0" w:right="0" w:hanging="0"/>
              <w:jc w:val="left"/>
              <w:rPr/>
            </w:pPr>
            <w:hyperlink r:id="rId3">
              <w:r>
                <w:rPr>
                  <w:rStyle w:val="InternetLink"/>
                  <w:rFonts w:ascii="Times New Roman;Times;serif" w:hAnsi="Times New Roman;Times;serif"/>
                  <w:b w:val="false"/>
                  <w:i w:val="false"/>
                  <w:caps w:val="false"/>
                  <w:smallCaps w:val="false"/>
                  <w:sz w:val="20"/>
                </w:rPr>
                <w:t>Fourth Amended and Restated Bylaws (incorporated by reference to Exhibit 3.2 to the Company’s Current Report on Form 8-K filed with the SEC on October 31, 2022).</w:t>
              </w:r>
            </w:hyperlink>
          </w:p>
        </w:tc>
      </w:tr>
      <w:tr>
        <w:trPr/>
        <w:tc>
          <w:tcPr>
            <w:tcW w:w="481" w:type="dxa"/>
            <w:tcBorders/>
            <w:vAlign w:val="center"/>
          </w:tcPr>
          <w:p>
            <w:pPr>
              <w:pStyle w:val="TableContents"/>
              <w:pBdr/>
              <w:bidi w:val="0"/>
              <w:spacing w:lineRule="auto" w:line="343" w:before="0" w:after="0"/>
              <w:ind w:left="0" w:right="0" w:hanging="0"/>
              <w:jc w:val="left"/>
              <w:rPr/>
            </w:pPr>
            <w:r>
              <w:rPr/>
              <w:t>​</w:t>
            </w:r>
          </w:p>
        </w:tc>
        <w:tc>
          <w:tcPr>
            <w:tcW w:w="109" w:type="dxa"/>
            <w:tcBorders/>
            <w:vAlign w:val="center"/>
          </w:tcPr>
          <w:p>
            <w:pPr>
              <w:pStyle w:val="TableContents"/>
              <w:bidi w:val="0"/>
              <w:spacing w:lineRule="auto" w:line="343" w:before="0" w:after="0"/>
              <w:ind w:left="0" w:right="0" w:hanging="0"/>
              <w:jc w:val="left"/>
              <w:rPr/>
            </w:pPr>
            <w:r>
              <w:rPr/>
              <w:t>​</w:t>
            </w:r>
          </w:p>
        </w:tc>
        <w:tc>
          <w:tcPr>
            <w:tcW w:w="9615" w:type="dxa"/>
            <w:tcBorders/>
            <w:vAlign w:val="center"/>
          </w:tcPr>
          <w:p>
            <w:pPr>
              <w:pStyle w:val="TableContents"/>
              <w:bidi w:val="0"/>
              <w:spacing w:lineRule="auto" w:line="343" w:before="0" w:after="0"/>
              <w:ind w:left="0" w:right="0" w:hanging="0"/>
              <w:jc w:val="left"/>
              <w:rPr/>
            </w:pPr>
            <w:r>
              <w:rPr/>
              <w:t>​</w:t>
            </w:r>
          </w:p>
        </w:tc>
      </w:tr>
      <w:tr>
        <w:trPr/>
        <w:tc>
          <w:tcPr>
            <w:tcW w:w="481" w:type="dxa"/>
            <w:tcBorders/>
            <w:vAlign w:val="center"/>
          </w:tcPr>
          <w:p>
            <w:pPr>
              <w:pStyle w:val="TableContents"/>
              <w:pBdr/>
              <w:bidi w:val="0"/>
              <w:spacing w:lineRule="auto" w:line="343" w:before="0" w:after="0"/>
              <w:ind w:left="0" w:right="0" w:hanging="0"/>
              <w:jc w:val="left"/>
              <w:rPr>
                <w:rFonts w:ascii="Helvetica" w:hAnsi="Helvetica"/>
                <w:sz w:val="18"/>
              </w:rPr>
            </w:pPr>
            <w:r>
              <w:rPr>
                <w:rFonts w:ascii="Helvetica" w:hAnsi="Helvetica"/>
                <w:sz w:val="18"/>
              </w:rPr>
              <w:t>31.1</w:t>
            </w:r>
          </w:p>
        </w:tc>
        <w:tc>
          <w:tcPr>
            <w:tcW w:w="109" w:type="dxa"/>
            <w:tcBorders/>
            <w:vAlign w:val="center"/>
          </w:tcPr>
          <w:p>
            <w:pPr>
              <w:pStyle w:val="TableContents"/>
              <w:bidi w:val="0"/>
              <w:spacing w:lineRule="auto" w:line="343" w:before="0" w:after="0"/>
              <w:ind w:left="0" w:right="0" w:hanging="0"/>
              <w:jc w:val="left"/>
              <w:rPr/>
            </w:pPr>
            <w:r>
              <w:rPr/>
              <w:t>​</w:t>
            </w:r>
          </w:p>
        </w:tc>
        <w:tc>
          <w:tcPr>
            <w:tcW w:w="9615" w:type="dxa"/>
            <w:tcBorders/>
            <w:vAlign w:val="center"/>
          </w:tcPr>
          <w:p>
            <w:pPr>
              <w:pStyle w:val="TableContents"/>
              <w:bidi w:val="0"/>
              <w:spacing w:lineRule="auto" w:line="343" w:before="0" w:after="0"/>
              <w:ind w:left="0" w:right="0" w:hanging="0"/>
              <w:jc w:val="left"/>
              <w:rPr/>
            </w:pPr>
            <w:hyperlink w:anchor="ctrn-20260801xex31d1.htm">
              <w:r>
                <w:rPr>
                  <w:rStyle w:val="InternetLink"/>
                  <w:rFonts w:ascii="Times New Roman;Times;serif" w:hAnsi="Times New Roman;Times;serif"/>
                  <w:b w:val="false"/>
                  <w:i w:val="false"/>
                  <w:caps w:val="false"/>
                  <w:smallCaps w:val="false"/>
                  <w:sz w:val="18"/>
                </w:rPr>
                <w:t>Certification of Principal Executive Officer, Pursuant to Rule 13a-14(a) of the Securities Exchange Act of 1934, Adopted Pursuant to Section 302 of the Sarbanes-Oxley Act of 2002</w:t>
              </w:r>
            </w:hyperlink>
            <w:r>
              <w:rPr>
                <w:rFonts w:ascii="Helvetica" w:hAnsi="Helvetica"/>
                <w:sz w:val="18"/>
              </w:rPr>
              <w:t>.+</w:t>
            </w:r>
          </w:p>
        </w:tc>
      </w:tr>
      <w:tr>
        <w:trPr/>
        <w:tc>
          <w:tcPr>
            <w:tcW w:w="481" w:type="dxa"/>
            <w:tcBorders/>
            <w:vAlign w:val="center"/>
          </w:tcPr>
          <w:p>
            <w:pPr>
              <w:pStyle w:val="TableContents"/>
              <w:pBdr/>
              <w:bidi w:val="0"/>
              <w:spacing w:lineRule="auto" w:line="343" w:before="0" w:after="0"/>
              <w:ind w:left="0" w:right="0" w:hanging="0"/>
              <w:jc w:val="left"/>
              <w:rPr/>
            </w:pPr>
            <w:r>
              <w:rPr/>
              <w:t>​</w:t>
            </w:r>
          </w:p>
        </w:tc>
        <w:tc>
          <w:tcPr>
            <w:tcW w:w="109" w:type="dxa"/>
            <w:tcBorders/>
            <w:vAlign w:val="center"/>
          </w:tcPr>
          <w:p>
            <w:pPr>
              <w:pStyle w:val="TableContents"/>
              <w:bidi w:val="0"/>
              <w:spacing w:lineRule="auto" w:line="343" w:before="0" w:after="0"/>
              <w:ind w:left="0" w:right="0" w:hanging="0"/>
              <w:jc w:val="left"/>
              <w:rPr/>
            </w:pPr>
            <w:r>
              <w:rPr/>
              <w:t>​</w:t>
            </w:r>
          </w:p>
        </w:tc>
        <w:tc>
          <w:tcPr>
            <w:tcW w:w="9615" w:type="dxa"/>
            <w:tcBorders/>
            <w:vAlign w:val="center"/>
          </w:tcPr>
          <w:p>
            <w:pPr>
              <w:pStyle w:val="TableContents"/>
              <w:bidi w:val="0"/>
              <w:spacing w:lineRule="auto" w:line="343" w:before="0" w:after="0"/>
              <w:ind w:left="0" w:right="0" w:hanging="0"/>
              <w:jc w:val="left"/>
              <w:rPr/>
            </w:pPr>
            <w:r>
              <w:rPr/>
              <w:t>​</w:t>
            </w:r>
          </w:p>
        </w:tc>
      </w:tr>
      <w:tr>
        <w:trPr/>
        <w:tc>
          <w:tcPr>
            <w:tcW w:w="481" w:type="dxa"/>
            <w:tcBorders/>
            <w:vAlign w:val="center"/>
          </w:tcPr>
          <w:p>
            <w:pPr>
              <w:pStyle w:val="TableContents"/>
              <w:pBdr/>
              <w:bidi w:val="0"/>
              <w:spacing w:lineRule="auto" w:line="343" w:before="0" w:after="0"/>
              <w:ind w:left="0" w:right="0" w:hanging="0"/>
              <w:jc w:val="left"/>
              <w:rPr>
                <w:rFonts w:ascii="Helvetica" w:hAnsi="Helvetica"/>
                <w:sz w:val="18"/>
              </w:rPr>
            </w:pPr>
            <w:r>
              <w:rPr>
                <w:rFonts w:ascii="Helvetica" w:hAnsi="Helvetica"/>
                <w:sz w:val="18"/>
              </w:rPr>
              <w:t>31.2</w:t>
            </w:r>
          </w:p>
        </w:tc>
        <w:tc>
          <w:tcPr>
            <w:tcW w:w="109" w:type="dxa"/>
            <w:tcBorders/>
            <w:vAlign w:val="center"/>
          </w:tcPr>
          <w:p>
            <w:pPr>
              <w:pStyle w:val="TableContents"/>
              <w:bidi w:val="0"/>
              <w:spacing w:lineRule="auto" w:line="343" w:before="0" w:after="0"/>
              <w:ind w:left="0" w:right="0" w:hanging="0"/>
              <w:jc w:val="left"/>
              <w:rPr/>
            </w:pPr>
            <w:r>
              <w:rPr/>
              <w:t>​</w:t>
            </w:r>
          </w:p>
        </w:tc>
        <w:tc>
          <w:tcPr>
            <w:tcW w:w="9615" w:type="dxa"/>
            <w:tcBorders/>
            <w:vAlign w:val="center"/>
          </w:tcPr>
          <w:p>
            <w:pPr>
              <w:pStyle w:val="TableContents"/>
              <w:bidi w:val="0"/>
              <w:spacing w:lineRule="auto" w:line="343" w:before="0" w:after="0"/>
              <w:ind w:left="0" w:right="0" w:hanging="0"/>
              <w:jc w:val="left"/>
              <w:rPr/>
            </w:pPr>
            <w:hyperlink w:anchor="ctrn-20260801xex31d2.htm">
              <w:r>
                <w:rPr>
                  <w:rStyle w:val="InternetLink"/>
                  <w:rFonts w:ascii="Times New Roman;Times;serif" w:hAnsi="Times New Roman;Times;serif"/>
                  <w:b w:val="false"/>
                  <w:i w:val="false"/>
                  <w:caps w:val="false"/>
                  <w:smallCaps w:val="false"/>
                  <w:sz w:val="18"/>
                </w:rPr>
                <w:t>Certification of Principal Financial Officer, Pursuant to Rule 13a-14(a) of the Securities Exchange Act of 1934, Adopted Pursuant to Section 302 of the Sarbanes-Oxley Act of 2002.</w:t>
              </w:r>
            </w:hyperlink>
            <w:r>
              <w:rPr>
                <w:rFonts w:ascii="Helvetica" w:hAnsi="Helvetica"/>
                <w:sz w:val="18"/>
              </w:rPr>
              <w:t>+</w:t>
            </w:r>
          </w:p>
        </w:tc>
      </w:tr>
      <w:tr>
        <w:trPr/>
        <w:tc>
          <w:tcPr>
            <w:tcW w:w="481" w:type="dxa"/>
            <w:tcBorders/>
            <w:vAlign w:val="center"/>
          </w:tcPr>
          <w:p>
            <w:pPr>
              <w:pStyle w:val="TableContents"/>
              <w:pBdr/>
              <w:bidi w:val="0"/>
              <w:spacing w:lineRule="auto" w:line="343" w:before="0" w:after="0"/>
              <w:ind w:left="0" w:right="0" w:hanging="0"/>
              <w:jc w:val="left"/>
              <w:rPr/>
            </w:pPr>
            <w:r>
              <w:rPr/>
              <w:t>​</w:t>
            </w:r>
          </w:p>
        </w:tc>
        <w:tc>
          <w:tcPr>
            <w:tcW w:w="109" w:type="dxa"/>
            <w:tcBorders/>
            <w:vAlign w:val="center"/>
          </w:tcPr>
          <w:p>
            <w:pPr>
              <w:pStyle w:val="TableContents"/>
              <w:bidi w:val="0"/>
              <w:spacing w:lineRule="auto" w:line="343" w:before="0" w:after="0"/>
              <w:ind w:left="0" w:right="0" w:hanging="0"/>
              <w:jc w:val="left"/>
              <w:rPr/>
            </w:pPr>
            <w:r>
              <w:rPr/>
              <w:t>​</w:t>
            </w:r>
          </w:p>
        </w:tc>
        <w:tc>
          <w:tcPr>
            <w:tcW w:w="9615" w:type="dxa"/>
            <w:tcBorders/>
            <w:vAlign w:val="center"/>
          </w:tcPr>
          <w:p>
            <w:pPr>
              <w:pStyle w:val="TableContents"/>
              <w:bidi w:val="0"/>
              <w:spacing w:lineRule="auto" w:line="343" w:before="0" w:after="0"/>
              <w:ind w:left="0" w:right="0" w:hanging="0"/>
              <w:jc w:val="left"/>
              <w:rPr/>
            </w:pPr>
            <w:r>
              <w:rPr/>
              <w:t>​</w:t>
            </w:r>
          </w:p>
        </w:tc>
      </w:tr>
      <w:tr>
        <w:trPr/>
        <w:tc>
          <w:tcPr>
            <w:tcW w:w="481" w:type="dxa"/>
            <w:tcBorders/>
            <w:vAlign w:val="center"/>
          </w:tcPr>
          <w:p>
            <w:pPr>
              <w:pStyle w:val="TableContents"/>
              <w:pBdr/>
              <w:bidi w:val="0"/>
              <w:spacing w:lineRule="auto" w:line="343" w:before="0" w:after="0"/>
              <w:ind w:left="0" w:right="0" w:hanging="0"/>
              <w:jc w:val="left"/>
              <w:rPr>
                <w:rFonts w:ascii="Helvetica" w:hAnsi="Helvetica"/>
                <w:sz w:val="18"/>
              </w:rPr>
            </w:pPr>
            <w:r>
              <w:rPr>
                <w:rFonts w:ascii="Helvetica" w:hAnsi="Helvetica"/>
                <w:sz w:val="18"/>
              </w:rPr>
              <w:t>32.1</w:t>
            </w:r>
          </w:p>
        </w:tc>
        <w:tc>
          <w:tcPr>
            <w:tcW w:w="109" w:type="dxa"/>
            <w:tcBorders/>
            <w:vAlign w:val="center"/>
          </w:tcPr>
          <w:p>
            <w:pPr>
              <w:pStyle w:val="TableContents"/>
              <w:bidi w:val="0"/>
              <w:spacing w:lineRule="auto" w:line="343" w:before="0" w:after="0"/>
              <w:ind w:left="0" w:right="0" w:hanging="0"/>
              <w:jc w:val="left"/>
              <w:rPr/>
            </w:pPr>
            <w:r>
              <w:rPr/>
              <w:t>​</w:t>
            </w:r>
          </w:p>
        </w:tc>
        <w:tc>
          <w:tcPr>
            <w:tcW w:w="9615" w:type="dxa"/>
            <w:tcBorders/>
            <w:vAlign w:val="center"/>
          </w:tcPr>
          <w:p>
            <w:pPr>
              <w:pStyle w:val="TableContents"/>
              <w:bidi w:val="0"/>
              <w:spacing w:lineRule="auto" w:line="343" w:before="0" w:after="0"/>
              <w:ind w:left="0" w:right="0" w:hanging="0"/>
              <w:jc w:val="left"/>
              <w:rPr/>
            </w:pPr>
            <w:hyperlink w:anchor="ctrn-20260801xex32d1.htm">
              <w:r>
                <w:rPr>
                  <w:rStyle w:val="InternetLink"/>
                  <w:rFonts w:ascii="Times New Roman;Times;serif" w:hAnsi="Times New Roman;Times;serif"/>
                  <w:b w:val="false"/>
                  <w:i w:val="false"/>
                  <w:caps w:val="false"/>
                  <w:smallCaps w:val="false"/>
                  <w:sz w:val="20"/>
                </w:rPr>
                <w:t>Certifications Pursuant to 18 U.S.C. Section 1350, as adopted pursuant to Section 906 of the Sarbanes-Oxley Act of 2002.+†</w:t>
              </w:r>
            </w:hyperlink>
          </w:p>
        </w:tc>
      </w:tr>
      <w:tr>
        <w:trPr/>
        <w:tc>
          <w:tcPr>
            <w:tcW w:w="481" w:type="dxa"/>
            <w:tcBorders/>
            <w:vAlign w:val="center"/>
          </w:tcPr>
          <w:p>
            <w:pPr>
              <w:pStyle w:val="TableContents"/>
              <w:bidi w:val="0"/>
              <w:spacing w:lineRule="auto" w:line="343" w:before="0" w:after="0"/>
              <w:ind w:left="0" w:right="0" w:hanging="0"/>
              <w:jc w:val="left"/>
              <w:rPr>
                <w:shd w:fill="FFFF00" w:val="clear"/>
              </w:rPr>
            </w:pPr>
            <w:r>
              <w:rPr>
                <w:shd w:fill="FFFF00" w:val="clear"/>
              </w:rPr>
              <w:t>​</w:t>
            </w:r>
          </w:p>
        </w:tc>
        <w:tc>
          <w:tcPr>
            <w:tcW w:w="109" w:type="dxa"/>
            <w:tcBorders/>
            <w:vAlign w:val="center"/>
          </w:tcPr>
          <w:p>
            <w:pPr>
              <w:pStyle w:val="TableContents"/>
              <w:bidi w:val="0"/>
              <w:spacing w:lineRule="auto" w:line="343" w:before="0" w:after="0"/>
              <w:ind w:left="0" w:right="0" w:hanging="0"/>
              <w:jc w:val="left"/>
              <w:rPr/>
            </w:pPr>
            <w:r>
              <w:rPr/>
              <w:t>​</w:t>
            </w:r>
          </w:p>
        </w:tc>
        <w:tc>
          <w:tcPr>
            <w:tcW w:w="9615" w:type="dxa"/>
            <w:tcBorders/>
            <w:vAlign w:val="center"/>
          </w:tcPr>
          <w:p>
            <w:pPr>
              <w:pStyle w:val="TableContents"/>
              <w:bidi w:val="0"/>
              <w:spacing w:lineRule="auto" w:line="343" w:before="0" w:after="0"/>
              <w:ind w:left="0" w:right="0" w:hanging="0"/>
              <w:jc w:val="left"/>
              <w:rPr/>
            </w:pPr>
            <w:r>
              <w:rPr/>
              <w:t>​</w:t>
            </w:r>
          </w:p>
        </w:tc>
      </w:tr>
      <w:tr>
        <w:trPr/>
        <w:tc>
          <w:tcPr>
            <w:tcW w:w="481" w:type="dxa"/>
            <w:tcBorders/>
            <w:vAlign w:val="center"/>
          </w:tcPr>
          <w:p>
            <w:pPr>
              <w:pStyle w:val="TableContents"/>
              <w:pBdr/>
              <w:bidi w:val="0"/>
              <w:spacing w:lineRule="auto" w:line="343" w:before="0" w:after="0"/>
              <w:ind w:left="0" w:right="0" w:hanging="0"/>
              <w:jc w:val="left"/>
              <w:rPr>
                <w:rFonts w:ascii="Helvetica" w:hAnsi="Helvetica"/>
                <w:sz w:val="18"/>
              </w:rPr>
            </w:pPr>
            <w:r>
              <w:rPr>
                <w:rFonts w:ascii="Helvetica" w:hAnsi="Helvetica"/>
                <w:sz w:val="18"/>
              </w:rPr>
              <w:t>101</w:t>
            </w:r>
          </w:p>
        </w:tc>
        <w:tc>
          <w:tcPr>
            <w:tcW w:w="109" w:type="dxa"/>
            <w:tcBorders/>
            <w:vAlign w:val="center"/>
          </w:tcPr>
          <w:p>
            <w:pPr>
              <w:pStyle w:val="TableContents"/>
              <w:bidi w:val="0"/>
              <w:spacing w:lineRule="auto" w:line="343" w:before="0" w:after="0"/>
              <w:ind w:left="0" w:right="0" w:hanging="0"/>
              <w:jc w:val="left"/>
              <w:rPr/>
            </w:pPr>
            <w:r>
              <w:rPr/>
              <w:t>​</w:t>
            </w:r>
          </w:p>
        </w:tc>
        <w:tc>
          <w:tcPr>
            <w:tcW w:w="9615" w:type="dxa"/>
            <w:tcBorders/>
            <w:vAlign w:val="center"/>
          </w:tcPr>
          <w:p>
            <w:pPr>
              <w:pStyle w:val="TableContents"/>
              <w:bidi w:val="0"/>
              <w:spacing w:lineRule="auto" w:line="343" w:before="0" w:after="0"/>
              <w:ind w:left="0" w:right="0" w:hanging="0"/>
              <w:jc w:val="left"/>
              <w:rPr>
                <w:rFonts w:ascii="Helvetica" w:hAnsi="Helvetica"/>
                <w:sz w:val="18"/>
                <w:shd w:fill="FFFFFF" w:val="clear"/>
              </w:rPr>
            </w:pPr>
            <w:r>
              <w:rPr>
                <w:rFonts w:ascii="Helvetica" w:hAnsi="Helvetica"/>
                <w:sz w:val="18"/>
                <w:shd w:fill="FFFFFF" w:val="clear"/>
              </w:rPr>
              <w:t>Inline XBRL Document Set for the condensed consolidated financial statements and accompanying notes in Part I, Item 1, “Financial Statements” of this Quarterly Report on Form 10-Q.+</w:t>
            </w:r>
          </w:p>
        </w:tc>
      </w:tr>
      <w:tr>
        <w:trPr/>
        <w:tc>
          <w:tcPr>
            <w:tcW w:w="481" w:type="dxa"/>
            <w:tcBorders/>
            <w:vAlign w:val="center"/>
          </w:tcPr>
          <w:p>
            <w:pPr>
              <w:pStyle w:val="TableContents"/>
              <w:pBdr/>
              <w:bidi w:val="0"/>
              <w:spacing w:lineRule="auto" w:line="343" w:before="0" w:after="0"/>
              <w:ind w:left="0" w:right="0" w:hanging="0"/>
              <w:jc w:val="left"/>
              <w:rPr/>
            </w:pPr>
            <w:r>
              <w:rPr/>
              <w:t>​</w:t>
            </w:r>
          </w:p>
        </w:tc>
        <w:tc>
          <w:tcPr>
            <w:tcW w:w="109" w:type="dxa"/>
            <w:tcBorders/>
            <w:vAlign w:val="center"/>
          </w:tcPr>
          <w:p>
            <w:pPr>
              <w:pStyle w:val="TableContents"/>
              <w:bidi w:val="0"/>
              <w:spacing w:lineRule="auto" w:line="343" w:before="0" w:after="0"/>
              <w:ind w:left="0" w:right="0" w:hanging="0"/>
              <w:jc w:val="left"/>
              <w:rPr/>
            </w:pPr>
            <w:r>
              <w:rPr/>
              <w:t>​</w:t>
            </w:r>
          </w:p>
        </w:tc>
        <w:tc>
          <w:tcPr>
            <w:tcW w:w="9615" w:type="dxa"/>
            <w:tcBorders/>
            <w:vAlign w:val="center"/>
          </w:tcPr>
          <w:p>
            <w:pPr>
              <w:pStyle w:val="TableContents"/>
              <w:bidi w:val="0"/>
              <w:spacing w:lineRule="auto" w:line="343" w:before="0" w:after="0"/>
              <w:ind w:left="0" w:right="0" w:hanging="0"/>
              <w:jc w:val="left"/>
              <w:rPr/>
            </w:pPr>
            <w:r>
              <w:rPr/>
              <w:t>​</w:t>
            </w:r>
          </w:p>
        </w:tc>
      </w:tr>
      <w:tr>
        <w:trPr/>
        <w:tc>
          <w:tcPr>
            <w:tcW w:w="481" w:type="dxa"/>
            <w:tcBorders/>
            <w:vAlign w:val="center"/>
          </w:tcPr>
          <w:p>
            <w:pPr>
              <w:pStyle w:val="TableContents"/>
              <w:pBdr/>
              <w:bidi w:val="0"/>
              <w:spacing w:lineRule="auto" w:line="343" w:before="0" w:after="0"/>
              <w:ind w:left="0" w:right="0" w:hanging="0"/>
              <w:jc w:val="left"/>
              <w:rPr>
                <w:rFonts w:ascii="Helvetica" w:hAnsi="Helvetica"/>
                <w:sz w:val="18"/>
              </w:rPr>
            </w:pPr>
            <w:r>
              <w:rPr>
                <w:rFonts w:ascii="Helvetica" w:hAnsi="Helvetica"/>
                <w:sz w:val="18"/>
              </w:rPr>
              <w:t>104</w:t>
            </w:r>
          </w:p>
        </w:tc>
        <w:tc>
          <w:tcPr>
            <w:tcW w:w="109" w:type="dxa"/>
            <w:tcBorders/>
            <w:vAlign w:val="center"/>
          </w:tcPr>
          <w:p>
            <w:pPr>
              <w:pStyle w:val="TableContents"/>
              <w:bidi w:val="0"/>
              <w:spacing w:lineRule="auto" w:line="343" w:before="0" w:after="0"/>
              <w:ind w:left="0" w:right="0" w:hanging="0"/>
              <w:jc w:val="left"/>
              <w:rPr/>
            </w:pPr>
            <w:r>
              <w:rPr/>
              <w:t>​</w:t>
            </w:r>
          </w:p>
        </w:tc>
        <w:tc>
          <w:tcPr>
            <w:tcW w:w="9615" w:type="dxa"/>
            <w:tcBorders/>
            <w:vAlign w:val="center"/>
          </w:tcPr>
          <w:p>
            <w:pPr>
              <w:pStyle w:val="TableContents"/>
              <w:bidi w:val="0"/>
              <w:spacing w:lineRule="auto" w:line="343" w:before="0" w:after="0"/>
              <w:ind w:left="0" w:right="0" w:hanging="0"/>
              <w:jc w:val="left"/>
              <w:rPr>
                <w:rFonts w:ascii="Helvetica" w:hAnsi="Helvetica"/>
                <w:sz w:val="18"/>
                <w:shd w:fill="FFFFFF" w:val="clear"/>
              </w:rPr>
            </w:pPr>
            <w:r>
              <w:rPr>
                <w:rFonts w:ascii="Helvetica" w:hAnsi="Helvetica"/>
                <w:sz w:val="18"/>
                <w:shd w:fill="FFFFFF" w:val="clear"/>
              </w:rPr>
              <w:t>Inline XBRL for the cover page of this Quarterly Report on Form 10-Q, included in the Exhibit 101 Inline XBRL Document Set.+</w:t>
            </w:r>
          </w:p>
        </w:tc>
      </w:tr>
    </w:tbl>
    <w:p>
      <w:pPr>
        <w:pStyle w:val="TextBody"/>
        <w:pBdr/>
        <w:bidi w:val="0"/>
        <w:spacing w:lineRule="auto" w:line="307" w:before="0" w:after="120"/>
        <w:ind w:left="0" w:right="0" w:hanging="400"/>
        <w:jc w:val="left"/>
        <w:rPr>
          <w:rFonts w:ascii="Helvetica" w:hAnsi="Helvetica"/>
          <w:sz w:val="18"/>
        </w:rPr>
      </w:pPr>
      <w:r>
        <w:rPr>
          <w:rFonts w:ascii="Helvetica" w:hAnsi="Helvetica"/>
          <w:sz w:val="18"/>
        </w:rPr>
        <w:t>+      Included herewith.</w:t>
      </w:r>
    </w:p>
    <w:p>
      <w:pPr>
        <w:pStyle w:val="TextBody"/>
        <w:bidi w:val="0"/>
        <w:spacing w:before="0" w:after="120"/>
        <w:ind w:left="0" w:right="0" w:hanging="0"/>
        <w:jc w:val="left"/>
        <w:rPr/>
      </w:pPr>
      <w:r>
        <w:rPr/>
        <w:t>†      </w:t>
      </w:r>
      <w:r>
        <w:rPr>
          <w:rFonts w:ascii="Helvetica" w:hAnsi="Helvetica"/>
          <w:sz w:val="18"/>
        </w:rPr>
        <w:t>Pursuant to Securities and Exchange Commission Release No. 33-8238, this certification will be treated as “accompanying” this Quarterly Report on Form 10-Q and not “filed” as part of such report for purposes of Section 18 of the Securities Exchange Act of 1934, or otherwise subject to the liability of Section 18 of the Securities Exchange Act of 1934 and this certification will not be deemed to be incorporated by reference into any filing under the Securities Act of 1933 or the Securities Exchange Act of 1934, except to the extent that the registrant specifically incorporates it by reference.</w:t>
      </w:r>
    </w:p>
    <w:p>
      <w:pPr>
        <w:pStyle w:val="TextBody"/>
        <w:bidi w:val="0"/>
        <w:spacing w:before="0" w:after="53"/>
        <w:ind w:left="0" w:right="0" w:hanging="0"/>
        <w:jc w:val="left"/>
        <w:rPr/>
      </w:pPr>
      <w:r>
        <w:rPr/>
        <w:t>​</w:t>
      </w:r>
    </w:p>
    <w:p>
      <w:pPr>
        <w:pStyle w:val="TextBody"/>
        <w:bidi w:val="0"/>
        <w:spacing w:before="480" w:after="0"/>
        <w:ind w:left="0" w:right="0" w:hanging="0"/>
        <w:jc w:val="center"/>
        <w:rPr>
          <w:rFonts w:ascii="Helvetica" w:hAnsi="Helvetica"/>
          <w:sz w:val="18"/>
        </w:rPr>
      </w:pPr>
      <w:r>
        <w:rPr>
          <w:rFonts w:ascii="Helvetica" w:hAnsi="Helvetica"/>
          <w:sz w:val="18"/>
        </w:rPr>
        <w:t>21</w:t>
      </w:r>
    </w:p>
    <w:p>
      <w:pPr>
        <w:pStyle w:val="TextBody"/>
        <w:bidi w:val="0"/>
        <w:spacing w:before="0" w:after="6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lineRule="auto" w:line="307" w:before="0" w:after="240"/>
        <w:ind w:left="0" w:right="0" w:hanging="0"/>
        <w:jc w:val="center"/>
        <w:rPr>
          <w:rFonts w:ascii="Helvetica" w:hAnsi="Helvetica"/>
          <w:b/>
          <w:sz w:val="18"/>
        </w:rPr>
      </w:pPr>
      <w:bookmarkStart w:id="983" w:name="SIGNATURES_26064"/>
      <w:bookmarkStart w:id="984" w:name="_bbadb0aa_62d7_44eb_a9cb_b611248886f5"/>
      <w:bookmarkEnd w:id="983"/>
      <w:bookmarkEnd w:id="984"/>
      <w:r>
        <w:rPr>
          <w:rFonts w:ascii="Helvetica" w:hAnsi="Helvetica"/>
          <w:b/>
          <w:sz w:val="18"/>
        </w:rPr>
        <w:t>SIGNATURES</w:t>
      </w:r>
    </w:p>
    <w:p>
      <w:pPr>
        <w:pStyle w:val="TextBody"/>
        <w:bidi w:val="0"/>
        <w:spacing w:lineRule="auto" w:line="307" w:before="0" w:after="240"/>
        <w:ind w:left="0" w:right="0" w:firstLine="720"/>
        <w:jc w:val="left"/>
        <w:rPr>
          <w:rFonts w:ascii="Helvetica" w:hAnsi="Helvetica"/>
          <w:sz w:val="18"/>
        </w:rPr>
      </w:pPr>
      <w:r>
        <w:rPr>
          <w:rFonts w:ascii="Helvetica" w:hAnsi="Helvetica"/>
          <w:sz w:val="18"/>
        </w:rPr>
        <w:t>Pursuant to the requirements of the Securities Exchange Act of 1934, the Registrant has duly caused this report to be signed on its behalf by the undersigned, thereunto duly authorized, and the undersigned also has signed this report in her capacity as the Registrant’s Chief Financial Officer (Principal Financial Officer).</w:t>
      </w:r>
    </w:p>
    <w:p>
      <w:pPr>
        <w:pStyle w:val="TextBody"/>
        <w:bidi w:val="0"/>
        <w:spacing w:before="0" w:after="53"/>
        <w:ind w:left="0" w:right="0" w:hanging="0"/>
        <w:jc w:val="left"/>
        <w:rPr/>
      </w:pPr>
      <w:r>
        <w:rPr/>
        <w:t>​</w:t>
      </w:r>
    </w:p>
    <w:tbl>
      <w:tblPr>
        <w:tblW w:w="4803" w:type="dxa"/>
        <w:jc w:val="left"/>
        <w:tblInd w:w="0" w:type="dxa"/>
        <w:tblLayout w:type="fixed"/>
        <w:tblCellMar>
          <w:top w:w="0" w:type="dxa"/>
          <w:left w:w="0" w:type="dxa"/>
          <w:bottom w:w="0" w:type="dxa"/>
          <w:right w:w="0" w:type="dxa"/>
        </w:tblCellMar>
      </w:tblPr>
      <w:tblGrid>
        <w:gridCol w:w="2161"/>
        <w:gridCol w:w="691"/>
        <w:gridCol w:w="1951"/>
      </w:tblGrid>
      <w:tr>
        <w:trPr/>
        <w:tc>
          <w:tcPr>
            <w:tcW w:w="2161" w:type="dxa"/>
            <w:tcBorders/>
            <w:vAlign w:val="center"/>
          </w:tcPr>
          <w:p>
            <w:pPr>
              <w:pStyle w:val="TableContents"/>
              <w:bidi w:val="0"/>
              <w:spacing w:before="0" w:after="53"/>
              <w:ind w:left="0" w:right="0" w:hanging="0"/>
              <w:jc w:val="left"/>
              <w:rPr/>
            </w:pPr>
            <w:r>
              <w:rPr/>
              <w:t>​</w:t>
            </w:r>
          </w:p>
        </w:tc>
        <w:tc>
          <w:tcPr>
            <w:tcW w:w="691" w:type="dxa"/>
            <w:tcBorders/>
            <w:vAlign w:val="center"/>
          </w:tcPr>
          <w:p>
            <w:pPr>
              <w:pStyle w:val="TableContents"/>
              <w:bidi w:val="0"/>
              <w:spacing w:before="0" w:after="53"/>
              <w:ind w:left="0" w:right="0" w:hanging="0"/>
              <w:jc w:val="left"/>
              <w:rPr/>
            </w:pPr>
            <w:r>
              <w:rPr/>
              <w:t>​</w:t>
            </w:r>
          </w:p>
        </w:tc>
        <w:tc>
          <w:tcPr>
            <w:tcW w:w="1951" w:type="dxa"/>
            <w:tcBorders/>
            <w:vAlign w:val="center"/>
          </w:tcPr>
          <w:p>
            <w:pPr>
              <w:pStyle w:val="TableContents"/>
              <w:bidi w:val="0"/>
              <w:spacing w:before="0" w:after="53"/>
              <w:ind w:left="0" w:right="0" w:hanging="0"/>
              <w:jc w:val="left"/>
              <w:rPr/>
            </w:pPr>
            <w:r>
              <w:rPr/>
              <w:t>​</w:t>
            </w:r>
          </w:p>
        </w:tc>
      </w:tr>
      <w:tr>
        <w:trPr/>
        <w:tc>
          <w:tcPr>
            <w:tcW w:w="2161" w:type="dxa"/>
            <w:tcBorders/>
            <w:vAlign w:val="center"/>
          </w:tcPr>
          <w:p>
            <w:pPr>
              <w:pStyle w:val="TableContents"/>
              <w:bidi w:val="0"/>
              <w:spacing w:lineRule="auto" w:line="328" w:before="0" w:after="53"/>
              <w:ind w:left="0" w:right="0" w:hanging="0"/>
              <w:jc w:val="left"/>
              <w:rPr/>
            </w:pPr>
            <w:r>
              <w:rPr/>
              <w:t>​</w:t>
            </w:r>
          </w:p>
        </w:tc>
        <w:tc>
          <w:tcPr>
            <w:tcW w:w="2642" w:type="dxa"/>
            <w:gridSpan w:val="2"/>
            <w:tcBorders/>
            <w:vAlign w:val="center"/>
          </w:tcPr>
          <w:p>
            <w:pPr>
              <w:pStyle w:val="TableContents"/>
              <w:bidi w:val="0"/>
              <w:spacing w:lineRule="auto" w:line="328" w:before="0" w:after="53"/>
              <w:ind w:left="0" w:right="0" w:hanging="0"/>
              <w:jc w:val="left"/>
              <w:rPr>
                <w:rFonts w:ascii="Helvetica" w:hAnsi="Helvetica"/>
                <w:sz w:val="18"/>
              </w:rPr>
            </w:pPr>
            <w:r>
              <w:rPr>
                <w:rFonts w:ascii="Helvetica" w:hAnsi="Helvetica"/>
                <w:sz w:val="18"/>
              </w:rPr>
              <w:t>CITI TRENDS, INC.</w:t>
            </w:r>
          </w:p>
        </w:tc>
      </w:tr>
      <w:tr>
        <w:trPr/>
        <w:tc>
          <w:tcPr>
            <w:tcW w:w="2161" w:type="dxa"/>
            <w:tcBorders/>
            <w:vAlign w:val="center"/>
          </w:tcPr>
          <w:p>
            <w:pPr>
              <w:pStyle w:val="TableContents"/>
              <w:bidi w:val="0"/>
              <w:spacing w:lineRule="auto" w:line="328" w:before="0" w:after="53"/>
              <w:ind w:left="0" w:right="0" w:hanging="0"/>
              <w:jc w:val="left"/>
              <w:rPr/>
            </w:pPr>
            <w:r>
              <w:rPr/>
              <w:t>​</w:t>
            </w:r>
          </w:p>
        </w:tc>
        <w:tc>
          <w:tcPr>
            <w:tcW w:w="2642" w:type="dxa"/>
            <w:gridSpan w:val="2"/>
            <w:tcBorders/>
            <w:vAlign w:val="center"/>
          </w:tcPr>
          <w:p>
            <w:pPr>
              <w:pStyle w:val="TableContents"/>
              <w:bidi w:val="0"/>
              <w:spacing w:lineRule="auto" w:line="328" w:before="0" w:after="53"/>
              <w:ind w:left="0" w:right="0" w:hanging="0"/>
              <w:jc w:val="left"/>
              <w:rPr/>
            </w:pPr>
            <w:r>
              <w:rPr/>
              <w:t>​</w:t>
            </w:r>
          </w:p>
        </w:tc>
      </w:tr>
      <w:tr>
        <w:trPr/>
        <w:tc>
          <w:tcPr>
            <w:tcW w:w="2161" w:type="dxa"/>
            <w:tcBorders/>
            <w:vAlign w:val="center"/>
          </w:tcPr>
          <w:p>
            <w:pPr>
              <w:pStyle w:val="TableContents"/>
              <w:bidi w:val="0"/>
              <w:spacing w:lineRule="auto" w:line="328" w:before="0" w:after="53"/>
              <w:ind w:left="0" w:right="0" w:hanging="0"/>
              <w:jc w:val="left"/>
              <w:rPr>
                <w:rFonts w:ascii="Helvetica" w:hAnsi="Helvetica"/>
                <w:sz w:val="18"/>
              </w:rPr>
            </w:pPr>
            <w:r>
              <w:rPr>
                <w:rFonts w:ascii="Helvetica" w:hAnsi="Helvetica"/>
                <w:sz w:val="18"/>
              </w:rPr>
              <w:t>Date: September 9, 2026</w:t>
            </w:r>
          </w:p>
        </w:tc>
        <w:tc>
          <w:tcPr>
            <w:tcW w:w="2642" w:type="dxa"/>
            <w:gridSpan w:val="2"/>
            <w:tcBorders/>
            <w:vAlign w:val="center"/>
          </w:tcPr>
          <w:p>
            <w:pPr>
              <w:pStyle w:val="TableContents"/>
              <w:bidi w:val="0"/>
              <w:spacing w:lineRule="auto" w:line="328" w:before="0" w:after="53"/>
              <w:ind w:left="0" w:right="0" w:hanging="0"/>
              <w:jc w:val="left"/>
              <w:rPr/>
            </w:pPr>
            <w:r>
              <w:rPr/>
              <w:t>​</w:t>
            </w:r>
          </w:p>
        </w:tc>
      </w:tr>
      <w:tr>
        <w:trPr/>
        <w:tc>
          <w:tcPr>
            <w:tcW w:w="2161" w:type="dxa"/>
            <w:tcBorders/>
            <w:vAlign w:val="center"/>
          </w:tcPr>
          <w:p>
            <w:pPr>
              <w:pStyle w:val="TableContents"/>
              <w:bidi w:val="0"/>
              <w:spacing w:lineRule="auto" w:line="328" w:before="0" w:after="53"/>
              <w:ind w:left="0" w:right="0" w:hanging="0"/>
              <w:jc w:val="left"/>
              <w:rPr/>
            </w:pPr>
            <w:r>
              <w:rPr/>
              <w:t>​</w:t>
            </w:r>
          </w:p>
        </w:tc>
        <w:tc>
          <w:tcPr>
            <w:tcW w:w="691" w:type="dxa"/>
            <w:tcBorders/>
            <w:vAlign w:val="center"/>
          </w:tcPr>
          <w:p>
            <w:pPr>
              <w:pStyle w:val="TableContents"/>
              <w:bidi w:val="0"/>
              <w:spacing w:lineRule="auto" w:line="328" w:before="0" w:after="53"/>
              <w:ind w:left="0" w:right="0" w:hanging="0"/>
              <w:jc w:val="left"/>
              <w:rPr/>
            </w:pPr>
            <w:r>
              <w:rPr/>
              <w:t>​</w:t>
            </w:r>
          </w:p>
        </w:tc>
        <w:tc>
          <w:tcPr>
            <w:tcW w:w="1951" w:type="dxa"/>
            <w:tcBorders/>
            <w:vAlign w:val="center"/>
          </w:tcPr>
          <w:p>
            <w:pPr>
              <w:pStyle w:val="TableContents"/>
              <w:bidi w:val="0"/>
              <w:spacing w:lineRule="auto" w:line="328" w:before="0" w:after="53"/>
              <w:ind w:left="0" w:right="0" w:hanging="0"/>
              <w:jc w:val="left"/>
              <w:rPr/>
            </w:pPr>
            <w:r>
              <w:rPr/>
              <w:t>​</w:t>
            </w:r>
          </w:p>
        </w:tc>
      </w:tr>
      <w:tr>
        <w:trPr/>
        <w:tc>
          <w:tcPr>
            <w:tcW w:w="2161" w:type="dxa"/>
            <w:tcBorders/>
            <w:vAlign w:val="center"/>
          </w:tcPr>
          <w:p>
            <w:pPr>
              <w:pStyle w:val="TableContents"/>
              <w:bidi w:val="0"/>
              <w:spacing w:lineRule="auto" w:line="328" w:before="0" w:after="53"/>
              <w:ind w:left="0" w:right="0" w:hanging="0"/>
              <w:jc w:val="left"/>
              <w:rPr/>
            </w:pPr>
            <w:r>
              <w:rPr/>
              <w:t>​</w:t>
            </w:r>
          </w:p>
        </w:tc>
        <w:tc>
          <w:tcPr>
            <w:tcW w:w="691" w:type="dxa"/>
            <w:tcBorders/>
            <w:vAlign w:val="center"/>
          </w:tcPr>
          <w:p>
            <w:pPr>
              <w:pStyle w:val="TableContents"/>
              <w:bidi w:val="0"/>
              <w:spacing w:lineRule="auto" w:line="328" w:before="0" w:after="53"/>
              <w:ind w:left="0" w:right="0" w:hanging="0"/>
              <w:jc w:val="left"/>
              <w:rPr>
                <w:rFonts w:ascii="Helvetica" w:hAnsi="Helvetica"/>
                <w:sz w:val="18"/>
              </w:rPr>
            </w:pPr>
            <w:r>
              <w:rPr>
                <w:rFonts w:ascii="Helvetica" w:hAnsi="Helvetica"/>
                <w:sz w:val="18"/>
              </w:rPr>
              <w:t xml:space="preserve">By: </w:t>
            </w:r>
          </w:p>
        </w:tc>
        <w:tc>
          <w:tcPr>
            <w:tcW w:w="1951" w:type="dxa"/>
            <w:tcBorders>
              <w:bottom w:val="single" w:sz="2" w:space="0" w:color="000000"/>
            </w:tcBorders>
            <w:tcMar>
              <w:bottom w:w="28" w:type="dxa"/>
            </w:tcMar>
            <w:vAlign w:val="center"/>
          </w:tcPr>
          <w:p>
            <w:pPr>
              <w:pStyle w:val="TableContents"/>
              <w:bidi w:val="0"/>
              <w:spacing w:lineRule="auto" w:line="328" w:before="0" w:after="53"/>
              <w:ind w:left="0" w:right="0" w:hanging="0"/>
              <w:jc w:val="left"/>
              <w:rPr>
                <w:rFonts w:ascii="Helvetica" w:hAnsi="Helvetica"/>
                <w:sz w:val="18"/>
              </w:rPr>
            </w:pPr>
            <w:r>
              <w:rPr>
                <w:rFonts w:ascii="Helvetica" w:hAnsi="Helvetica"/>
                <w:sz w:val="18"/>
              </w:rPr>
              <w:t>/s/ Heather Plutino</w:t>
            </w:r>
          </w:p>
        </w:tc>
      </w:tr>
      <w:tr>
        <w:trPr/>
        <w:tc>
          <w:tcPr>
            <w:tcW w:w="2161" w:type="dxa"/>
            <w:tcBorders/>
            <w:vAlign w:val="center"/>
          </w:tcPr>
          <w:p>
            <w:pPr>
              <w:pStyle w:val="TableContents"/>
              <w:bidi w:val="0"/>
              <w:spacing w:lineRule="auto" w:line="328" w:before="0" w:after="53"/>
              <w:ind w:left="0" w:right="0" w:hanging="0"/>
              <w:jc w:val="left"/>
              <w:rPr/>
            </w:pPr>
            <w:r>
              <w:rPr/>
              <w:t>​</w:t>
            </w:r>
          </w:p>
        </w:tc>
        <w:tc>
          <w:tcPr>
            <w:tcW w:w="691" w:type="dxa"/>
            <w:tcBorders/>
            <w:vAlign w:val="center"/>
          </w:tcPr>
          <w:p>
            <w:pPr>
              <w:pStyle w:val="TableContents"/>
              <w:bidi w:val="0"/>
              <w:spacing w:lineRule="auto" w:line="328" w:before="0" w:after="53"/>
              <w:ind w:left="0" w:right="0" w:hanging="0"/>
              <w:jc w:val="left"/>
              <w:rPr>
                <w:rFonts w:ascii="Helvetica" w:hAnsi="Helvetica"/>
                <w:sz w:val="18"/>
              </w:rPr>
            </w:pPr>
            <w:r>
              <w:rPr>
                <w:rFonts w:ascii="Helvetica" w:hAnsi="Helvetica"/>
                <w:sz w:val="18"/>
              </w:rPr>
              <w:t xml:space="preserve">Name: </w:t>
            </w:r>
          </w:p>
        </w:tc>
        <w:tc>
          <w:tcPr>
            <w:tcW w:w="1951" w:type="dxa"/>
            <w:tcBorders/>
            <w:vAlign w:val="center"/>
          </w:tcPr>
          <w:p>
            <w:pPr>
              <w:pStyle w:val="TableContents"/>
              <w:bidi w:val="0"/>
              <w:spacing w:lineRule="auto" w:line="328" w:before="0" w:after="53"/>
              <w:ind w:left="0" w:right="0" w:hanging="0"/>
              <w:jc w:val="left"/>
              <w:rPr>
                <w:rFonts w:ascii="Helvetica" w:hAnsi="Helvetica"/>
                <w:sz w:val="18"/>
              </w:rPr>
            </w:pPr>
            <w:r>
              <w:rPr>
                <w:rFonts w:ascii="Helvetica" w:hAnsi="Helvetica"/>
                <w:sz w:val="18"/>
              </w:rPr>
              <w:t>Heather Plutino</w:t>
            </w:r>
          </w:p>
        </w:tc>
      </w:tr>
      <w:tr>
        <w:trPr/>
        <w:tc>
          <w:tcPr>
            <w:tcW w:w="2161" w:type="dxa"/>
            <w:tcBorders/>
            <w:vAlign w:val="center"/>
          </w:tcPr>
          <w:p>
            <w:pPr>
              <w:pStyle w:val="TableContents"/>
              <w:bidi w:val="0"/>
              <w:spacing w:lineRule="auto" w:line="328" w:before="0" w:after="53"/>
              <w:ind w:left="0" w:right="0" w:hanging="0"/>
              <w:jc w:val="left"/>
              <w:rPr/>
            </w:pPr>
            <w:r>
              <w:rPr/>
              <w:t>​</w:t>
            </w:r>
          </w:p>
        </w:tc>
        <w:tc>
          <w:tcPr>
            <w:tcW w:w="691" w:type="dxa"/>
            <w:tcBorders/>
            <w:vAlign w:val="center"/>
          </w:tcPr>
          <w:p>
            <w:pPr>
              <w:pStyle w:val="TableContents"/>
              <w:bidi w:val="0"/>
              <w:spacing w:lineRule="auto" w:line="328" w:before="0" w:after="53"/>
              <w:ind w:left="0" w:right="0" w:hanging="0"/>
              <w:jc w:val="left"/>
              <w:rPr>
                <w:rFonts w:ascii="Helvetica" w:hAnsi="Helvetica"/>
                <w:sz w:val="18"/>
              </w:rPr>
            </w:pPr>
            <w:r>
              <w:rPr>
                <w:rFonts w:ascii="Helvetica" w:hAnsi="Helvetica"/>
                <w:sz w:val="18"/>
              </w:rPr>
              <w:t xml:space="preserve">Title: </w:t>
            </w:r>
          </w:p>
        </w:tc>
        <w:tc>
          <w:tcPr>
            <w:tcW w:w="1951" w:type="dxa"/>
            <w:tcBorders/>
            <w:vAlign w:val="center"/>
          </w:tcPr>
          <w:p>
            <w:pPr>
              <w:pStyle w:val="TableContents"/>
              <w:bidi w:val="0"/>
              <w:spacing w:lineRule="auto" w:line="328" w:before="0" w:after="53"/>
              <w:ind w:left="0" w:right="0" w:hanging="0"/>
              <w:jc w:val="left"/>
              <w:rPr>
                <w:rFonts w:ascii="Helvetica" w:hAnsi="Helvetica"/>
                <w:sz w:val="18"/>
              </w:rPr>
            </w:pPr>
            <w:r>
              <w:rPr>
                <w:rFonts w:ascii="Helvetica" w:hAnsi="Helvetica"/>
                <w:sz w:val="18"/>
              </w:rPr>
              <w:t>Chief Financial Officer</w:t>
            </w:r>
          </w:p>
        </w:tc>
      </w:tr>
    </w:tbl>
    <w:p>
      <w:pPr>
        <w:pStyle w:val="TextBody"/>
        <w:bidi w:val="0"/>
        <w:spacing w:before="0" w:after="53"/>
        <w:ind w:left="0" w:right="0" w:hanging="0"/>
        <w:jc w:val="left"/>
        <w:rPr/>
      </w:pPr>
      <w:r>
        <w:rPr/>
        <w:t>​</w:t>
      </w:r>
    </w:p>
    <w:p>
      <w:pPr>
        <w:pStyle w:val="TextBody"/>
        <w:bidi w:val="0"/>
        <w:spacing w:before="0" w:after="53"/>
        <w:ind w:left="0" w:right="0" w:hanging="0"/>
        <w:jc w:val="left"/>
        <w:rPr/>
      </w:pPr>
      <w:r>
        <w:rPr/>
        <w:t>​</w:t>
      </w:r>
    </w:p>
    <w:p>
      <w:pPr>
        <w:pStyle w:val="TextBody"/>
        <w:bidi w:val="0"/>
        <w:spacing w:before="0" w:after="53"/>
        <w:ind w:left="0" w:right="0" w:hanging="0"/>
        <w:jc w:val="left"/>
        <w:rPr/>
      </w:pPr>
      <w:r>
        <w:rPr/>
        <w:t>​</w:t>
      </w:r>
    </w:p>
    <w:p>
      <w:pPr>
        <w:pStyle w:val="TextBody"/>
        <w:bidi w:val="0"/>
        <w:spacing w:before="480" w:after="0"/>
        <w:ind w:left="0" w:right="0" w:hanging="0"/>
        <w:jc w:val="center"/>
        <w:rPr>
          <w:rFonts w:ascii="Helvetica" w:hAnsi="Helvetica"/>
          <w:sz w:val="18"/>
        </w:rPr>
      </w:pPr>
      <w:r>
        <w:rPr>
          <w:rFonts w:ascii="Helvetica" w:hAnsi="Helvetica"/>
          <w:sz w:val="18"/>
        </w:rPr>
        <w:t>22</w:t>
      </w:r>
    </w:p>
    <w:p>
      <w:pPr>
        <w:pStyle w:val="TextBody"/>
        <w:bidi w:val="0"/>
        <w:spacing w:lineRule="auto" w:line="285" w:before="0" w:after="0"/>
        <w:ind w:left="0" w:right="0" w:hanging="0"/>
        <w:jc w:val="right"/>
        <w:rPr>
          <w:rFonts w:ascii="Helvetica" w:hAnsi="Helvetica"/>
          <w:b/>
          <w:sz w:val="18"/>
        </w:rPr>
      </w:pPr>
      <w:bookmarkStart w:id="985" w:name="ctrn-20260801xex31d1.htm"/>
      <w:bookmarkStart w:id="986" w:name="ksctrn20260801xex31d1"/>
      <w:bookmarkEnd w:id="985"/>
      <w:bookmarkEnd w:id="986"/>
      <w:r>
        <w:rPr>
          <w:rFonts w:ascii="Helvetica" w:hAnsi="Helvetica"/>
          <w:b/>
          <w:sz w:val="18"/>
        </w:rPr>
        <w:t>Exhibit 31.1</w:t>
      </w:r>
      <w:r>
        <w:br w:type="page"/>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center"/>
        <w:rPr>
          <w:rFonts w:ascii="Helvetica" w:hAnsi="Helvetica"/>
          <w:b/>
          <w:sz w:val="18"/>
        </w:rPr>
      </w:pPr>
      <w:r>
        <w:rPr>
          <w:rFonts w:ascii="Helvetica" w:hAnsi="Helvetica"/>
          <w:b/>
          <w:sz w:val="18"/>
        </w:rPr>
        <w:t>CERTIFICATION</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firstLine="490"/>
        <w:jc w:val="left"/>
        <w:rPr>
          <w:rFonts w:ascii="Helvetica" w:hAnsi="Helvetica"/>
          <w:sz w:val="18"/>
        </w:rPr>
      </w:pPr>
      <w:r>
        <w:rPr>
          <w:rFonts w:ascii="Helvetica" w:hAnsi="Helvetica"/>
          <w:sz w:val="18"/>
        </w:rPr>
        <w:t>I, Kenneth D. Seipel, certify that:</w:t>
      </w:r>
    </w:p>
    <w:p>
      <w:pPr>
        <w:pStyle w:val="TextBody"/>
        <w:bidi w:val="0"/>
        <w:spacing w:lineRule="auto" w:line="285" w:before="0" w:after="0"/>
        <w:ind w:left="0" w:right="0" w:hanging="0"/>
        <w:jc w:val="left"/>
        <w:rPr/>
      </w:pPr>
      <w:r>
        <w:rPr/>
        <w:t>​</w:t>
      </w:r>
    </w:p>
    <w:tbl>
      <w:tblPr>
        <w:tblW w:w="8890" w:type="dxa"/>
        <w:jc w:val="left"/>
        <w:tblInd w:w="0" w:type="dxa"/>
        <w:tblLayout w:type="fixed"/>
        <w:tblCellMar>
          <w:top w:w="0" w:type="dxa"/>
          <w:left w:w="0" w:type="dxa"/>
          <w:bottom w:w="0" w:type="dxa"/>
          <w:right w:w="0" w:type="dxa"/>
        </w:tblCellMar>
      </w:tblPr>
      <w:tblGrid>
        <w:gridCol w:w="170"/>
        <w:gridCol w:w="8720"/>
      </w:tblGrid>
      <w:tr>
        <w:trPr/>
        <w:tc>
          <w:tcPr>
            <w:tcW w:w="170" w:type="dxa"/>
            <w:tcBorders/>
            <w:vAlign w:val="center"/>
          </w:tcPr>
          <w:p>
            <w:pPr>
              <w:pStyle w:val="TableContents"/>
              <w:bidi w:val="0"/>
              <w:spacing w:lineRule="auto" w:line="285" w:before="0" w:after="0"/>
              <w:jc w:val="left"/>
              <w:rPr>
                <w:rFonts w:ascii="Helvetica" w:hAnsi="Helvetica"/>
                <w:sz w:val="18"/>
              </w:rPr>
            </w:pPr>
            <w:r>
              <w:rPr>
                <w:rFonts w:ascii="Helvetica" w:hAnsi="Helvetica"/>
                <w:sz w:val="18"/>
              </w:rPr>
              <w:t>1.</w:t>
            </w:r>
          </w:p>
        </w:tc>
        <w:tc>
          <w:tcPr>
            <w:tcW w:w="8720" w:type="dxa"/>
            <w:tcBorders/>
            <w:vAlign w:val="center"/>
          </w:tcPr>
          <w:p>
            <w:pPr>
              <w:pStyle w:val="TableContents"/>
              <w:bidi w:val="0"/>
              <w:spacing w:lineRule="auto" w:line="285" w:before="0" w:after="0"/>
              <w:jc w:val="left"/>
              <w:rPr>
                <w:rFonts w:ascii="Helvetica" w:hAnsi="Helvetica"/>
                <w:sz w:val="18"/>
              </w:rPr>
            </w:pPr>
            <w:r>
              <w:rPr>
                <w:rFonts w:ascii="Helvetica" w:hAnsi="Helvetica"/>
                <w:sz w:val="18"/>
              </w:rPr>
              <w:t>I have reviewed this Quarterly Report on Form 10-Q for the period ended August 1, 2026 of Citi Trends, Inc.;</w:t>
            </w:r>
          </w:p>
        </w:tc>
      </w:tr>
    </w:tbl>
    <w:p>
      <w:pPr>
        <w:pStyle w:val="TextBody"/>
        <w:bidi w:val="0"/>
        <w:spacing w:lineRule="auto" w:line="285"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42"/>
        <w:gridCol w:w="10063"/>
      </w:tblGrid>
      <w:tr>
        <w:trPr/>
        <w:tc>
          <w:tcPr>
            <w:tcW w:w="142" w:type="dxa"/>
            <w:tcBorders/>
            <w:vAlign w:val="center"/>
          </w:tcPr>
          <w:p>
            <w:pPr>
              <w:pStyle w:val="TableContents"/>
              <w:bidi w:val="0"/>
              <w:spacing w:lineRule="auto" w:line="285" w:before="0" w:after="0"/>
              <w:jc w:val="left"/>
              <w:rPr>
                <w:rFonts w:ascii="Helvetica" w:hAnsi="Helvetica"/>
                <w:sz w:val="18"/>
              </w:rPr>
            </w:pPr>
            <w:r>
              <w:rPr>
                <w:rFonts w:ascii="Helvetica" w:hAnsi="Helvetica"/>
                <w:sz w:val="18"/>
              </w:rPr>
              <w:t>2.</w:t>
            </w:r>
          </w:p>
        </w:tc>
        <w:tc>
          <w:tcPr>
            <w:tcW w:w="10063" w:type="dxa"/>
            <w:tcBorders/>
            <w:vAlign w:val="center"/>
          </w:tcPr>
          <w:p>
            <w:pPr>
              <w:pStyle w:val="TableContents"/>
              <w:bidi w:val="0"/>
              <w:spacing w:lineRule="auto" w:line="285" w:before="0" w:after="0"/>
              <w:jc w:val="left"/>
              <w:rPr>
                <w:rFonts w:ascii="Helvetica" w:hAnsi="Helvetica"/>
                <w:sz w:val="18"/>
              </w:rPr>
            </w:pPr>
            <w:r>
              <w:rPr>
                <w:rFonts w:ascii="Helvetica" w:hAnsi="Helvetica"/>
                <w:sz w:val="18"/>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lineRule="auto" w:line="285"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lineRule="auto" w:line="285" w:before="0" w:after="0"/>
              <w:jc w:val="left"/>
              <w:rPr>
                <w:rFonts w:ascii="Helvetica" w:hAnsi="Helvetica"/>
                <w:sz w:val="18"/>
              </w:rPr>
            </w:pPr>
            <w:r>
              <w:rPr>
                <w:rFonts w:ascii="Helvetica" w:hAnsi="Helvetica"/>
                <w:sz w:val="18"/>
              </w:rPr>
              <w:t>3.</w:t>
            </w:r>
          </w:p>
        </w:tc>
        <w:tc>
          <w:tcPr>
            <w:tcW w:w="10061" w:type="dxa"/>
            <w:tcBorders/>
            <w:vAlign w:val="center"/>
          </w:tcPr>
          <w:p>
            <w:pPr>
              <w:pStyle w:val="TableContents"/>
              <w:bidi w:val="0"/>
              <w:spacing w:lineRule="auto" w:line="285" w:before="0" w:after="0"/>
              <w:jc w:val="left"/>
              <w:rPr>
                <w:rFonts w:ascii="Helvetica" w:hAnsi="Helvetica"/>
                <w:sz w:val="18"/>
              </w:rPr>
            </w:pPr>
            <w:r>
              <w:rPr>
                <w:rFonts w:ascii="Helvetica" w:hAnsi="Helvetica"/>
                <w:sz w:val="18"/>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bidi w:val="0"/>
        <w:spacing w:lineRule="auto" w:line="285"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41"/>
        <w:gridCol w:w="10064"/>
      </w:tblGrid>
      <w:tr>
        <w:trPr/>
        <w:tc>
          <w:tcPr>
            <w:tcW w:w="141" w:type="dxa"/>
            <w:tcBorders/>
            <w:vAlign w:val="center"/>
          </w:tcPr>
          <w:p>
            <w:pPr>
              <w:pStyle w:val="TableContents"/>
              <w:bidi w:val="0"/>
              <w:spacing w:lineRule="auto" w:line="285" w:before="0" w:after="0"/>
              <w:jc w:val="left"/>
              <w:rPr>
                <w:rFonts w:ascii="Helvetica" w:hAnsi="Helvetica"/>
                <w:sz w:val="18"/>
              </w:rPr>
            </w:pPr>
            <w:r>
              <w:rPr>
                <w:rFonts w:ascii="Helvetica" w:hAnsi="Helvetica"/>
                <w:sz w:val="18"/>
              </w:rPr>
              <w:t>4.</w:t>
            </w:r>
          </w:p>
        </w:tc>
        <w:tc>
          <w:tcPr>
            <w:tcW w:w="10064" w:type="dxa"/>
            <w:tcBorders/>
            <w:vAlign w:val="center"/>
          </w:tcPr>
          <w:p>
            <w:pPr>
              <w:pStyle w:val="TableContents"/>
              <w:bidi w:val="0"/>
              <w:spacing w:lineRule="auto" w:line="285" w:before="0" w:after="0"/>
              <w:jc w:val="left"/>
              <w:rPr>
                <w:rFonts w:ascii="Helvetica" w:hAnsi="Helvetica"/>
                <w:sz w:val="18"/>
              </w:rPr>
            </w:pPr>
            <w:r>
              <w:rPr>
                <w:rFonts w:ascii="Helvetica" w:hAnsi="Helvetica"/>
                <w:sz w:val="18"/>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lineRule="auto" w:line="285"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44"/>
        <w:gridCol w:w="10038"/>
      </w:tblGrid>
      <w:tr>
        <w:trPr/>
        <w:tc>
          <w:tcPr>
            <w:tcW w:w="2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lineRule="auto" w:line="285" w:before="0" w:after="0"/>
              <w:jc w:val="left"/>
              <w:rPr>
                <w:rFonts w:ascii="Helvetica" w:hAnsi="Helvetica"/>
                <w:sz w:val="18"/>
              </w:rPr>
            </w:pPr>
            <w:r>
              <w:rPr>
                <w:rFonts w:ascii="Helvetica" w:hAnsi="Helvetica"/>
                <w:sz w:val="18"/>
              </w:rPr>
              <w:t>a)</w:t>
            </w:r>
          </w:p>
        </w:tc>
        <w:tc>
          <w:tcPr>
            <w:tcW w:w="10038" w:type="dxa"/>
            <w:tcBorders/>
            <w:vAlign w:val="center"/>
          </w:tcPr>
          <w:p>
            <w:pPr>
              <w:pStyle w:val="TableContents"/>
              <w:bidi w:val="0"/>
              <w:spacing w:lineRule="auto" w:line="285" w:before="0" w:after="0"/>
              <w:jc w:val="left"/>
              <w:rPr>
                <w:rFonts w:ascii="Helvetica" w:hAnsi="Helvetica"/>
                <w:sz w:val="18"/>
              </w:rPr>
            </w:pPr>
            <w:r>
              <w:rPr>
                <w:rFonts w:ascii="Helvetica" w:hAnsi="Helvetica"/>
                <w:sz w:val="18"/>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bidi w:val="0"/>
        <w:spacing w:lineRule="auto" w:line="285"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44"/>
        <w:gridCol w:w="10038"/>
      </w:tblGrid>
      <w:tr>
        <w:trPr/>
        <w:tc>
          <w:tcPr>
            <w:tcW w:w="2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lineRule="auto" w:line="285" w:before="0" w:after="0"/>
              <w:jc w:val="left"/>
              <w:rPr>
                <w:rFonts w:ascii="Helvetica" w:hAnsi="Helvetica"/>
                <w:sz w:val="18"/>
              </w:rPr>
            </w:pPr>
            <w:r>
              <w:rPr>
                <w:rFonts w:ascii="Helvetica" w:hAnsi="Helvetica"/>
                <w:sz w:val="18"/>
              </w:rPr>
              <w:t>b)</w:t>
            </w:r>
          </w:p>
        </w:tc>
        <w:tc>
          <w:tcPr>
            <w:tcW w:w="10038" w:type="dxa"/>
            <w:tcBorders/>
            <w:vAlign w:val="center"/>
          </w:tcPr>
          <w:p>
            <w:pPr>
              <w:pStyle w:val="TableContents"/>
              <w:bidi w:val="0"/>
              <w:spacing w:lineRule="auto" w:line="285" w:before="0" w:after="0"/>
              <w:jc w:val="left"/>
              <w:rPr>
                <w:rFonts w:ascii="Helvetica" w:hAnsi="Helvetica"/>
                <w:sz w:val="18"/>
              </w:rPr>
            </w:pPr>
            <w:r>
              <w:rPr>
                <w:rFonts w:ascii="Helvetica" w:hAnsi="Helvetica"/>
                <w:sz w:val="18"/>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spacing w:lineRule="auto" w:line="285"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35"/>
        <w:gridCol w:w="10047"/>
      </w:tblGrid>
      <w:tr>
        <w:trPr/>
        <w:tc>
          <w:tcPr>
            <w:tcW w:w="23"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lineRule="auto" w:line="285" w:before="0" w:after="0"/>
              <w:jc w:val="left"/>
              <w:rPr>
                <w:rFonts w:ascii="Helvetica" w:hAnsi="Helvetica"/>
                <w:sz w:val="18"/>
              </w:rPr>
            </w:pPr>
            <w:r>
              <w:rPr>
                <w:rFonts w:ascii="Helvetica" w:hAnsi="Helvetica"/>
                <w:sz w:val="18"/>
              </w:rPr>
              <w:t>c)</w:t>
            </w:r>
          </w:p>
        </w:tc>
        <w:tc>
          <w:tcPr>
            <w:tcW w:w="10047" w:type="dxa"/>
            <w:tcBorders/>
            <w:vAlign w:val="center"/>
          </w:tcPr>
          <w:p>
            <w:pPr>
              <w:pStyle w:val="TableContents"/>
              <w:bidi w:val="0"/>
              <w:spacing w:lineRule="auto" w:line="285" w:before="0" w:after="0"/>
              <w:jc w:val="left"/>
              <w:rPr>
                <w:rFonts w:ascii="Helvetica" w:hAnsi="Helvetica"/>
                <w:sz w:val="18"/>
              </w:rPr>
            </w:pPr>
            <w:r>
              <w:rPr>
                <w:rFonts w:ascii="Helvetica" w:hAnsi="Helvetica"/>
                <w:sz w:val="18"/>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bidi w:val="0"/>
        <w:spacing w:lineRule="auto" w:line="285"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44"/>
        <w:gridCol w:w="10038"/>
      </w:tblGrid>
      <w:tr>
        <w:trPr/>
        <w:tc>
          <w:tcPr>
            <w:tcW w:w="2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lineRule="auto" w:line="285" w:before="0" w:after="0"/>
              <w:jc w:val="left"/>
              <w:rPr>
                <w:rFonts w:ascii="Helvetica" w:hAnsi="Helvetica"/>
                <w:sz w:val="18"/>
              </w:rPr>
            </w:pPr>
            <w:r>
              <w:rPr>
                <w:rFonts w:ascii="Helvetica" w:hAnsi="Helvetica"/>
                <w:sz w:val="18"/>
              </w:rPr>
              <w:t>d)</w:t>
            </w:r>
          </w:p>
        </w:tc>
        <w:tc>
          <w:tcPr>
            <w:tcW w:w="10038" w:type="dxa"/>
            <w:tcBorders/>
            <w:vAlign w:val="center"/>
          </w:tcPr>
          <w:p>
            <w:pPr>
              <w:pStyle w:val="TableContents"/>
              <w:bidi w:val="0"/>
              <w:spacing w:lineRule="auto" w:line="285" w:before="0" w:after="0"/>
              <w:jc w:val="left"/>
              <w:rPr>
                <w:rFonts w:ascii="Helvetica" w:hAnsi="Helvetica"/>
                <w:sz w:val="18"/>
              </w:rPr>
            </w:pPr>
            <w:r>
              <w:rPr>
                <w:rFonts w:ascii="Helvetica" w:hAnsi="Helvetica"/>
                <w:sz w:val="18"/>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lineRule="auto" w:line="285"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lineRule="auto" w:line="285" w:before="0" w:after="0"/>
              <w:jc w:val="left"/>
              <w:rPr>
                <w:rFonts w:ascii="Helvetica" w:hAnsi="Helvetica"/>
                <w:sz w:val="18"/>
              </w:rPr>
            </w:pPr>
            <w:r>
              <w:rPr>
                <w:rFonts w:ascii="Helvetica" w:hAnsi="Helvetica"/>
                <w:sz w:val="18"/>
              </w:rPr>
              <w:t>5.</w:t>
            </w:r>
          </w:p>
        </w:tc>
        <w:tc>
          <w:tcPr>
            <w:tcW w:w="10061" w:type="dxa"/>
            <w:tcBorders/>
            <w:vAlign w:val="center"/>
          </w:tcPr>
          <w:p>
            <w:pPr>
              <w:pStyle w:val="TableContents"/>
              <w:bidi w:val="0"/>
              <w:spacing w:lineRule="auto" w:line="285" w:before="0" w:after="0"/>
              <w:jc w:val="left"/>
              <w:rPr>
                <w:rFonts w:ascii="Helvetica" w:hAnsi="Helvetica"/>
                <w:sz w:val="18"/>
              </w:rPr>
            </w:pPr>
            <w:r>
              <w:rPr>
                <w:rFonts w:ascii="Helvetica" w:hAnsi="Helvetica"/>
                <w:sz w:val="18"/>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lineRule="auto" w:line="285"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52"/>
        <w:gridCol w:w="10030"/>
      </w:tblGrid>
      <w:tr>
        <w:trPr/>
        <w:tc>
          <w:tcPr>
            <w:tcW w:w="23"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lineRule="auto" w:line="285" w:before="0" w:after="0"/>
              <w:jc w:val="left"/>
              <w:rPr>
                <w:rFonts w:ascii="Helvetica" w:hAnsi="Helvetica"/>
                <w:sz w:val="18"/>
              </w:rPr>
            </w:pPr>
            <w:r>
              <w:rPr>
                <w:rFonts w:ascii="Helvetica" w:hAnsi="Helvetica"/>
                <w:sz w:val="18"/>
              </w:rPr>
              <w:t>a)</w:t>
            </w:r>
          </w:p>
        </w:tc>
        <w:tc>
          <w:tcPr>
            <w:tcW w:w="10030" w:type="dxa"/>
            <w:tcBorders/>
            <w:vAlign w:val="center"/>
          </w:tcPr>
          <w:p>
            <w:pPr>
              <w:pStyle w:val="TableContents"/>
              <w:bidi w:val="0"/>
              <w:spacing w:lineRule="auto" w:line="285" w:before="0" w:after="0"/>
              <w:jc w:val="left"/>
              <w:rPr>
                <w:rFonts w:ascii="Helvetica" w:hAnsi="Helvetica"/>
                <w:sz w:val="18"/>
              </w:rPr>
            </w:pPr>
            <w:r>
              <w:rPr>
                <w:rFonts w:ascii="Helvetica" w:hAnsi="Helvetica"/>
                <w:sz w:val="18"/>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bidi w:val="0"/>
        <w:spacing w:lineRule="auto" w:line="285"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68"/>
        <w:gridCol w:w="10014"/>
      </w:tblGrid>
      <w:tr>
        <w:trPr/>
        <w:tc>
          <w:tcPr>
            <w:tcW w:w="23"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lineRule="auto" w:line="285" w:before="0" w:after="0"/>
              <w:jc w:val="left"/>
              <w:rPr>
                <w:rFonts w:ascii="Helvetica" w:hAnsi="Helvetica"/>
                <w:sz w:val="18"/>
              </w:rPr>
            </w:pPr>
            <w:r>
              <w:rPr>
                <w:rFonts w:ascii="Helvetica" w:hAnsi="Helvetica"/>
                <w:sz w:val="18"/>
              </w:rPr>
              <w:t>b)</w:t>
            </w:r>
          </w:p>
        </w:tc>
        <w:tc>
          <w:tcPr>
            <w:tcW w:w="10014" w:type="dxa"/>
            <w:tcBorders/>
            <w:vAlign w:val="center"/>
          </w:tcPr>
          <w:p>
            <w:pPr>
              <w:pStyle w:val="TableContents"/>
              <w:bidi w:val="0"/>
              <w:spacing w:lineRule="auto" w:line="285" w:before="0" w:after="0"/>
              <w:jc w:val="left"/>
              <w:rPr>
                <w:rFonts w:ascii="Helvetica" w:hAnsi="Helvetica"/>
                <w:sz w:val="18"/>
              </w:rPr>
            </w:pPr>
            <w:r>
              <w:rPr>
                <w:rFonts w:ascii="Helvetica" w:hAnsi="Helvetica"/>
                <w:sz w:val="18"/>
              </w:rPr>
              <w:t>any fraud, whether or not material, that involves management or other employees who have a significant role in the registrant’s internal control over financial reporting.</w:t>
            </w:r>
          </w:p>
        </w:tc>
      </w:tr>
    </w:tbl>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Helvetica" w:hAnsi="Helvetica"/>
          <w:sz w:val="18"/>
        </w:rPr>
      </w:pPr>
      <w:r>
        <w:rPr>
          <w:rFonts w:ascii="Helvetica" w:hAnsi="Helvetica"/>
          <w:sz w:val="18"/>
        </w:rPr>
        <w:t>Date: September 9, 2026</w:t>
      </w:r>
    </w:p>
    <w:p>
      <w:pPr>
        <w:pStyle w:val="TextBody"/>
        <w:bidi w:val="0"/>
        <w:spacing w:lineRule="auto" w:line="285" w:before="0" w:after="0"/>
        <w:ind w:left="0" w:right="0" w:hanging="0"/>
        <w:jc w:val="left"/>
        <w:rPr/>
      </w:pPr>
      <w:r>
        <w:rPr/>
        <w:t>​</w:t>
      </w:r>
    </w:p>
    <w:tbl>
      <w:tblPr>
        <w:tblW w:w="3631" w:type="dxa"/>
        <w:jc w:val="left"/>
        <w:tblInd w:w="0" w:type="dxa"/>
        <w:tblLayout w:type="fixed"/>
        <w:tblCellMar>
          <w:top w:w="0" w:type="dxa"/>
          <w:left w:w="0" w:type="dxa"/>
          <w:bottom w:w="0" w:type="dxa"/>
          <w:right w:w="0" w:type="dxa"/>
        </w:tblCellMar>
      </w:tblPr>
      <w:tblGrid>
        <w:gridCol w:w="3631"/>
      </w:tblGrid>
      <w:tr>
        <w:trPr/>
        <w:tc>
          <w:tcPr>
            <w:tcW w:w="3631" w:type="dxa"/>
            <w:tcBorders/>
            <w:vAlign w:val="center"/>
          </w:tcPr>
          <w:p>
            <w:pPr>
              <w:pStyle w:val="TableContents"/>
              <w:bidi w:val="0"/>
              <w:spacing w:lineRule="auto" w:line="285" w:before="0" w:after="0"/>
              <w:ind w:left="0" w:right="0" w:hanging="0"/>
              <w:jc w:val="left"/>
              <w:rPr>
                <w:color w:val="231F20"/>
              </w:rPr>
            </w:pPr>
            <w:r>
              <w:rPr>
                <w:color w:val="231F20"/>
              </w:rPr>
              <w:t>​</w:t>
            </w:r>
          </w:p>
          <w:p>
            <w:pPr>
              <w:pStyle w:val="TableContents"/>
              <w:bidi w:val="0"/>
              <w:spacing w:lineRule="auto" w:line="285" w:before="0" w:after="0"/>
              <w:ind w:left="0" w:right="0" w:hanging="0"/>
              <w:jc w:val="left"/>
              <w:rPr>
                <w:color w:val="231F20"/>
              </w:rPr>
            </w:pPr>
            <w:r>
              <w:rPr>
                <w:color w:val="231F20"/>
              </w:rPr>
              <w:t>​</w:t>
            </w:r>
          </w:p>
          <w:p>
            <w:pPr>
              <w:pStyle w:val="TableContents"/>
              <w:bidi w:val="0"/>
              <w:spacing w:lineRule="auto" w:line="285" w:before="0" w:after="0"/>
              <w:ind w:left="0" w:right="0" w:hanging="0"/>
              <w:jc w:val="left"/>
              <w:rPr>
                <w:color w:val="231F20"/>
              </w:rPr>
            </w:pPr>
            <w:r>
              <w:rPr>
                <w:color w:val="231F20"/>
              </w:rPr>
              <w:t>​</w:t>
            </w:r>
          </w:p>
        </w:tc>
      </w:tr>
      <w:tr>
        <w:trPr/>
        <w:tc>
          <w:tcPr>
            <w:tcW w:w="3631" w:type="dxa"/>
            <w:tcBorders>
              <w:bottom w:val="single" w:sz="2" w:space="0" w:color="000000"/>
            </w:tcBorders>
            <w:tcMar>
              <w:bottom w:w="28" w:type="dxa"/>
            </w:tcMar>
            <w:vAlign w:val="center"/>
          </w:tcPr>
          <w:p>
            <w:pPr>
              <w:pStyle w:val="TableContents"/>
              <w:bidi w:val="0"/>
              <w:spacing w:lineRule="auto" w:line="304" w:before="0" w:after="0"/>
              <w:ind w:left="0" w:right="0" w:hanging="0"/>
              <w:jc w:val="left"/>
              <w:rPr>
                <w:rFonts w:ascii="Helvetica" w:hAnsi="Helvetica"/>
                <w:color w:val="231F20"/>
                <w:sz w:val="18"/>
              </w:rPr>
            </w:pPr>
            <w:r>
              <w:rPr>
                <w:rFonts w:ascii="Helvetica" w:hAnsi="Helvetica"/>
                <w:color w:val="231F20"/>
                <w:sz w:val="18"/>
              </w:rPr>
              <w:t>/s/ Kenneth D. Seipel</w:t>
            </w:r>
          </w:p>
        </w:tc>
      </w:tr>
      <w:tr>
        <w:trPr/>
        <w:tc>
          <w:tcPr>
            <w:tcW w:w="3631" w:type="dxa"/>
            <w:tcBorders/>
            <w:vAlign w:val="center"/>
          </w:tcPr>
          <w:p>
            <w:pPr>
              <w:pStyle w:val="TableContents"/>
              <w:bidi w:val="0"/>
              <w:spacing w:lineRule="auto" w:line="304" w:before="0" w:after="0"/>
              <w:ind w:left="0" w:right="0" w:hanging="0"/>
              <w:jc w:val="left"/>
              <w:rPr>
                <w:rFonts w:ascii="Helvetica" w:hAnsi="Helvetica"/>
                <w:color w:val="231F20"/>
                <w:sz w:val="18"/>
              </w:rPr>
            </w:pPr>
            <w:r>
              <w:rPr>
                <w:rFonts w:ascii="Helvetica" w:hAnsi="Helvetica"/>
                <w:color w:val="231F20"/>
                <w:sz w:val="18"/>
              </w:rPr>
              <w:t>Kenneth D. Seipel</w:t>
            </w:r>
          </w:p>
        </w:tc>
      </w:tr>
      <w:tr>
        <w:trPr/>
        <w:tc>
          <w:tcPr>
            <w:tcW w:w="3631" w:type="dxa"/>
            <w:tcBorders/>
            <w:vAlign w:val="center"/>
          </w:tcPr>
          <w:p>
            <w:pPr>
              <w:pStyle w:val="TableContents"/>
              <w:bidi w:val="0"/>
              <w:spacing w:lineRule="auto" w:line="304" w:before="0" w:after="0"/>
              <w:ind w:left="0" w:right="0" w:hanging="0"/>
              <w:jc w:val="left"/>
              <w:rPr>
                <w:rFonts w:ascii="Helvetica" w:hAnsi="Helvetica"/>
                <w:color w:val="231F20"/>
                <w:sz w:val="18"/>
              </w:rPr>
            </w:pPr>
            <w:r>
              <w:rPr>
                <w:rFonts w:ascii="Helvetica" w:hAnsi="Helvetica"/>
                <w:color w:val="231F20"/>
                <w:sz w:val="18"/>
              </w:rPr>
              <w:t>Chief Executive Officer</w:t>
            </w:r>
          </w:p>
        </w:tc>
      </w:tr>
      <w:tr>
        <w:trPr/>
        <w:tc>
          <w:tcPr>
            <w:tcW w:w="3631" w:type="dxa"/>
            <w:tcBorders/>
            <w:vAlign w:val="center"/>
          </w:tcPr>
          <w:p>
            <w:pPr>
              <w:pStyle w:val="TableContents"/>
              <w:bidi w:val="0"/>
              <w:spacing w:before="0" w:after="283"/>
              <w:ind w:left="0" w:right="0" w:hanging="0"/>
              <w:jc w:val="left"/>
              <w:rPr>
                <w:sz w:val="4"/>
                <w:szCs w:val="4"/>
              </w:rPr>
            </w:pPr>
            <w:r>
              <w:rPr>
                <w:sz w:val="4"/>
                <w:szCs w:val="4"/>
              </w:rPr>
            </w:r>
          </w:p>
        </w:tc>
      </w:tr>
      <w:tr>
        <w:trPr/>
        <w:tc>
          <w:tcPr>
            <w:tcW w:w="3631" w:type="dxa"/>
            <w:tcBorders/>
            <w:vAlign w:val="center"/>
          </w:tcPr>
          <w:p>
            <w:pPr>
              <w:pStyle w:val="TableContents"/>
              <w:bidi w:val="0"/>
              <w:spacing w:lineRule="auto" w:line="304" w:before="0" w:after="0"/>
              <w:ind w:left="0" w:right="0" w:hanging="0"/>
              <w:jc w:val="left"/>
              <w:rPr>
                <w:rFonts w:ascii="Helvetica" w:hAnsi="Helvetica"/>
                <w:color w:val="231F20"/>
                <w:sz w:val="18"/>
              </w:rPr>
            </w:pPr>
            <w:r>
              <w:rPr>
                <w:rFonts w:ascii="Helvetica" w:hAnsi="Helvetica"/>
                <w:color w:val="231F20"/>
                <w:sz w:val="18"/>
              </w:rPr>
              <w:t>(Principal Executive Officer) and Chairman</w:t>
            </w:r>
          </w:p>
        </w:tc>
      </w:tr>
    </w:tbl>
    <w:p>
      <w:pPr>
        <w:pStyle w:val="TextBody"/>
        <w:bidi w:val="0"/>
        <w:spacing w:lineRule="auto" w:line="285"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right"/>
        <w:rPr>
          <w:rFonts w:ascii="Helvetica" w:hAnsi="Helvetica"/>
          <w:b/>
          <w:sz w:val="18"/>
        </w:rPr>
      </w:pPr>
      <w:bookmarkStart w:id="987" w:name="ctrn-20260801xex31d2.htm"/>
      <w:bookmarkStart w:id="988" w:name="ksctrn20260801xex31d2"/>
      <w:bookmarkEnd w:id="987"/>
      <w:bookmarkEnd w:id="988"/>
      <w:r>
        <w:rPr>
          <w:rFonts w:ascii="Helvetica" w:hAnsi="Helvetica"/>
          <w:b/>
          <w:sz w:val="18"/>
        </w:rPr>
        <w:t>Exhibit 31.2</w:t>
      </w:r>
      <w:r>
        <w:br w:type="page"/>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center"/>
        <w:rPr>
          <w:rFonts w:ascii="Helvetica" w:hAnsi="Helvetica"/>
          <w:b/>
          <w:sz w:val="18"/>
        </w:rPr>
      </w:pPr>
      <w:r>
        <w:rPr>
          <w:rFonts w:ascii="Helvetica" w:hAnsi="Helvetica"/>
          <w:b/>
          <w:sz w:val="18"/>
        </w:rPr>
        <w:t>CERTIFICATION</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firstLine="490"/>
        <w:jc w:val="left"/>
        <w:rPr>
          <w:rFonts w:ascii="Helvetica" w:hAnsi="Helvetica"/>
          <w:sz w:val="18"/>
        </w:rPr>
      </w:pPr>
      <w:r>
        <w:rPr>
          <w:rFonts w:ascii="Helvetica" w:hAnsi="Helvetica"/>
          <w:sz w:val="18"/>
        </w:rPr>
        <w:t>I, Heather Plutino, certify that:</w:t>
      </w:r>
    </w:p>
    <w:p>
      <w:pPr>
        <w:pStyle w:val="TextBody"/>
        <w:bidi w:val="0"/>
        <w:spacing w:lineRule="auto" w:line="285" w:before="0" w:after="0"/>
        <w:ind w:left="0" w:right="0" w:hanging="0"/>
        <w:jc w:val="left"/>
        <w:rPr/>
      </w:pPr>
      <w:r>
        <w:rPr/>
        <w:t>​</w:t>
      </w:r>
    </w:p>
    <w:tbl>
      <w:tblPr>
        <w:tblW w:w="8845" w:type="dxa"/>
        <w:jc w:val="left"/>
        <w:tblInd w:w="0" w:type="dxa"/>
        <w:tblLayout w:type="fixed"/>
        <w:tblCellMar>
          <w:top w:w="0" w:type="dxa"/>
          <w:left w:w="0" w:type="dxa"/>
          <w:bottom w:w="0" w:type="dxa"/>
          <w:right w:w="0" w:type="dxa"/>
        </w:tblCellMar>
      </w:tblPr>
      <w:tblGrid>
        <w:gridCol w:w="170"/>
        <w:gridCol w:w="8675"/>
      </w:tblGrid>
      <w:tr>
        <w:trPr/>
        <w:tc>
          <w:tcPr>
            <w:tcW w:w="170" w:type="dxa"/>
            <w:tcBorders/>
            <w:vAlign w:val="center"/>
          </w:tcPr>
          <w:p>
            <w:pPr>
              <w:pStyle w:val="TableContents"/>
              <w:bidi w:val="0"/>
              <w:spacing w:lineRule="auto" w:line="285" w:before="0" w:after="0"/>
              <w:jc w:val="left"/>
              <w:rPr>
                <w:rFonts w:ascii="Helvetica" w:hAnsi="Helvetica"/>
                <w:sz w:val="18"/>
              </w:rPr>
            </w:pPr>
            <w:r>
              <w:rPr>
                <w:rFonts w:ascii="Helvetica" w:hAnsi="Helvetica"/>
                <w:sz w:val="18"/>
              </w:rPr>
              <w:t>1.</w:t>
            </w:r>
          </w:p>
        </w:tc>
        <w:tc>
          <w:tcPr>
            <w:tcW w:w="8675" w:type="dxa"/>
            <w:tcBorders/>
            <w:vAlign w:val="center"/>
          </w:tcPr>
          <w:p>
            <w:pPr>
              <w:pStyle w:val="TableContents"/>
              <w:bidi w:val="0"/>
              <w:spacing w:lineRule="auto" w:line="285" w:before="0" w:after="0"/>
              <w:jc w:val="left"/>
              <w:rPr>
                <w:rFonts w:ascii="Helvetica" w:hAnsi="Helvetica"/>
                <w:sz w:val="18"/>
              </w:rPr>
            </w:pPr>
            <w:r>
              <w:rPr>
                <w:rFonts w:ascii="Helvetica" w:hAnsi="Helvetica"/>
                <w:sz w:val="18"/>
              </w:rPr>
              <w:t>I have reviewed this Quarterly Report on Form 10-Q for the period ended August 1, 2026 of Citi Trends, Inc.</w:t>
            </w:r>
          </w:p>
        </w:tc>
      </w:tr>
    </w:tbl>
    <w:p>
      <w:pPr>
        <w:pStyle w:val="TextBody"/>
        <w:bidi w:val="0"/>
        <w:spacing w:lineRule="auto" w:line="285"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42"/>
        <w:gridCol w:w="10063"/>
      </w:tblGrid>
      <w:tr>
        <w:trPr/>
        <w:tc>
          <w:tcPr>
            <w:tcW w:w="142" w:type="dxa"/>
            <w:tcBorders/>
            <w:vAlign w:val="center"/>
          </w:tcPr>
          <w:p>
            <w:pPr>
              <w:pStyle w:val="TableContents"/>
              <w:bidi w:val="0"/>
              <w:spacing w:lineRule="auto" w:line="285" w:before="0" w:after="0"/>
              <w:jc w:val="left"/>
              <w:rPr>
                <w:rFonts w:ascii="Helvetica" w:hAnsi="Helvetica"/>
                <w:sz w:val="18"/>
              </w:rPr>
            </w:pPr>
            <w:r>
              <w:rPr>
                <w:rFonts w:ascii="Helvetica" w:hAnsi="Helvetica"/>
                <w:sz w:val="18"/>
              </w:rPr>
              <w:t>2.</w:t>
            </w:r>
          </w:p>
        </w:tc>
        <w:tc>
          <w:tcPr>
            <w:tcW w:w="10063" w:type="dxa"/>
            <w:tcBorders/>
            <w:vAlign w:val="center"/>
          </w:tcPr>
          <w:p>
            <w:pPr>
              <w:pStyle w:val="TableContents"/>
              <w:bidi w:val="0"/>
              <w:spacing w:lineRule="auto" w:line="285" w:before="0" w:after="0"/>
              <w:jc w:val="left"/>
              <w:rPr>
                <w:rFonts w:ascii="Helvetica" w:hAnsi="Helvetica"/>
                <w:sz w:val="18"/>
              </w:rPr>
            </w:pPr>
            <w:r>
              <w:rPr>
                <w:rFonts w:ascii="Helvetica" w:hAnsi="Helvetica"/>
                <w:sz w:val="18"/>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lineRule="auto" w:line="285"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lineRule="auto" w:line="285" w:before="0" w:after="0"/>
              <w:jc w:val="left"/>
              <w:rPr>
                <w:rFonts w:ascii="Helvetica" w:hAnsi="Helvetica"/>
                <w:sz w:val="18"/>
              </w:rPr>
            </w:pPr>
            <w:r>
              <w:rPr>
                <w:rFonts w:ascii="Helvetica" w:hAnsi="Helvetica"/>
                <w:sz w:val="18"/>
              </w:rPr>
              <w:t>3.</w:t>
            </w:r>
          </w:p>
        </w:tc>
        <w:tc>
          <w:tcPr>
            <w:tcW w:w="10061" w:type="dxa"/>
            <w:tcBorders/>
            <w:vAlign w:val="center"/>
          </w:tcPr>
          <w:p>
            <w:pPr>
              <w:pStyle w:val="TableContents"/>
              <w:bidi w:val="0"/>
              <w:spacing w:lineRule="auto" w:line="285" w:before="0" w:after="0"/>
              <w:jc w:val="left"/>
              <w:rPr>
                <w:rFonts w:ascii="Helvetica" w:hAnsi="Helvetica"/>
                <w:sz w:val="18"/>
              </w:rPr>
            </w:pPr>
            <w:r>
              <w:rPr>
                <w:rFonts w:ascii="Helvetica" w:hAnsi="Helvetica"/>
                <w:sz w:val="18"/>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bidi w:val="0"/>
        <w:spacing w:lineRule="auto" w:line="285"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41"/>
        <w:gridCol w:w="10064"/>
      </w:tblGrid>
      <w:tr>
        <w:trPr/>
        <w:tc>
          <w:tcPr>
            <w:tcW w:w="141" w:type="dxa"/>
            <w:tcBorders/>
            <w:vAlign w:val="center"/>
          </w:tcPr>
          <w:p>
            <w:pPr>
              <w:pStyle w:val="TableContents"/>
              <w:bidi w:val="0"/>
              <w:spacing w:lineRule="auto" w:line="285" w:before="0" w:after="0"/>
              <w:jc w:val="left"/>
              <w:rPr>
                <w:rFonts w:ascii="Helvetica" w:hAnsi="Helvetica"/>
                <w:sz w:val="18"/>
              </w:rPr>
            </w:pPr>
            <w:r>
              <w:rPr>
                <w:rFonts w:ascii="Helvetica" w:hAnsi="Helvetica"/>
                <w:sz w:val="18"/>
              </w:rPr>
              <w:t>4.</w:t>
            </w:r>
          </w:p>
        </w:tc>
        <w:tc>
          <w:tcPr>
            <w:tcW w:w="10064" w:type="dxa"/>
            <w:tcBorders/>
            <w:vAlign w:val="center"/>
          </w:tcPr>
          <w:p>
            <w:pPr>
              <w:pStyle w:val="TableContents"/>
              <w:bidi w:val="0"/>
              <w:spacing w:lineRule="auto" w:line="285" w:before="0" w:after="0"/>
              <w:jc w:val="left"/>
              <w:rPr>
                <w:rFonts w:ascii="Helvetica" w:hAnsi="Helvetica"/>
                <w:sz w:val="18"/>
              </w:rPr>
            </w:pPr>
            <w:r>
              <w:rPr>
                <w:rFonts w:ascii="Helvetica" w:hAnsi="Helvetica"/>
                <w:sz w:val="18"/>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lineRule="auto" w:line="285"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44"/>
        <w:gridCol w:w="10038"/>
      </w:tblGrid>
      <w:tr>
        <w:trPr/>
        <w:tc>
          <w:tcPr>
            <w:tcW w:w="2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lineRule="auto" w:line="285" w:before="0" w:after="0"/>
              <w:jc w:val="left"/>
              <w:rPr>
                <w:rFonts w:ascii="Helvetica" w:hAnsi="Helvetica"/>
                <w:sz w:val="18"/>
              </w:rPr>
            </w:pPr>
            <w:r>
              <w:rPr>
                <w:rFonts w:ascii="Helvetica" w:hAnsi="Helvetica"/>
                <w:sz w:val="18"/>
              </w:rPr>
              <w:t>a)</w:t>
            </w:r>
          </w:p>
        </w:tc>
        <w:tc>
          <w:tcPr>
            <w:tcW w:w="10038" w:type="dxa"/>
            <w:tcBorders/>
            <w:vAlign w:val="center"/>
          </w:tcPr>
          <w:p>
            <w:pPr>
              <w:pStyle w:val="TableContents"/>
              <w:bidi w:val="0"/>
              <w:spacing w:lineRule="auto" w:line="285" w:before="0" w:after="0"/>
              <w:jc w:val="left"/>
              <w:rPr>
                <w:rFonts w:ascii="Helvetica" w:hAnsi="Helvetica"/>
                <w:sz w:val="18"/>
              </w:rPr>
            </w:pPr>
            <w:r>
              <w:rPr>
                <w:rFonts w:ascii="Helvetica" w:hAnsi="Helvetica"/>
                <w:sz w:val="18"/>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bidi w:val="0"/>
        <w:spacing w:lineRule="auto" w:line="285"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44"/>
        <w:gridCol w:w="10038"/>
      </w:tblGrid>
      <w:tr>
        <w:trPr/>
        <w:tc>
          <w:tcPr>
            <w:tcW w:w="2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lineRule="auto" w:line="285" w:before="0" w:after="0"/>
              <w:jc w:val="left"/>
              <w:rPr>
                <w:rFonts w:ascii="Helvetica" w:hAnsi="Helvetica"/>
                <w:sz w:val="18"/>
              </w:rPr>
            </w:pPr>
            <w:r>
              <w:rPr>
                <w:rFonts w:ascii="Helvetica" w:hAnsi="Helvetica"/>
                <w:sz w:val="18"/>
              </w:rPr>
              <w:t>b)</w:t>
            </w:r>
          </w:p>
        </w:tc>
        <w:tc>
          <w:tcPr>
            <w:tcW w:w="10038" w:type="dxa"/>
            <w:tcBorders/>
            <w:vAlign w:val="center"/>
          </w:tcPr>
          <w:p>
            <w:pPr>
              <w:pStyle w:val="TableContents"/>
              <w:bidi w:val="0"/>
              <w:spacing w:lineRule="auto" w:line="285" w:before="0" w:after="0"/>
              <w:jc w:val="left"/>
              <w:rPr>
                <w:rFonts w:ascii="Helvetica" w:hAnsi="Helvetica"/>
                <w:sz w:val="18"/>
              </w:rPr>
            </w:pPr>
            <w:r>
              <w:rPr>
                <w:rFonts w:ascii="Helvetica" w:hAnsi="Helvetica"/>
                <w:sz w:val="18"/>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spacing w:lineRule="auto" w:line="285"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35"/>
        <w:gridCol w:w="10047"/>
      </w:tblGrid>
      <w:tr>
        <w:trPr/>
        <w:tc>
          <w:tcPr>
            <w:tcW w:w="23"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lineRule="auto" w:line="285" w:before="0" w:after="0"/>
              <w:jc w:val="left"/>
              <w:rPr>
                <w:rFonts w:ascii="Helvetica" w:hAnsi="Helvetica"/>
                <w:sz w:val="18"/>
              </w:rPr>
            </w:pPr>
            <w:r>
              <w:rPr>
                <w:rFonts w:ascii="Helvetica" w:hAnsi="Helvetica"/>
                <w:sz w:val="18"/>
              </w:rPr>
              <w:t>c)</w:t>
            </w:r>
          </w:p>
        </w:tc>
        <w:tc>
          <w:tcPr>
            <w:tcW w:w="10047" w:type="dxa"/>
            <w:tcBorders/>
            <w:vAlign w:val="center"/>
          </w:tcPr>
          <w:p>
            <w:pPr>
              <w:pStyle w:val="TableContents"/>
              <w:bidi w:val="0"/>
              <w:spacing w:lineRule="auto" w:line="285" w:before="0" w:after="0"/>
              <w:jc w:val="left"/>
              <w:rPr>
                <w:rFonts w:ascii="Helvetica" w:hAnsi="Helvetica"/>
                <w:sz w:val="18"/>
              </w:rPr>
            </w:pPr>
            <w:r>
              <w:rPr>
                <w:rFonts w:ascii="Helvetica" w:hAnsi="Helvetica"/>
                <w:sz w:val="18"/>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bidi w:val="0"/>
        <w:spacing w:lineRule="auto" w:line="285"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44"/>
        <w:gridCol w:w="10038"/>
      </w:tblGrid>
      <w:tr>
        <w:trPr/>
        <w:tc>
          <w:tcPr>
            <w:tcW w:w="2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lineRule="auto" w:line="285" w:before="0" w:after="0"/>
              <w:jc w:val="left"/>
              <w:rPr>
                <w:rFonts w:ascii="Helvetica" w:hAnsi="Helvetica"/>
                <w:sz w:val="18"/>
              </w:rPr>
            </w:pPr>
            <w:r>
              <w:rPr>
                <w:rFonts w:ascii="Helvetica" w:hAnsi="Helvetica"/>
                <w:sz w:val="18"/>
              </w:rPr>
              <w:t>d)</w:t>
            </w:r>
          </w:p>
        </w:tc>
        <w:tc>
          <w:tcPr>
            <w:tcW w:w="10038" w:type="dxa"/>
            <w:tcBorders/>
            <w:vAlign w:val="center"/>
          </w:tcPr>
          <w:p>
            <w:pPr>
              <w:pStyle w:val="TableContents"/>
              <w:bidi w:val="0"/>
              <w:spacing w:lineRule="auto" w:line="285" w:before="0" w:after="0"/>
              <w:jc w:val="left"/>
              <w:rPr>
                <w:rFonts w:ascii="Helvetica" w:hAnsi="Helvetica"/>
                <w:sz w:val="18"/>
              </w:rPr>
            </w:pPr>
            <w:r>
              <w:rPr>
                <w:rFonts w:ascii="Helvetica" w:hAnsi="Helvetica"/>
                <w:sz w:val="18"/>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lineRule="auto" w:line="285"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lineRule="auto" w:line="285" w:before="0" w:after="0"/>
              <w:jc w:val="left"/>
              <w:rPr>
                <w:rFonts w:ascii="Helvetica" w:hAnsi="Helvetica"/>
                <w:sz w:val="18"/>
              </w:rPr>
            </w:pPr>
            <w:r>
              <w:rPr>
                <w:rFonts w:ascii="Helvetica" w:hAnsi="Helvetica"/>
                <w:sz w:val="18"/>
              </w:rPr>
              <w:t>5.</w:t>
            </w:r>
          </w:p>
        </w:tc>
        <w:tc>
          <w:tcPr>
            <w:tcW w:w="10061" w:type="dxa"/>
            <w:tcBorders/>
            <w:vAlign w:val="center"/>
          </w:tcPr>
          <w:p>
            <w:pPr>
              <w:pStyle w:val="TableContents"/>
              <w:bidi w:val="0"/>
              <w:spacing w:lineRule="auto" w:line="285" w:before="0" w:after="0"/>
              <w:jc w:val="left"/>
              <w:rPr>
                <w:rFonts w:ascii="Helvetica" w:hAnsi="Helvetica"/>
                <w:sz w:val="18"/>
              </w:rPr>
            </w:pPr>
            <w:r>
              <w:rPr>
                <w:rFonts w:ascii="Helvetica" w:hAnsi="Helvetica"/>
                <w:sz w:val="18"/>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lineRule="auto" w:line="285"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52"/>
        <w:gridCol w:w="10030"/>
      </w:tblGrid>
      <w:tr>
        <w:trPr/>
        <w:tc>
          <w:tcPr>
            <w:tcW w:w="23"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lineRule="auto" w:line="285" w:before="0" w:after="0"/>
              <w:jc w:val="left"/>
              <w:rPr>
                <w:rFonts w:ascii="Helvetica" w:hAnsi="Helvetica"/>
                <w:sz w:val="18"/>
              </w:rPr>
            </w:pPr>
            <w:r>
              <w:rPr>
                <w:rFonts w:ascii="Helvetica" w:hAnsi="Helvetica"/>
                <w:sz w:val="18"/>
              </w:rPr>
              <w:t>a)</w:t>
            </w:r>
          </w:p>
        </w:tc>
        <w:tc>
          <w:tcPr>
            <w:tcW w:w="10030" w:type="dxa"/>
            <w:tcBorders/>
            <w:vAlign w:val="center"/>
          </w:tcPr>
          <w:p>
            <w:pPr>
              <w:pStyle w:val="TableContents"/>
              <w:bidi w:val="0"/>
              <w:spacing w:lineRule="auto" w:line="285" w:before="0" w:after="0"/>
              <w:jc w:val="left"/>
              <w:rPr>
                <w:rFonts w:ascii="Helvetica" w:hAnsi="Helvetica"/>
                <w:sz w:val="18"/>
              </w:rPr>
            </w:pPr>
            <w:r>
              <w:rPr>
                <w:rFonts w:ascii="Helvetica" w:hAnsi="Helvetica"/>
                <w:sz w:val="18"/>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bidi w:val="0"/>
        <w:spacing w:lineRule="auto" w:line="285"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68"/>
        <w:gridCol w:w="10014"/>
      </w:tblGrid>
      <w:tr>
        <w:trPr/>
        <w:tc>
          <w:tcPr>
            <w:tcW w:w="23"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lineRule="auto" w:line="285" w:before="0" w:after="0"/>
              <w:jc w:val="left"/>
              <w:rPr>
                <w:rFonts w:ascii="Helvetica" w:hAnsi="Helvetica"/>
                <w:sz w:val="18"/>
              </w:rPr>
            </w:pPr>
            <w:r>
              <w:rPr>
                <w:rFonts w:ascii="Helvetica" w:hAnsi="Helvetica"/>
                <w:sz w:val="18"/>
              </w:rPr>
              <w:t>b)</w:t>
            </w:r>
          </w:p>
        </w:tc>
        <w:tc>
          <w:tcPr>
            <w:tcW w:w="10014" w:type="dxa"/>
            <w:tcBorders/>
            <w:vAlign w:val="center"/>
          </w:tcPr>
          <w:p>
            <w:pPr>
              <w:pStyle w:val="TableContents"/>
              <w:bidi w:val="0"/>
              <w:spacing w:lineRule="auto" w:line="285" w:before="0" w:after="0"/>
              <w:jc w:val="left"/>
              <w:rPr>
                <w:rFonts w:ascii="Helvetica" w:hAnsi="Helvetica"/>
                <w:sz w:val="18"/>
              </w:rPr>
            </w:pPr>
            <w:r>
              <w:rPr>
                <w:rFonts w:ascii="Helvetica" w:hAnsi="Helvetica"/>
                <w:sz w:val="18"/>
              </w:rPr>
              <w:t>any fraud, whether or not material, that involves management or other employees who have a significant role in the registrant’s internal control over financial reporting.</w:t>
            </w:r>
          </w:p>
        </w:tc>
      </w:tr>
    </w:tbl>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Helvetica" w:hAnsi="Helvetica"/>
          <w:sz w:val="18"/>
        </w:rPr>
      </w:pPr>
      <w:r>
        <w:rPr>
          <w:rFonts w:ascii="Helvetica" w:hAnsi="Helvetica"/>
          <w:sz w:val="18"/>
        </w:rPr>
        <w:t>Date: September 9, 2026</w:t>
      </w:r>
    </w:p>
    <w:p>
      <w:pPr>
        <w:pStyle w:val="TextBody"/>
        <w:bidi w:val="0"/>
        <w:spacing w:lineRule="auto" w:line="285" w:before="0" w:after="0"/>
        <w:ind w:left="0" w:right="0" w:hanging="0"/>
        <w:jc w:val="left"/>
        <w:rPr/>
      </w:pPr>
      <w:r>
        <w:rPr/>
        <w:t>​</w:t>
      </w:r>
    </w:p>
    <w:tbl>
      <w:tblPr>
        <w:tblW w:w="2371" w:type="dxa"/>
        <w:jc w:val="left"/>
        <w:tblInd w:w="0" w:type="dxa"/>
        <w:tblLayout w:type="fixed"/>
        <w:tblCellMar>
          <w:top w:w="0" w:type="dxa"/>
          <w:left w:w="0" w:type="dxa"/>
          <w:bottom w:w="0" w:type="dxa"/>
          <w:right w:w="0" w:type="dxa"/>
        </w:tblCellMar>
      </w:tblPr>
      <w:tblGrid>
        <w:gridCol w:w="2371"/>
      </w:tblGrid>
      <w:tr>
        <w:trPr/>
        <w:tc>
          <w:tcPr>
            <w:tcW w:w="2371" w:type="dxa"/>
            <w:tcBorders/>
            <w:vAlign w:val="center"/>
          </w:tcPr>
          <w:p>
            <w:pPr>
              <w:pStyle w:val="TableContents"/>
              <w:bidi w:val="0"/>
              <w:spacing w:lineRule="auto" w:line="285" w:before="0" w:after="0"/>
              <w:ind w:left="0" w:right="0" w:hanging="0"/>
              <w:jc w:val="left"/>
              <w:rPr>
                <w:color w:val="231F20"/>
              </w:rPr>
            </w:pPr>
            <w:r>
              <w:rPr>
                <w:color w:val="231F20"/>
              </w:rPr>
              <w:t>​</w:t>
            </w:r>
          </w:p>
          <w:p>
            <w:pPr>
              <w:pStyle w:val="TableContents"/>
              <w:bidi w:val="0"/>
              <w:spacing w:lineRule="auto" w:line="285" w:before="0" w:after="0"/>
              <w:ind w:left="0" w:right="0" w:hanging="0"/>
              <w:jc w:val="left"/>
              <w:rPr>
                <w:color w:val="231F20"/>
              </w:rPr>
            </w:pPr>
            <w:r>
              <w:rPr>
                <w:color w:val="231F20"/>
              </w:rPr>
              <w:t>​</w:t>
            </w:r>
          </w:p>
          <w:p>
            <w:pPr>
              <w:pStyle w:val="TableContents"/>
              <w:bidi w:val="0"/>
              <w:spacing w:lineRule="auto" w:line="285" w:before="0" w:after="0"/>
              <w:ind w:left="0" w:right="0" w:hanging="0"/>
              <w:jc w:val="left"/>
              <w:rPr>
                <w:color w:val="231F20"/>
              </w:rPr>
            </w:pPr>
            <w:r>
              <w:rPr>
                <w:color w:val="231F20"/>
              </w:rPr>
              <w:t>​</w:t>
            </w:r>
          </w:p>
        </w:tc>
      </w:tr>
      <w:tr>
        <w:trPr/>
        <w:tc>
          <w:tcPr>
            <w:tcW w:w="2371" w:type="dxa"/>
            <w:tcBorders>
              <w:bottom w:val="single" w:sz="2" w:space="0" w:color="000000"/>
            </w:tcBorders>
            <w:tcMar>
              <w:bottom w:w="28" w:type="dxa"/>
            </w:tcMar>
            <w:vAlign w:val="center"/>
          </w:tcPr>
          <w:p>
            <w:pPr>
              <w:pStyle w:val="TableContents"/>
              <w:bidi w:val="0"/>
              <w:spacing w:lineRule="auto" w:line="304" w:before="0" w:after="0"/>
              <w:ind w:left="0" w:right="0" w:hanging="0"/>
              <w:jc w:val="left"/>
              <w:rPr>
                <w:rFonts w:ascii="Times New Roman;Times;serif" w:hAnsi="Times New Roman;Times;serif"/>
                <w:sz w:val="18"/>
              </w:rPr>
            </w:pPr>
            <w:r>
              <w:rPr>
                <w:rFonts w:ascii="Helvetica" w:hAnsi="Helvetica"/>
                <w:color w:val="231F20"/>
                <w:sz w:val="18"/>
              </w:rPr>
              <w:t xml:space="preserve">/s/ </w:t>
            </w:r>
            <w:r>
              <w:rPr>
                <w:rFonts w:ascii="Helvetica" w:hAnsi="Helvetica"/>
                <w:sz w:val="18"/>
              </w:rPr>
              <w:t>Heather Plutino</w:t>
            </w:r>
          </w:p>
        </w:tc>
      </w:tr>
      <w:tr>
        <w:trPr/>
        <w:tc>
          <w:tcPr>
            <w:tcW w:w="2371" w:type="dxa"/>
            <w:tcBorders/>
            <w:vAlign w:val="center"/>
          </w:tcPr>
          <w:p>
            <w:pPr>
              <w:pStyle w:val="TableContents"/>
              <w:bidi w:val="0"/>
              <w:spacing w:lineRule="auto" w:line="304" w:before="0" w:after="0"/>
              <w:ind w:left="0" w:right="0" w:hanging="0"/>
              <w:jc w:val="left"/>
              <w:rPr>
                <w:rFonts w:ascii="Helvetica" w:hAnsi="Helvetica"/>
                <w:sz w:val="18"/>
              </w:rPr>
            </w:pPr>
            <w:r>
              <w:rPr>
                <w:rFonts w:ascii="Helvetica" w:hAnsi="Helvetica"/>
                <w:sz w:val="18"/>
              </w:rPr>
              <w:t>Heather Plutino</w:t>
            </w:r>
          </w:p>
        </w:tc>
      </w:tr>
      <w:tr>
        <w:trPr/>
        <w:tc>
          <w:tcPr>
            <w:tcW w:w="2371" w:type="dxa"/>
            <w:tcBorders/>
            <w:vAlign w:val="center"/>
          </w:tcPr>
          <w:p>
            <w:pPr>
              <w:pStyle w:val="TableContents"/>
              <w:bidi w:val="0"/>
              <w:spacing w:lineRule="auto" w:line="304" w:before="0" w:after="0"/>
              <w:ind w:left="0" w:right="0" w:hanging="0"/>
              <w:jc w:val="left"/>
              <w:rPr>
                <w:rFonts w:ascii="Helvetica" w:hAnsi="Helvetica"/>
                <w:color w:val="231F20"/>
                <w:sz w:val="18"/>
              </w:rPr>
            </w:pPr>
            <w:r>
              <w:rPr>
                <w:rFonts w:ascii="Helvetica" w:hAnsi="Helvetica"/>
                <w:color w:val="231F20"/>
                <w:sz w:val="18"/>
              </w:rPr>
              <w:t>Chief Financial Officer</w:t>
            </w:r>
          </w:p>
        </w:tc>
      </w:tr>
      <w:tr>
        <w:trPr/>
        <w:tc>
          <w:tcPr>
            <w:tcW w:w="2371" w:type="dxa"/>
            <w:tcBorders/>
            <w:vAlign w:val="center"/>
          </w:tcPr>
          <w:p>
            <w:pPr>
              <w:pStyle w:val="TableContents"/>
              <w:bidi w:val="0"/>
              <w:spacing w:lineRule="auto" w:line="304" w:before="0" w:after="0"/>
              <w:ind w:left="0" w:right="0" w:hanging="0"/>
              <w:jc w:val="left"/>
              <w:rPr>
                <w:rFonts w:ascii="Helvetica" w:hAnsi="Helvetica"/>
                <w:color w:val="231F20"/>
                <w:sz w:val="18"/>
              </w:rPr>
            </w:pPr>
            <w:r>
              <w:rPr>
                <w:rFonts w:ascii="Helvetica" w:hAnsi="Helvetica"/>
                <w:color w:val="231F20"/>
                <w:sz w:val="18"/>
              </w:rPr>
              <w:t>(Principal Financial Officer)</w:t>
            </w:r>
          </w:p>
        </w:tc>
      </w:tr>
    </w:tbl>
    <w:p>
      <w:pPr>
        <w:pStyle w:val="TextBody"/>
        <w:bidi w:val="0"/>
        <w:spacing w:lineRule="auto" w:line="285"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right"/>
        <w:rPr>
          <w:rFonts w:ascii="Helvetica" w:hAnsi="Helvetica"/>
          <w:b/>
          <w:sz w:val="18"/>
        </w:rPr>
      </w:pPr>
      <w:bookmarkStart w:id="989" w:name="ctrn-20260801xex32d1.htm"/>
      <w:bookmarkStart w:id="990" w:name="ksctrn20260801xex32d1"/>
      <w:bookmarkEnd w:id="989"/>
      <w:bookmarkEnd w:id="990"/>
      <w:r>
        <w:rPr>
          <w:rFonts w:ascii="Helvetica" w:hAnsi="Helvetica"/>
          <w:b/>
          <w:sz w:val="18"/>
        </w:rPr>
        <w:t>Exhibit 32.1</w:t>
      </w:r>
      <w:r>
        <w:br w:type="page"/>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Helvetica" w:hAnsi="Helvetica"/>
          <w:sz w:val="18"/>
        </w:rPr>
      </w:pPr>
      <w:r>
        <w:rPr>
          <w:rFonts w:ascii="Helvetica" w:hAnsi="Helvetica"/>
          <w:sz w:val="18"/>
        </w:rPr>
        <w:t>Certifications pursuant to Section 906 of the Sarbanes-Oxley Act of 2002 (18 U.S.C. § 1350, as adopted).</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Helvetica" w:hAnsi="Helvetica"/>
          <w:sz w:val="18"/>
        </w:rPr>
      </w:pPr>
      <w:r>
        <w:rPr>
          <w:rFonts w:ascii="Helvetica" w:hAnsi="Helvetica"/>
          <w:sz w:val="18"/>
        </w:rPr>
        <w:t xml:space="preserve">I, Kenneth D. Seipel, Chief Executive Officer of Citi Trends, Inc., </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Helvetica" w:hAnsi="Helvetica"/>
          <w:sz w:val="18"/>
        </w:rPr>
      </w:pPr>
      <w:r>
        <w:rPr>
          <w:rFonts w:ascii="Helvetica" w:hAnsi="Helvetica"/>
          <w:sz w:val="18"/>
        </w:rPr>
        <w:t>and</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Helvetica" w:hAnsi="Helvetica"/>
          <w:sz w:val="18"/>
        </w:rPr>
      </w:pPr>
      <w:r>
        <w:rPr>
          <w:rFonts w:ascii="Helvetica" w:hAnsi="Helvetica"/>
          <w:sz w:val="18"/>
        </w:rPr>
        <w:t>I, Heather Plutino, Chief Financial Officer of Citi Trends, Inc., certify that:</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Helvetica" w:hAnsi="Helvetica"/>
          <w:sz w:val="18"/>
        </w:rPr>
      </w:pPr>
      <w:r>
        <w:rPr>
          <w:rFonts w:ascii="Helvetica" w:hAnsi="Helvetica"/>
          <w:sz w:val="18"/>
        </w:rPr>
        <w:t>1. We have reviewed this quarterly report on Form 10-Q of Citi Trends, Inc. for the period ended August 1, 2026;</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Helvetica" w:hAnsi="Helvetica"/>
          <w:sz w:val="18"/>
        </w:rPr>
      </w:pPr>
      <w:r>
        <w:rPr>
          <w:rFonts w:ascii="Helvetica" w:hAnsi="Helvetica"/>
          <w:sz w:val="18"/>
        </w:rPr>
        <w:t>2. Based on our knowledge, this quarterly report fully complies with the requirements of Section 13(a) or Section 15(d) of the Securities Exchange Act of 1934, as amended; and</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Helvetica" w:hAnsi="Helvetica"/>
          <w:sz w:val="18"/>
        </w:rPr>
      </w:pPr>
      <w:r>
        <w:rPr>
          <w:rFonts w:ascii="Helvetica" w:hAnsi="Helvetica"/>
          <w:sz w:val="18"/>
        </w:rPr>
        <w:t>3. Based on our knowledge, the financial statements, and other information included in this quarterly report, fairly present in all material respects the financial condition and results of operations of the registrant as of, and for, the periods presented in this quarterly report.</w:t>
      </w:r>
    </w:p>
    <w:p>
      <w:pPr>
        <w:pStyle w:val="TextBody"/>
        <w:bidi w:val="0"/>
        <w:spacing w:lineRule="auto" w:line="285" w:before="0" w:after="0"/>
        <w:ind w:left="0" w:right="0" w:hanging="0"/>
        <w:jc w:val="left"/>
        <w:rPr/>
      </w:pPr>
      <w:r>
        <w:rPr/>
        <w:t>​</w:t>
      </w:r>
    </w:p>
    <w:tbl>
      <w:tblPr>
        <w:tblW w:w="5777" w:type="dxa"/>
        <w:jc w:val="left"/>
        <w:tblInd w:w="0" w:type="dxa"/>
        <w:tblLayout w:type="fixed"/>
        <w:tblCellMar>
          <w:top w:w="0" w:type="dxa"/>
          <w:left w:w="0" w:type="dxa"/>
          <w:bottom w:w="0" w:type="dxa"/>
          <w:right w:w="0" w:type="dxa"/>
        </w:tblCellMar>
      </w:tblPr>
      <w:tblGrid>
        <w:gridCol w:w="2161"/>
        <w:gridCol w:w="3616"/>
      </w:tblGrid>
      <w:tr>
        <w:trPr/>
        <w:tc>
          <w:tcPr>
            <w:tcW w:w="2161" w:type="dxa"/>
            <w:tcBorders/>
            <w:vAlign w:val="center"/>
          </w:tcPr>
          <w:p>
            <w:pPr>
              <w:pStyle w:val="TableContents"/>
              <w:bidi w:val="0"/>
              <w:spacing w:lineRule="auto" w:line="285" w:before="0" w:after="0"/>
              <w:ind w:left="0" w:right="0" w:hanging="0"/>
              <w:jc w:val="left"/>
              <w:rPr>
                <w:color w:val="231F20"/>
              </w:rPr>
            </w:pPr>
            <w:r>
              <w:rPr>
                <w:color w:val="231F20"/>
              </w:rPr>
              <w:t>​</w:t>
            </w:r>
          </w:p>
        </w:tc>
        <w:tc>
          <w:tcPr>
            <w:tcW w:w="3616" w:type="dxa"/>
            <w:tcBorders/>
            <w:vAlign w:val="center"/>
          </w:tcPr>
          <w:p>
            <w:pPr>
              <w:pStyle w:val="TableContents"/>
              <w:bidi w:val="0"/>
              <w:spacing w:lineRule="auto" w:line="285" w:before="0" w:after="0"/>
              <w:ind w:left="0" w:right="0" w:hanging="0"/>
              <w:jc w:val="left"/>
              <w:rPr>
                <w:color w:val="231F20"/>
              </w:rPr>
            </w:pPr>
            <w:r>
              <w:rPr>
                <w:color w:val="231F20"/>
              </w:rPr>
              <w:t>​</w:t>
            </w:r>
          </w:p>
        </w:tc>
      </w:tr>
      <w:tr>
        <w:trPr/>
        <w:tc>
          <w:tcPr>
            <w:tcW w:w="2161" w:type="dxa"/>
            <w:tcBorders/>
            <w:vAlign w:val="center"/>
          </w:tcPr>
          <w:p>
            <w:pPr>
              <w:pStyle w:val="TableContents"/>
              <w:bidi w:val="0"/>
              <w:spacing w:lineRule="auto" w:line="285" w:before="0" w:after="0"/>
              <w:ind w:left="0" w:right="0" w:hanging="0"/>
              <w:jc w:val="left"/>
              <w:rPr>
                <w:color w:val="231F20"/>
              </w:rPr>
            </w:pPr>
            <w:r>
              <w:rPr>
                <w:color w:val="231F20"/>
              </w:rPr>
              <w:t>​</w:t>
            </w:r>
          </w:p>
        </w:tc>
        <w:tc>
          <w:tcPr>
            <w:tcW w:w="3616" w:type="dxa"/>
            <w:tcBorders/>
            <w:vAlign w:val="center"/>
          </w:tcPr>
          <w:p>
            <w:pPr>
              <w:pStyle w:val="TableContents"/>
              <w:bidi w:val="0"/>
              <w:spacing w:lineRule="auto" w:line="285" w:before="0" w:after="0"/>
              <w:ind w:left="0" w:right="0" w:hanging="0"/>
              <w:jc w:val="left"/>
              <w:rPr>
                <w:color w:val="231F20"/>
              </w:rPr>
            </w:pPr>
            <w:r>
              <w:rPr>
                <w:color w:val="231F20"/>
              </w:rPr>
              <w:t>​</w:t>
            </w:r>
          </w:p>
        </w:tc>
      </w:tr>
      <w:tr>
        <w:trPr/>
        <w:tc>
          <w:tcPr>
            <w:tcW w:w="2161" w:type="dxa"/>
            <w:tcBorders/>
            <w:vAlign w:val="center"/>
          </w:tcPr>
          <w:p>
            <w:pPr>
              <w:pStyle w:val="TableContents"/>
              <w:bidi w:val="0"/>
              <w:spacing w:lineRule="auto" w:line="304" w:before="0" w:after="0"/>
              <w:ind w:left="0" w:right="0" w:hanging="0"/>
              <w:jc w:val="left"/>
              <w:rPr>
                <w:rFonts w:ascii="Helvetica" w:hAnsi="Helvetica"/>
                <w:color w:val="231F20"/>
                <w:sz w:val="18"/>
              </w:rPr>
            </w:pPr>
            <w:r>
              <w:rPr>
                <w:rFonts w:ascii="Helvetica" w:hAnsi="Helvetica"/>
                <w:color w:val="231F20"/>
                <w:sz w:val="18"/>
              </w:rPr>
              <w:t>Date: September 9, 2026</w:t>
            </w:r>
          </w:p>
        </w:tc>
        <w:tc>
          <w:tcPr>
            <w:tcW w:w="3616" w:type="dxa"/>
            <w:tcBorders/>
            <w:vAlign w:val="center"/>
          </w:tcPr>
          <w:p>
            <w:pPr>
              <w:pStyle w:val="TableContents"/>
              <w:bidi w:val="0"/>
              <w:spacing w:lineRule="auto" w:line="285" w:before="0" w:after="0"/>
              <w:ind w:left="0" w:right="0" w:hanging="0"/>
              <w:jc w:val="left"/>
              <w:rPr>
                <w:color w:val="231F20"/>
              </w:rPr>
            </w:pPr>
            <w:r>
              <w:rPr>
                <w:color w:val="231F20"/>
              </w:rPr>
              <w:t>​</w:t>
            </w:r>
          </w:p>
        </w:tc>
      </w:tr>
      <w:tr>
        <w:trPr/>
        <w:tc>
          <w:tcPr>
            <w:tcW w:w="2161" w:type="dxa"/>
            <w:tcBorders/>
            <w:vAlign w:val="center"/>
          </w:tcPr>
          <w:p>
            <w:pPr>
              <w:pStyle w:val="TableContents"/>
              <w:bidi w:val="0"/>
              <w:spacing w:lineRule="auto" w:line="285" w:before="0" w:after="0"/>
              <w:ind w:left="0" w:right="0" w:hanging="0"/>
              <w:jc w:val="left"/>
              <w:rPr>
                <w:color w:val="231F20"/>
              </w:rPr>
            </w:pPr>
            <w:r>
              <w:rPr>
                <w:color w:val="231F20"/>
              </w:rPr>
              <w:t>​</w:t>
            </w:r>
          </w:p>
        </w:tc>
        <w:tc>
          <w:tcPr>
            <w:tcW w:w="3616" w:type="dxa"/>
            <w:tcBorders/>
            <w:vAlign w:val="center"/>
          </w:tcPr>
          <w:p>
            <w:pPr>
              <w:pStyle w:val="TableContents"/>
              <w:bidi w:val="0"/>
              <w:spacing w:lineRule="auto" w:line="285" w:before="0" w:after="0"/>
              <w:ind w:left="0" w:right="0" w:hanging="0"/>
              <w:jc w:val="left"/>
              <w:rPr>
                <w:color w:val="231F20"/>
              </w:rPr>
            </w:pPr>
            <w:r>
              <w:rPr>
                <w:color w:val="231F20"/>
              </w:rPr>
              <w:t>​</w:t>
            </w:r>
          </w:p>
        </w:tc>
      </w:tr>
      <w:tr>
        <w:trPr/>
        <w:tc>
          <w:tcPr>
            <w:tcW w:w="2161" w:type="dxa"/>
            <w:tcBorders/>
            <w:vAlign w:val="center"/>
          </w:tcPr>
          <w:p>
            <w:pPr>
              <w:pStyle w:val="TableContents"/>
              <w:bidi w:val="0"/>
              <w:spacing w:lineRule="auto" w:line="285" w:before="0" w:after="0"/>
              <w:ind w:left="0" w:right="0" w:hanging="0"/>
              <w:jc w:val="left"/>
              <w:rPr>
                <w:color w:val="231F20"/>
              </w:rPr>
            </w:pPr>
            <w:r>
              <w:rPr>
                <w:color w:val="231F20"/>
              </w:rPr>
              <w:t>​</w:t>
            </w:r>
          </w:p>
        </w:tc>
        <w:tc>
          <w:tcPr>
            <w:tcW w:w="3616" w:type="dxa"/>
            <w:tcBorders/>
            <w:vAlign w:val="center"/>
          </w:tcPr>
          <w:p>
            <w:pPr>
              <w:pStyle w:val="TableContents"/>
              <w:bidi w:val="0"/>
              <w:spacing w:lineRule="auto" w:line="285" w:before="0" w:after="0"/>
              <w:ind w:left="0" w:right="0" w:hanging="0"/>
              <w:jc w:val="left"/>
              <w:rPr>
                <w:color w:val="231F20"/>
              </w:rPr>
            </w:pPr>
            <w:r>
              <w:rPr>
                <w:color w:val="231F20"/>
              </w:rPr>
              <w:t>​</w:t>
            </w:r>
          </w:p>
        </w:tc>
      </w:tr>
      <w:tr>
        <w:trPr/>
        <w:tc>
          <w:tcPr>
            <w:tcW w:w="2161" w:type="dxa"/>
            <w:tcBorders/>
            <w:vAlign w:val="center"/>
          </w:tcPr>
          <w:p>
            <w:pPr>
              <w:pStyle w:val="TableContents"/>
              <w:bidi w:val="0"/>
              <w:spacing w:lineRule="auto" w:line="285" w:before="0" w:after="0"/>
              <w:ind w:left="0" w:right="0" w:hanging="0"/>
              <w:jc w:val="left"/>
              <w:rPr>
                <w:color w:val="231F20"/>
              </w:rPr>
            </w:pPr>
            <w:r>
              <w:rPr>
                <w:color w:val="231F20"/>
              </w:rPr>
              <w:t>​</w:t>
            </w:r>
          </w:p>
        </w:tc>
        <w:tc>
          <w:tcPr>
            <w:tcW w:w="3616" w:type="dxa"/>
            <w:tcBorders>
              <w:bottom w:val="single" w:sz="2" w:space="0" w:color="000000"/>
            </w:tcBorders>
            <w:tcMar>
              <w:bottom w:w="28" w:type="dxa"/>
            </w:tcMar>
            <w:vAlign w:val="center"/>
          </w:tcPr>
          <w:p>
            <w:pPr>
              <w:pStyle w:val="TableContents"/>
              <w:bidi w:val="0"/>
              <w:spacing w:lineRule="auto" w:line="304" w:before="0" w:after="0"/>
              <w:ind w:left="0" w:right="0" w:hanging="0"/>
              <w:jc w:val="left"/>
              <w:rPr>
                <w:rFonts w:ascii="Times New Roman;Times;serif" w:hAnsi="Times New Roman;Times;serif"/>
                <w:sz w:val="18"/>
              </w:rPr>
            </w:pPr>
            <w:r>
              <w:rPr>
                <w:rFonts w:ascii="Helvetica" w:hAnsi="Helvetica"/>
                <w:color w:val="231F20"/>
                <w:sz w:val="18"/>
              </w:rPr>
              <w:t xml:space="preserve">/s/ </w:t>
            </w:r>
            <w:r>
              <w:rPr>
                <w:rFonts w:ascii="Helvetica" w:hAnsi="Helvetica"/>
                <w:sz w:val="18"/>
              </w:rPr>
              <w:t>Kenneth D. Seipel</w:t>
            </w:r>
          </w:p>
        </w:tc>
      </w:tr>
      <w:tr>
        <w:trPr/>
        <w:tc>
          <w:tcPr>
            <w:tcW w:w="2161" w:type="dxa"/>
            <w:tcBorders/>
            <w:vAlign w:val="center"/>
          </w:tcPr>
          <w:p>
            <w:pPr>
              <w:pStyle w:val="TableContents"/>
              <w:bidi w:val="0"/>
              <w:spacing w:lineRule="auto" w:line="285" w:before="0" w:after="0"/>
              <w:ind w:left="0" w:right="0" w:hanging="0"/>
              <w:jc w:val="left"/>
              <w:rPr>
                <w:color w:val="231F20"/>
              </w:rPr>
            </w:pPr>
            <w:r>
              <w:rPr>
                <w:color w:val="231F20"/>
              </w:rPr>
              <w:t>​</w:t>
            </w:r>
          </w:p>
        </w:tc>
        <w:tc>
          <w:tcPr>
            <w:tcW w:w="3616" w:type="dxa"/>
            <w:tcBorders/>
            <w:vAlign w:val="center"/>
          </w:tcPr>
          <w:p>
            <w:pPr>
              <w:pStyle w:val="TableContents"/>
              <w:bidi w:val="0"/>
              <w:spacing w:lineRule="auto" w:line="304" w:before="0" w:after="0"/>
              <w:ind w:left="0" w:right="0" w:hanging="0"/>
              <w:jc w:val="left"/>
              <w:rPr>
                <w:rFonts w:ascii="Helvetica" w:hAnsi="Helvetica"/>
                <w:sz w:val="18"/>
              </w:rPr>
            </w:pPr>
            <w:r>
              <w:rPr>
                <w:rFonts w:ascii="Helvetica" w:hAnsi="Helvetica"/>
                <w:sz w:val="18"/>
              </w:rPr>
              <w:t>Kenneth D. Seipel</w:t>
            </w:r>
          </w:p>
        </w:tc>
      </w:tr>
      <w:tr>
        <w:trPr/>
        <w:tc>
          <w:tcPr>
            <w:tcW w:w="2161" w:type="dxa"/>
            <w:tcBorders/>
            <w:vAlign w:val="center"/>
          </w:tcPr>
          <w:p>
            <w:pPr>
              <w:pStyle w:val="TableContents"/>
              <w:bidi w:val="0"/>
              <w:spacing w:lineRule="auto" w:line="285" w:before="0" w:after="0"/>
              <w:ind w:left="0" w:right="0" w:hanging="0"/>
              <w:jc w:val="left"/>
              <w:rPr>
                <w:color w:val="231F20"/>
              </w:rPr>
            </w:pPr>
            <w:r>
              <w:rPr>
                <w:color w:val="231F20"/>
              </w:rPr>
              <w:t>​</w:t>
            </w:r>
          </w:p>
        </w:tc>
        <w:tc>
          <w:tcPr>
            <w:tcW w:w="3616" w:type="dxa"/>
            <w:tcBorders/>
            <w:vAlign w:val="center"/>
          </w:tcPr>
          <w:p>
            <w:pPr>
              <w:pStyle w:val="TableContents"/>
              <w:bidi w:val="0"/>
              <w:spacing w:lineRule="auto" w:line="304" w:before="0" w:after="0"/>
              <w:ind w:left="0" w:right="0" w:hanging="0"/>
              <w:jc w:val="left"/>
              <w:rPr>
                <w:rFonts w:ascii="Helvetica" w:hAnsi="Helvetica"/>
                <w:color w:val="231F20"/>
                <w:sz w:val="18"/>
              </w:rPr>
            </w:pPr>
            <w:r>
              <w:rPr>
                <w:rFonts w:ascii="Helvetica" w:hAnsi="Helvetica"/>
                <w:color w:val="231F20"/>
                <w:sz w:val="18"/>
              </w:rPr>
              <w:t>Chief Executive Officer</w:t>
            </w:r>
          </w:p>
        </w:tc>
      </w:tr>
      <w:tr>
        <w:trPr/>
        <w:tc>
          <w:tcPr>
            <w:tcW w:w="2161" w:type="dxa"/>
            <w:tcBorders/>
            <w:vAlign w:val="center"/>
          </w:tcPr>
          <w:p>
            <w:pPr>
              <w:pStyle w:val="TableContents"/>
              <w:bidi w:val="0"/>
              <w:spacing w:lineRule="auto" w:line="285" w:before="0" w:after="0"/>
              <w:ind w:left="0" w:right="0" w:hanging="0"/>
              <w:jc w:val="left"/>
              <w:rPr>
                <w:color w:val="231F20"/>
              </w:rPr>
            </w:pPr>
            <w:r>
              <w:rPr>
                <w:color w:val="231F20"/>
              </w:rPr>
              <w:t>​</w:t>
            </w:r>
          </w:p>
        </w:tc>
        <w:tc>
          <w:tcPr>
            <w:tcW w:w="3616" w:type="dxa"/>
            <w:tcBorders/>
            <w:vAlign w:val="center"/>
          </w:tcPr>
          <w:p>
            <w:pPr>
              <w:pStyle w:val="TableContents"/>
              <w:bidi w:val="0"/>
              <w:spacing w:lineRule="auto" w:line="304" w:before="0" w:after="0"/>
              <w:ind w:left="0" w:right="0" w:hanging="0"/>
              <w:jc w:val="left"/>
              <w:rPr>
                <w:rFonts w:ascii="Helvetica" w:hAnsi="Helvetica"/>
                <w:color w:val="231F20"/>
                <w:sz w:val="18"/>
              </w:rPr>
            </w:pPr>
            <w:r>
              <w:rPr>
                <w:rFonts w:ascii="Helvetica" w:hAnsi="Helvetica"/>
                <w:color w:val="231F20"/>
                <w:sz w:val="18"/>
              </w:rPr>
              <w:t>(Principal Executive Officer) and Chairman</w:t>
            </w:r>
          </w:p>
        </w:tc>
      </w:tr>
      <w:tr>
        <w:trPr/>
        <w:tc>
          <w:tcPr>
            <w:tcW w:w="2161" w:type="dxa"/>
            <w:tcBorders/>
            <w:vAlign w:val="center"/>
          </w:tcPr>
          <w:p>
            <w:pPr>
              <w:pStyle w:val="TableContents"/>
              <w:bidi w:val="0"/>
              <w:spacing w:lineRule="auto" w:line="285" w:before="0" w:after="0"/>
              <w:ind w:left="0" w:right="0" w:hanging="0"/>
              <w:jc w:val="left"/>
              <w:rPr>
                <w:color w:val="231F20"/>
              </w:rPr>
            </w:pPr>
            <w:r>
              <w:rPr>
                <w:color w:val="231F20"/>
              </w:rPr>
              <w:t>​</w:t>
            </w:r>
          </w:p>
        </w:tc>
        <w:tc>
          <w:tcPr>
            <w:tcW w:w="3616" w:type="dxa"/>
            <w:tcBorders/>
            <w:vAlign w:val="center"/>
          </w:tcPr>
          <w:p>
            <w:pPr>
              <w:pStyle w:val="TableContents"/>
              <w:bidi w:val="0"/>
              <w:spacing w:lineRule="auto" w:line="285" w:before="0" w:after="0"/>
              <w:ind w:left="0" w:right="0" w:hanging="0"/>
              <w:jc w:val="left"/>
              <w:rPr>
                <w:color w:val="231F20"/>
              </w:rPr>
            </w:pPr>
            <w:r>
              <w:rPr>
                <w:color w:val="231F20"/>
              </w:rPr>
              <w:t>​</w:t>
            </w:r>
          </w:p>
        </w:tc>
      </w:tr>
      <w:tr>
        <w:trPr/>
        <w:tc>
          <w:tcPr>
            <w:tcW w:w="2161" w:type="dxa"/>
            <w:tcBorders/>
            <w:vAlign w:val="center"/>
          </w:tcPr>
          <w:p>
            <w:pPr>
              <w:pStyle w:val="TableContents"/>
              <w:bidi w:val="0"/>
              <w:spacing w:lineRule="auto" w:line="304" w:before="0" w:after="0"/>
              <w:ind w:left="0" w:right="0" w:hanging="0"/>
              <w:jc w:val="left"/>
              <w:rPr>
                <w:rFonts w:ascii="Helvetica" w:hAnsi="Helvetica"/>
                <w:color w:val="231F20"/>
                <w:sz w:val="18"/>
              </w:rPr>
            </w:pPr>
            <w:r>
              <w:rPr>
                <w:rFonts w:ascii="Helvetica" w:hAnsi="Helvetica"/>
                <w:color w:val="231F20"/>
                <w:sz w:val="18"/>
              </w:rPr>
              <w:t>Date: September 9, 2026</w:t>
            </w:r>
          </w:p>
        </w:tc>
        <w:tc>
          <w:tcPr>
            <w:tcW w:w="3616" w:type="dxa"/>
            <w:tcBorders/>
            <w:vAlign w:val="center"/>
          </w:tcPr>
          <w:p>
            <w:pPr>
              <w:pStyle w:val="TableContents"/>
              <w:bidi w:val="0"/>
              <w:spacing w:lineRule="auto" w:line="285" w:before="0" w:after="0"/>
              <w:ind w:left="0" w:right="0" w:hanging="0"/>
              <w:jc w:val="left"/>
              <w:rPr>
                <w:color w:val="231F20"/>
              </w:rPr>
            </w:pPr>
            <w:r>
              <w:rPr>
                <w:color w:val="231F20"/>
              </w:rPr>
              <w:t>​</w:t>
            </w:r>
          </w:p>
        </w:tc>
      </w:tr>
      <w:tr>
        <w:trPr/>
        <w:tc>
          <w:tcPr>
            <w:tcW w:w="2161" w:type="dxa"/>
            <w:tcBorders/>
            <w:vAlign w:val="center"/>
          </w:tcPr>
          <w:p>
            <w:pPr>
              <w:pStyle w:val="TableContents"/>
              <w:bidi w:val="0"/>
              <w:spacing w:lineRule="auto" w:line="285" w:before="0" w:after="0"/>
              <w:ind w:left="0" w:right="0" w:hanging="0"/>
              <w:jc w:val="left"/>
              <w:rPr>
                <w:color w:val="231F20"/>
              </w:rPr>
            </w:pPr>
            <w:r>
              <w:rPr>
                <w:color w:val="231F20"/>
              </w:rPr>
              <w:t>​</w:t>
            </w:r>
          </w:p>
        </w:tc>
        <w:tc>
          <w:tcPr>
            <w:tcW w:w="3616" w:type="dxa"/>
            <w:tcBorders/>
            <w:vAlign w:val="center"/>
          </w:tcPr>
          <w:p>
            <w:pPr>
              <w:pStyle w:val="TableContents"/>
              <w:bidi w:val="0"/>
              <w:spacing w:lineRule="auto" w:line="285" w:before="0" w:after="0"/>
              <w:ind w:left="0" w:right="0" w:hanging="0"/>
              <w:jc w:val="left"/>
              <w:rPr>
                <w:color w:val="231F20"/>
              </w:rPr>
            </w:pPr>
            <w:r>
              <w:rPr>
                <w:color w:val="231F20"/>
              </w:rPr>
              <w:t>​</w:t>
            </w:r>
          </w:p>
        </w:tc>
      </w:tr>
      <w:tr>
        <w:trPr/>
        <w:tc>
          <w:tcPr>
            <w:tcW w:w="2161" w:type="dxa"/>
            <w:tcBorders/>
            <w:vAlign w:val="center"/>
          </w:tcPr>
          <w:p>
            <w:pPr>
              <w:pStyle w:val="TableContents"/>
              <w:bidi w:val="0"/>
              <w:spacing w:lineRule="auto" w:line="285" w:before="0" w:after="0"/>
              <w:ind w:left="0" w:right="0" w:hanging="0"/>
              <w:jc w:val="left"/>
              <w:rPr>
                <w:color w:val="231F20"/>
              </w:rPr>
            </w:pPr>
            <w:r>
              <w:rPr>
                <w:color w:val="231F20"/>
              </w:rPr>
              <w:t>​</w:t>
            </w:r>
          </w:p>
        </w:tc>
        <w:tc>
          <w:tcPr>
            <w:tcW w:w="3616" w:type="dxa"/>
            <w:tcBorders/>
            <w:vAlign w:val="center"/>
          </w:tcPr>
          <w:p>
            <w:pPr>
              <w:pStyle w:val="TableContents"/>
              <w:bidi w:val="0"/>
              <w:spacing w:lineRule="auto" w:line="285" w:before="0" w:after="0"/>
              <w:ind w:left="0" w:right="0" w:hanging="0"/>
              <w:jc w:val="left"/>
              <w:rPr>
                <w:color w:val="231F20"/>
              </w:rPr>
            </w:pPr>
            <w:r>
              <w:rPr>
                <w:color w:val="231F20"/>
              </w:rPr>
              <w:t>​</w:t>
            </w:r>
          </w:p>
        </w:tc>
      </w:tr>
      <w:tr>
        <w:trPr/>
        <w:tc>
          <w:tcPr>
            <w:tcW w:w="2161" w:type="dxa"/>
            <w:tcBorders/>
            <w:vAlign w:val="center"/>
          </w:tcPr>
          <w:p>
            <w:pPr>
              <w:pStyle w:val="TableContents"/>
              <w:bidi w:val="0"/>
              <w:spacing w:lineRule="auto" w:line="285" w:before="0" w:after="0"/>
              <w:ind w:left="0" w:right="0" w:hanging="0"/>
              <w:jc w:val="left"/>
              <w:rPr>
                <w:color w:val="231F20"/>
              </w:rPr>
            </w:pPr>
            <w:r>
              <w:rPr>
                <w:color w:val="231F20"/>
              </w:rPr>
              <w:t>​</w:t>
            </w:r>
          </w:p>
        </w:tc>
        <w:tc>
          <w:tcPr>
            <w:tcW w:w="3616" w:type="dxa"/>
            <w:tcBorders>
              <w:bottom w:val="single" w:sz="2" w:space="0" w:color="000000"/>
            </w:tcBorders>
            <w:tcMar>
              <w:bottom w:w="28" w:type="dxa"/>
            </w:tcMar>
            <w:vAlign w:val="center"/>
          </w:tcPr>
          <w:p>
            <w:pPr>
              <w:pStyle w:val="TableContents"/>
              <w:bidi w:val="0"/>
              <w:spacing w:lineRule="auto" w:line="304" w:before="0" w:after="0"/>
              <w:ind w:left="0" w:right="0" w:hanging="0"/>
              <w:jc w:val="left"/>
              <w:rPr>
                <w:rFonts w:ascii="Times New Roman;Times;serif" w:hAnsi="Times New Roman;Times;serif"/>
                <w:sz w:val="18"/>
              </w:rPr>
            </w:pPr>
            <w:r>
              <w:rPr>
                <w:rFonts w:ascii="Helvetica" w:hAnsi="Helvetica"/>
                <w:color w:val="231F20"/>
                <w:sz w:val="18"/>
              </w:rPr>
              <w:t xml:space="preserve">/s/ </w:t>
            </w:r>
            <w:r>
              <w:rPr>
                <w:rFonts w:ascii="Helvetica" w:hAnsi="Helvetica"/>
                <w:sz w:val="18"/>
              </w:rPr>
              <w:t>Heather Plutino</w:t>
            </w:r>
          </w:p>
        </w:tc>
      </w:tr>
      <w:tr>
        <w:trPr/>
        <w:tc>
          <w:tcPr>
            <w:tcW w:w="2161" w:type="dxa"/>
            <w:tcBorders/>
            <w:vAlign w:val="center"/>
          </w:tcPr>
          <w:p>
            <w:pPr>
              <w:pStyle w:val="TableContents"/>
              <w:bidi w:val="0"/>
              <w:spacing w:lineRule="auto" w:line="285" w:before="0" w:after="0"/>
              <w:ind w:left="0" w:right="0" w:hanging="0"/>
              <w:jc w:val="left"/>
              <w:rPr>
                <w:color w:val="231F20"/>
              </w:rPr>
            </w:pPr>
            <w:r>
              <w:rPr>
                <w:color w:val="231F20"/>
              </w:rPr>
              <w:t>​</w:t>
            </w:r>
          </w:p>
        </w:tc>
        <w:tc>
          <w:tcPr>
            <w:tcW w:w="3616" w:type="dxa"/>
            <w:tcBorders/>
            <w:vAlign w:val="center"/>
          </w:tcPr>
          <w:p>
            <w:pPr>
              <w:pStyle w:val="TableContents"/>
              <w:bidi w:val="0"/>
              <w:spacing w:lineRule="auto" w:line="304" w:before="0" w:after="0"/>
              <w:ind w:left="0" w:right="0" w:hanging="0"/>
              <w:jc w:val="left"/>
              <w:rPr>
                <w:rFonts w:ascii="Helvetica" w:hAnsi="Helvetica"/>
                <w:sz w:val="18"/>
              </w:rPr>
            </w:pPr>
            <w:r>
              <w:rPr>
                <w:rFonts w:ascii="Helvetica" w:hAnsi="Helvetica"/>
                <w:sz w:val="18"/>
              </w:rPr>
              <w:t>Heather Plutino</w:t>
            </w:r>
          </w:p>
        </w:tc>
      </w:tr>
      <w:tr>
        <w:trPr/>
        <w:tc>
          <w:tcPr>
            <w:tcW w:w="2161" w:type="dxa"/>
            <w:tcBorders/>
            <w:vAlign w:val="center"/>
          </w:tcPr>
          <w:p>
            <w:pPr>
              <w:pStyle w:val="TableContents"/>
              <w:bidi w:val="0"/>
              <w:spacing w:lineRule="auto" w:line="285" w:before="0" w:after="0"/>
              <w:ind w:left="0" w:right="0" w:hanging="0"/>
              <w:jc w:val="left"/>
              <w:rPr>
                <w:color w:val="231F20"/>
              </w:rPr>
            </w:pPr>
            <w:r>
              <w:rPr>
                <w:color w:val="231F20"/>
              </w:rPr>
              <w:t>​</w:t>
            </w:r>
          </w:p>
        </w:tc>
        <w:tc>
          <w:tcPr>
            <w:tcW w:w="3616" w:type="dxa"/>
            <w:tcBorders/>
            <w:vAlign w:val="center"/>
          </w:tcPr>
          <w:p>
            <w:pPr>
              <w:pStyle w:val="TableContents"/>
              <w:bidi w:val="0"/>
              <w:spacing w:lineRule="auto" w:line="304" w:before="0" w:after="0"/>
              <w:ind w:left="0" w:right="0" w:hanging="0"/>
              <w:jc w:val="left"/>
              <w:rPr>
                <w:rFonts w:ascii="Helvetica" w:hAnsi="Helvetica"/>
                <w:color w:val="231F20"/>
                <w:sz w:val="18"/>
              </w:rPr>
            </w:pPr>
            <w:r>
              <w:rPr>
                <w:rFonts w:ascii="Helvetica" w:hAnsi="Helvetica"/>
                <w:color w:val="231F20"/>
                <w:sz w:val="18"/>
              </w:rPr>
              <w:t>Chief Financial Officer</w:t>
            </w:r>
          </w:p>
        </w:tc>
      </w:tr>
      <w:tr>
        <w:trPr/>
        <w:tc>
          <w:tcPr>
            <w:tcW w:w="2161" w:type="dxa"/>
            <w:tcBorders/>
            <w:vAlign w:val="center"/>
          </w:tcPr>
          <w:p>
            <w:pPr>
              <w:pStyle w:val="TableContents"/>
              <w:bidi w:val="0"/>
              <w:spacing w:lineRule="auto" w:line="285" w:before="0" w:after="0"/>
              <w:ind w:left="0" w:right="0" w:hanging="0"/>
              <w:jc w:val="left"/>
              <w:rPr>
                <w:color w:val="231F20"/>
              </w:rPr>
            </w:pPr>
            <w:r>
              <w:rPr>
                <w:color w:val="231F20"/>
              </w:rPr>
              <w:t>​</w:t>
            </w:r>
          </w:p>
        </w:tc>
        <w:tc>
          <w:tcPr>
            <w:tcW w:w="3616" w:type="dxa"/>
            <w:tcBorders/>
            <w:vAlign w:val="center"/>
          </w:tcPr>
          <w:p>
            <w:pPr>
              <w:pStyle w:val="TableContents"/>
              <w:bidi w:val="0"/>
              <w:spacing w:lineRule="auto" w:line="304" w:before="0" w:after="0"/>
              <w:ind w:left="0" w:right="0" w:hanging="0"/>
              <w:jc w:val="left"/>
              <w:rPr>
                <w:rFonts w:ascii="Helvetica" w:hAnsi="Helvetica"/>
                <w:color w:val="231F20"/>
                <w:sz w:val="18"/>
              </w:rPr>
            </w:pPr>
            <w:r>
              <w:rPr>
                <w:rFonts w:ascii="Helvetica" w:hAnsi="Helvetica"/>
                <w:color w:val="231F20"/>
                <w:sz w:val="18"/>
              </w:rPr>
              <w:t>(Principal Financial Officer)</w:t>
            </w:r>
          </w:p>
        </w:tc>
      </w:tr>
    </w:tbl>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Helvetica" w:hAnsi="Helvetica"/>
          <w:sz w:val="18"/>
        </w:rPr>
      </w:pPr>
      <w:r>
        <w:rPr>
          <w:rFonts w:ascii="Helvetica" w:hAnsi="Helvetica"/>
          <w:sz w:val="18"/>
        </w:rPr>
        <w:t>A signed original of this written statement required by Section 906 has been provided to Citi Trends, Inc. and will be retained by Citi Trends, Inc. and furnished to the Securities and Exchange Commission or its staff upon request.</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Helvetica">
    <w:altName w:val="Arial"/>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1318484/000110465918038871/a18-15022_1ex3d1.htm" TargetMode="External"/><Relationship Id="rId3" Type="http://schemas.openxmlformats.org/officeDocument/2006/relationships/hyperlink" Target="https://www.sec.gov/Archives/edgar/data/1318484/000110465922113020/tm2229093d1_ex3-2.htm" TargetMode="Externa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10153</Words>
  <Characters>56526</Characters>
  <CharactersWithSpaces>67476</CharactersWithSpaces>
  <Paragraphs>3084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