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17779d1_8k.htm"/>
      <w:bookmarkStart w:id="1" w:name="kstm2617779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610__20"/>
      <w:bookmarkEnd w:id="2"/>
      <w:r>
        <w:rPr>
          <w:rFonts w:ascii="Times New Roman;Times;Serif" w:hAnsi="Times New Roman;Times;Serif"/>
          <w:b/>
          <w:i w:val="false"/>
          <w:caps w:val="false"/>
          <w:smallCaps w:val="false"/>
          <w:sz w:val="36"/>
        </w:rPr>
        <w:t>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June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Citi Trends,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9075" w:type="dxa"/>
        <w:jc w:val="left"/>
        <w:tblInd w:w="0" w:type="dxa"/>
        <w:tblLayout w:type="fixed"/>
        <w:tblCellMar>
          <w:top w:w="0" w:type="dxa"/>
          <w:left w:w="0" w:type="dxa"/>
          <w:bottom w:w="0" w:type="dxa"/>
          <w:right w:w="0" w:type="dxa"/>
        </w:tblCellMar>
      </w:tblPr>
      <w:tblGrid>
        <w:gridCol w:w="3770"/>
        <w:gridCol w:w="60"/>
        <w:gridCol w:w="2300"/>
        <w:gridCol w:w="60"/>
        <w:gridCol w:w="2885"/>
      </w:tblGrid>
      <w:tr>
        <w:trPr/>
        <w:tc>
          <w:tcPr>
            <w:tcW w:w="3770" w:type="dxa"/>
            <w:tcBorders/>
            <w:vAlign w:val="center"/>
          </w:tcPr>
          <w:p>
            <w:pPr>
              <w:pStyle w:val="TableContents"/>
              <w:bidi w:val="0"/>
              <w:spacing w:before="0" w:after="283"/>
              <w:jc w:val="center"/>
              <w:rPr>
                <w:b/>
                <w:sz w:val="20"/>
              </w:rPr>
            </w:pPr>
            <w:bookmarkStart w:id="5" w:name="xdx_906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b/>
                <w:sz w:val="20"/>
              </w:rPr>
            </w:pPr>
            <w:bookmarkStart w:id="6" w:name="xdx_909_edei--EntityFileNumber_c20260610"/>
            <w:bookmarkEnd w:id="6"/>
            <w:r>
              <w:rPr>
                <w:b/>
                <w:sz w:val="20"/>
              </w:rPr>
              <w:t>001-41886</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b/>
                <w:sz w:val="20"/>
              </w:rPr>
            </w:pPr>
            <w:bookmarkStart w:id="7" w:name="xdx_90A_edei--EntityTaxIdentificationNum"/>
            <w:bookmarkEnd w:id="7"/>
            <w:r>
              <w:rPr>
                <w:b/>
                <w:sz w:val="20"/>
              </w:rPr>
              <w:t>52-2150697</w:t>
            </w:r>
          </w:p>
        </w:tc>
      </w:tr>
      <w:tr>
        <w:trPr/>
        <w:tc>
          <w:tcPr>
            <w:tcW w:w="37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bl>
    <w:p>
      <w:pPr>
        <w:pStyle w:val="TextBody"/>
        <w:bidi w:val="0"/>
        <w:spacing w:before="0" w:after="0"/>
        <w:jc w:val="center"/>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435"/>
        <w:gridCol w:w="60"/>
        <w:gridCol w:w="935"/>
      </w:tblGrid>
      <w:tr>
        <w:trPr/>
        <w:tc>
          <w:tcPr>
            <w:tcW w:w="5435" w:type="dxa"/>
            <w:tcBorders/>
            <w:vAlign w:val="center"/>
          </w:tcPr>
          <w:p>
            <w:pPr>
              <w:pStyle w:val="TableContents"/>
              <w:bidi w:val="0"/>
              <w:spacing w:before="0" w:after="283"/>
              <w:jc w:val="center"/>
              <w:rPr>
                <w:b/>
                <w:sz w:val="20"/>
              </w:rPr>
            </w:pPr>
            <w:bookmarkStart w:id="8" w:name="xdx_90B_edei--EntityAddressAddressLine1_"/>
            <w:bookmarkEnd w:id="8"/>
            <w:r>
              <w:rPr>
                <w:b/>
                <w:sz w:val="20"/>
              </w:rPr>
              <w:t xml:space="preserve">17 Park of Commerce Boulevard, </w:t>
            </w:r>
            <w:bookmarkStart w:id="9" w:name="xdx_90E_edei--EntityAddressAddressLine2_"/>
            <w:bookmarkEnd w:id="9"/>
            <w:r>
              <w:rPr>
                <w:b/>
                <w:sz w:val="20"/>
              </w:rPr>
              <w:t>Suite 200, </w:t>
            </w:r>
            <w:bookmarkStart w:id="10" w:name="xdx_903_edei--EntityAddressCityOrTown_c2"/>
            <w:bookmarkEnd w:id="10"/>
            <w:r>
              <w:rPr>
                <w:b/>
                <w:sz w:val="20"/>
              </w:rPr>
              <w:t xml:space="preserve">Savannah, </w:t>
            </w:r>
            <w:bookmarkStart w:id="11" w:name="xdx_901_edei--EntityAddressStateOrProvin"/>
            <w:bookmarkEnd w:id="11"/>
            <w:r>
              <w:rPr>
                <w:b/>
                <w:sz w:val="20"/>
              </w:rPr>
              <w:t>Georgia</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31405</w:t>
            </w:r>
          </w:p>
        </w:tc>
      </w:tr>
      <w:tr>
        <w:trPr/>
        <w:tc>
          <w:tcPr>
            <w:tcW w:w="54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bookmarkStart w:id="13" w:name="xdx_905_edei--CityAreaCode_c20260610__20"/>
      <w:bookmarkEnd w:id="13"/>
      <w:r>
        <w:rPr>
          <w:rFonts w:ascii="Times New Roman;Times;Serif" w:hAnsi="Times New Roman;Times;Serif"/>
          <w:b/>
          <w:i w:val="false"/>
          <w:caps w:val="false"/>
          <w:smallCaps w:val="false"/>
          <w:sz w:val="20"/>
        </w:rPr>
        <w:t xml:space="preserve">912) </w:t>
      </w:r>
      <w:bookmarkStart w:id="14" w:name="xdx_90F_edei--LocalPhoneNumber_c20260610"/>
      <w:bookmarkEnd w:id="14"/>
      <w:r>
        <w:rPr>
          <w:rFonts w:ascii="Times New Roman;Times;Serif" w:hAnsi="Times New Roman;Times;Serif"/>
          <w:b/>
          <w:i w:val="false"/>
          <w:caps w:val="false"/>
          <w:smallCaps w:val="false"/>
          <w:sz w:val="20"/>
        </w:rPr>
        <w:t>236-1561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0_edei--SolicitingMaterial_c202606"/>
            <w:bookmarkEnd w:id="16"/>
            <w:r>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960" w:type="dxa"/>
            <w:tcBorders/>
            <w:vAlign w:val="center"/>
          </w:tcPr>
          <w:p>
            <w:pPr>
              <w:pStyle w:val="TableContents"/>
              <w:bidi w:val="0"/>
              <w:spacing w:before="0" w:after="283"/>
              <w:jc w:val="both"/>
              <w:rPr/>
            </w:pPr>
            <w:r>
              <w:rPr/>
              <w:t>Pre- 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7740" w:type="dxa"/>
        <w:jc w:val="left"/>
        <w:tblInd w:w="-10" w:type="dxa"/>
        <w:tblLayout w:type="fixed"/>
        <w:tblCellMar>
          <w:top w:w="28" w:type="dxa"/>
          <w:left w:w="28" w:type="dxa"/>
          <w:bottom w:w="28" w:type="dxa"/>
          <w:right w:w="28" w:type="dxa"/>
        </w:tblCellMar>
      </w:tblPr>
      <w:tblGrid>
        <w:gridCol w:w="2615"/>
        <w:gridCol w:w="1535"/>
        <w:gridCol w:w="3590"/>
      </w:tblGrid>
      <w:tr>
        <w:trPr/>
        <w:tc>
          <w:tcPr>
            <w:tcW w:w="26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6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610"/>
            <w:bookmarkEnd w:id="19"/>
            <w:r>
              <w:rPr>
                <w:rFonts w:ascii="Times New Roman;Times;Serif" w:hAnsi="Times New Roman;Times;Serif"/>
                <w:b w:val="false"/>
                <w:i w:val="false"/>
                <w:caps w:val="false"/>
                <w:smallCaps w:val="false"/>
                <w:sz w:val="20"/>
              </w:rPr>
              <w:t>Common stock, $0.01 par value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TradingSymbol_c20260610__2"/>
            <w:bookmarkEnd w:id="20"/>
            <w:r>
              <w:rPr>
                <w:rFonts w:ascii="Times New Roman;Times;Serif" w:hAnsi="Times New Roman;Times;Serif"/>
                <w:b w:val="false"/>
                <w:i w:val="false"/>
                <w:caps w:val="false"/>
                <w:smallCaps w:val="false"/>
                <w:sz w:val="20"/>
              </w:rPr>
              <w:t>CTRN</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6"/>
            <w:bookmarkEnd w:id="21"/>
            <w:r>
              <w:rPr>
                <w:rFonts w:ascii="Times New Roman;Times;Serif" w:hAnsi="Times New Roman;Times;Serif"/>
                <w:b w:val="false"/>
                <w:i w:val="false"/>
                <w:caps w:val="false"/>
                <w:smallCaps w:val="false"/>
                <w:sz w:val="20"/>
              </w:rPr>
              <w:t>Nasdaq Stock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216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875"/>
        <w:gridCol w:w="443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Citi Trends, Inc. (the “Company”) held its 2026 annual meeting of stockholders (the “2026 Annual Meeting”) in a virtual format. At the 2026 Annual Meeting, the holders of the Company’s common stock entitled to vote at the meeting (1) elected eight director nominees whose terms will expire at the 2026 annual meeting of stockholders, (2) adopted, on a non-binding, advisory basis, the resolution approving the compensation of the Company’s named executive officers as set forth in the Company’s definitive proxy statement for the 2026 Annual Meeting filed with the Securities and Exchange Commission on May 1, 2026 (the “Proxy Statement”), and (3) ratified, on a non-binding basis, the appointment of Deloitte &amp; Touche LLP as the Company’s independent registered public accounting firm for the fiscal year ending January 30, 2027.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40" w:right="0" w:firstLine="3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election of eight directors:</w:t>
      </w:r>
    </w:p>
    <w:p>
      <w:pPr>
        <w:pStyle w:val="TextBody"/>
        <w:bidi w:val="0"/>
        <w:spacing w:before="0" w:after="0"/>
        <w:ind w:left="0" w:right="0" w:hanging="0"/>
        <w:jc w:val="left"/>
        <w:rPr>
          <w:caps w:val="false"/>
          <w:smallCaps w:val="false"/>
        </w:rPr>
      </w:pPr>
      <w:r>
        <w:rPr>
          <w:caps w:val="false"/>
          <w:smallCaps w:val="false"/>
        </w:rPr>
        <w:t> </w:t>
      </w:r>
    </w:p>
    <w:tbl>
      <w:tblPr>
        <w:tblW w:w="6759" w:type="dxa"/>
        <w:jc w:val="left"/>
        <w:tblInd w:w="0" w:type="dxa"/>
        <w:tblLayout w:type="fixed"/>
        <w:tblCellMar>
          <w:top w:w="0" w:type="dxa"/>
          <w:left w:w="0" w:type="dxa"/>
          <w:bottom w:w="28" w:type="dxa"/>
          <w:right w:w="0" w:type="dxa"/>
        </w:tblCellMar>
      </w:tblPr>
      <w:tblGrid>
        <w:gridCol w:w="2420"/>
        <w:gridCol w:w="60"/>
        <w:gridCol w:w="60"/>
        <w:gridCol w:w="845"/>
        <w:gridCol w:w="60"/>
        <w:gridCol w:w="60"/>
        <w:gridCol w:w="845"/>
        <w:gridCol w:w="60"/>
        <w:gridCol w:w="73"/>
        <w:gridCol w:w="592"/>
        <w:gridCol w:w="60"/>
        <w:gridCol w:w="121"/>
        <w:gridCol w:w="1428"/>
        <w:gridCol w:w="75"/>
      </w:tblGrid>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Nominee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Pamela Edwards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4,268,634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2,443,138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Faw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6,698,848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604,211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 Heath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6,698,071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Margaret L. Jenkins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6,645,741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604,211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S. Kvitko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6,684,717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27,053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(Charles) Liu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6,689,004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604,211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Cara Robinson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6,677,190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D. Seipel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6,700,829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604,211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proposal to approve, on a non-binding, advisory basis, the compensation of the Company’s named executive officers as set forth in the Proxy Statement:</w:t>
      </w:r>
    </w:p>
    <w:p>
      <w:pPr>
        <w:pStyle w:val="TextBody"/>
        <w:bidi w:val="0"/>
        <w:spacing w:before="0" w:after="0"/>
        <w:ind w:left="0" w:right="0" w:hanging="0"/>
        <w:jc w:val="left"/>
        <w:rPr>
          <w:caps w:val="false"/>
          <w:smallCaps w:val="false"/>
        </w:rPr>
      </w:pPr>
      <w:r>
        <w:rPr>
          <w:caps w:val="false"/>
          <w:smallCaps w:val="false"/>
        </w:rPr>
        <w:t> </w:t>
      </w:r>
    </w:p>
    <w:tbl>
      <w:tblPr>
        <w:tblW w:w="4114" w:type="dxa"/>
        <w:jc w:val="left"/>
        <w:tblInd w:w="0" w:type="dxa"/>
        <w:tblLayout w:type="fixed"/>
        <w:tblCellMar>
          <w:top w:w="0" w:type="dxa"/>
          <w:left w:w="0" w:type="dxa"/>
          <w:bottom w:w="28" w:type="dxa"/>
          <w:right w:w="0" w:type="dxa"/>
        </w:tblCellMar>
      </w:tblPr>
      <w:tblGrid>
        <w:gridCol w:w="860"/>
        <w:gridCol w:w="60"/>
        <w:gridCol w:w="61"/>
        <w:gridCol w:w="604"/>
        <w:gridCol w:w="60"/>
        <w:gridCol w:w="60"/>
        <w:gridCol w:w="73"/>
        <w:gridCol w:w="592"/>
        <w:gridCol w:w="60"/>
        <w:gridCol w:w="60"/>
        <w:gridCol w:w="121"/>
        <w:gridCol w:w="1428"/>
        <w:gridCol w:w="7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6,652,352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59,072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Ratification, on a non-binding basis, of the appointment of Deloitte &amp; Touche LLP as the Company’s independent registered public accounting firm for the fiscal year ending January 30, 2027:</w:t>
      </w:r>
    </w:p>
    <w:p>
      <w:pPr>
        <w:pStyle w:val="TextBody"/>
        <w:bidi w:val="0"/>
        <w:spacing w:before="0" w:after="0"/>
        <w:ind w:left="0" w:right="0" w:hanging="0"/>
        <w:jc w:val="left"/>
        <w:rPr>
          <w:caps w:val="false"/>
          <w:smallCaps w:val="false"/>
        </w:rPr>
      </w:pPr>
      <w:r>
        <w:rPr>
          <w:caps w:val="false"/>
          <w:smallCaps w:val="false"/>
        </w:rPr>
        <w:t> </w:t>
      </w:r>
    </w:p>
    <w:tbl>
      <w:tblPr>
        <w:tblW w:w="4114" w:type="dxa"/>
        <w:jc w:val="left"/>
        <w:tblInd w:w="0" w:type="dxa"/>
        <w:tblLayout w:type="fixed"/>
        <w:tblCellMar>
          <w:top w:w="0" w:type="dxa"/>
          <w:left w:w="0" w:type="dxa"/>
          <w:bottom w:w="28" w:type="dxa"/>
          <w:right w:w="0" w:type="dxa"/>
        </w:tblCellMar>
      </w:tblPr>
      <w:tblGrid>
        <w:gridCol w:w="860"/>
        <w:gridCol w:w="60"/>
        <w:gridCol w:w="73"/>
        <w:gridCol w:w="592"/>
        <w:gridCol w:w="60"/>
        <w:gridCol w:w="60"/>
        <w:gridCol w:w="73"/>
        <w:gridCol w:w="592"/>
        <w:gridCol w:w="60"/>
        <w:gridCol w:w="60"/>
        <w:gridCol w:w="501"/>
        <w:gridCol w:w="1048"/>
        <w:gridCol w:w="7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7,311,711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50"/>
        <w:gridCol w:w="60"/>
        <w:gridCol w:w="6530"/>
      </w:tblGrid>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1940"/>
        <w:gridCol w:w="545"/>
        <w:gridCol w:w="2300"/>
      </w:tblGrid>
      <w:tr>
        <w:trPr/>
        <w:tc>
          <w:tcPr>
            <w:tcW w:w="194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 TRENDS, INC.</w:t>
            </w:r>
          </w:p>
        </w:tc>
      </w:tr>
      <w:tr>
        <w:trPr/>
        <w:tc>
          <w:tcPr>
            <w:tcW w:w="194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 June 12,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Kenneth D. Seipel</w:t>
            </w:r>
          </w:p>
        </w:tc>
      </w:tr>
      <w:tr>
        <w:trPr/>
        <w:tc>
          <w:tcPr>
            <w:tcW w:w="19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00" w:type="dxa"/>
            <w:tcBorders/>
            <w:vAlign w:val="center"/>
          </w:tcPr>
          <w:p>
            <w:pPr>
              <w:pStyle w:val="TableContents"/>
              <w:bidi w:val="0"/>
              <w:spacing w:before="0" w:after="283"/>
              <w:jc w:val="left"/>
              <w:rPr/>
            </w:pPr>
            <w:r>
              <w:rPr/>
              <w:t>Kenneth D. Seipel</w:t>
            </w:r>
          </w:p>
        </w:tc>
      </w:tr>
      <w:tr>
        <w:trPr/>
        <w:tc>
          <w:tcPr>
            <w:tcW w:w="19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3679</Characters>
  <CharactersWithSpaces>4392</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