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16"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January 30, 2021</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32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000-51315</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CITI TRENDS,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8" w:lineRule="exact"/>
        <w:rPr>
          <w:sz w:val="24"/>
          <w:szCs w:val="24"/>
          <w:color w:val="auto"/>
        </w:rPr>
      </w:pPr>
    </w:p>
    <w:tbl>
      <w:tblPr>
        <w:tblLayout w:type="fixed"/>
        <w:tblInd w:w="980" w:type="dxa"/>
        <w:tblCellMar>
          <w:top w:w="0" w:type="dxa"/>
          <w:left w:w="0" w:type="dxa"/>
          <w:bottom w:w="0" w:type="dxa"/>
          <w:right w:w="0" w:type="dxa"/>
        </w:tblCellMar>
      </w:tblPr>
      <w:tr>
        <w:trPr>
          <w:trHeight w:val="180"/>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2500" w:type="dxa"/>
            <w:vAlign w:val="bottom"/>
          </w:tcPr>
          <w:p>
            <w:pPr>
              <w:jc w:val="right"/>
              <w:ind w:right="648"/>
              <w:spacing w:after="0"/>
              <w:rPr>
                <w:sz w:val="20"/>
                <w:szCs w:val="20"/>
                <w:color w:val="auto"/>
              </w:rPr>
            </w:pPr>
            <w:r>
              <w:rPr>
                <w:rFonts w:ascii="Arial" w:cs="Arial" w:eastAsia="Arial" w:hAnsi="Arial"/>
                <w:sz w:val="14"/>
                <w:szCs w:val="14"/>
                <w:b w:val="1"/>
                <w:bCs w:val="1"/>
                <w:color w:val="auto"/>
              </w:rPr>
              <w:t>52-2150697</w:t>
            </w:r>
          </w:p>
        </w:tc>
      </w:tr>
      <w:tr>
        <w:trPr>
          <w:trHeight w:val="162"/>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(State or other jurisdiction of</w:t>
            </w:r>
          </w:p>
        </w:tc>
        <w:tc>
          <w:tcPr>
            <w:tcW w:w="2500" w:type="dxa"/>
            <w:vAlign w:val="bottom"/>
          </w:tcPr>
          <w:p>
            <w:pPr>
              <w:jc w:val="center"/>
              <w:ind w:left="208"/>
              <w:spacing w:after="0"/>
              <w:rPr>
                <w:sz w:val="20"/>
                <w:szCs w:val="20"/>
                <w:color w:val="auto"/>
              </w:rPr>
            </w:pPr>
            <w:r>
              <w:rPr>
                <w:rFonts w:ascii="Arial" w:cs="Arial" w:eastAsia="Arial" w:hAnsi="Arial"/>
                <w:sz w:val="14"/>
                <w:szCs w:val="14"/>
                <w:color w:val="auto"/>
              </w:rPr>
              <w:t>(I.R.S. Employer Identification No.)</w:t>
            </w:r>
          </w:p>
        </w:tc>
      </w:tr>
      <w:tr>
        <w:trPr>
          <w:trHeight w:val="172"/>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incorporation or organization)</w:t>
            </w:r>
          </w:p>
        </w:tc>
        <w:tc>
          <w:tcPr>
            <w:tcW w:w="2500" w:type="dxa"/>
            <w:vAlign w:val="bottom"/>
          </w:tcPr>
          <w:p>
            <w:pPr>
              <w:spacing w:after="0"/>
              <w:rPr>
                <w:sz w:val="14"/>
                <w:szCs w:val="14"/>
                <w:color w:val="auto"/>
              </w:rPr>
            </w:pPr>
          </w:p>
        </w:tc>
      </w:tr>
      <w:tr>
        <w:trPr>
          <w:trHeight w:val="246"/>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104 Coleman Boulevard, Savannah, Georgia</w:t>
            </w:r>
          </w:p>
        </w:tc>
        <w:tc>
          <w:tcPr>
            <w:tcW w:w="2500" w:type="dxa"/>
            <w:vAlign w:val="bottom"/>
          </w:tcPr>
          <w:p>
            <w:pPr>
              <w:jc w:val="right"/>
              <w:ind w:right="828"/>
              <w:spacing w:after="0"/>
              <w:rPr>
                <w:sz w:val="20"/>
                <w:szCs w:val="20"/>
                <w:color w:val="auto"/>
              </w:rPr>
            </w:pPr>
            <w:r>
              <w:rPr>
                <w:rFonts w:ascii="Arial" w:cs="Arial" w:eastAsia="Arial" w:hAnsi="Arial"/>
                <w:sz w:val="14"/>
                <w:szCs w:val="14"/>
                <w:b w:val="1"/>
                <w:bCs w:val="1"/>
                <w:color w:val="auto"/>
              </w:rPr>
              <w:t>31408</w:t>
            </w:r>
          </w:p>
        </w:tc>
      </w:tr>
      <w:tr>
        <w:trPr>
          <w:trHeight w:val="172"/>
        </w:trPr>
        <w:tc>
          <w:tcPr>
            <w:tcW w:w="5140" w:type="dxa"/>
            <w:vAlign w:val="bottom"/>
          </w:tcPr>
          <w:p>
            <w:pPr>
              <w:jc w:val="center"/>
              <w:ind w:right="2048"/>
              <w:spacing w:after="0"/>
              <w:rPr>
                <w:sz w:val="20"/>
                <w:szCs w:val="20"/>
                <w:color w:val="auto"/>
              </w:rPr>
            </w:pPr>
            <w:r>
              <w:rPr>
                <w:rFonts w:ascii="Arial" w:cs="Arial" w:eastAsia="Arial" w:hAnsi="Arial"/>
                <w:sz w:val="14"/>
                <w:szCs w:val="14"/>
                <w:color w:val="auto"/>
              </w:rPr>
              <w:t>(Address of principal executive offices)</w:t>
            </w:r>
          </w:p>
        </w:tc>
        <w:tc>
          <w:tcPr>
            <w:tcW w:w="2500" w:type="dxa"/>
            <w:vAlign w:val="bottom"/>
          </w:tcPr>
          <w:p>
            <w:pPr>
              <w:jc w:val="center"/>
              <w:ind w:left="228"/>
              <w:spacing w:after="0"/>
              <w:rPr>
                <w:sz w:val="20"/>
                <w:szCs w:val="20"/>
                <w:color w:val="auto"/>
              </w:rPr>
            </w:pPr>
            <w:r>
              <w:rPr>
                <w:rFonts w:ascii="Arial" w:cs="Arial" w:eastAsia="Arial" w:hAnsi="Arial"/>
                <w:sz w:val="14"/>
                <w:szCs w:val="14"/>
                <w:color w:val="auto"/>
              </w:rPr>
              <w:t>(Zip Code)</w:t>
            </w:r>
          </w:p>
        </w:tc>
      </w:tr>
      <w:tr>
        <w:trPr>
          <w:trHeight w:val="257"/>
        </w:trPr>
        <w:tc>
          <w:tcPr>
            <w:tcW w:w="5140" w:type="dxa"/>
            <w:vAlign w:val="bottom"/>
          </w:tcPr>
          <w:p>
            <w:pPr>
              <w:ind w:left="180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jc w:val="right"/>
              <w:ind w:right="1388"/>
              <w:spacing w:after="0"/>
              <w:rPr>
                <w:sz w:val="20"/>
                <w:szCs w:val="20"/>
                <w:color w:val="auto"/>
              </w:rPr>
            </w:pPr>
            <w:r>
              <w:rPr>
                <w:rFonts w:ascii="Arial" w:cs="Arial" w:eastAsia="Arial" w:hAnsi="Arial"/>
                <w:sz w:val="14"/>
                <w:szCs w:val="14"/>
                <w:b w:val="1"/>
                <w:bCs w:val="1"/>
                <w:color w:val="auto"/>
              </w:rPr>
              <w:t>(912) 236-1561</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2900" w:type="dxa"/>
            <w:vAlign w:val="bottom"/>
            <w:tcBorders>
              <w:top w:val="single" w:sz="8" w:color="auto"/>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33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56"/>
        </w:trPr>
        <w:tc>
          <w:tcPr>
            <w:tcW w:w="2900" w:type="dxa"/>
            <w:vAlign w:val="bottom"/>
            <w:tcBorders>
              <w:left w:val="single" w:sz="8" w:color="auto"/>
              <w:bottom w:val="single" w:sz="8" w:color="auto"/>
            </w:tcBorders>
          </w:tcPr>
          <w:p>
            <w:pPr>
              <w:jc w:val="center"/>
              <w:ind w:left="348"/>
              <w:spacing w:after="0" w:line="155" w:lineRule="exact"/>
              <w:rPr>
                <w:sz w:val="20"/>
                <w:szCs w:val="20"/>
                <w:color w:val="auto"/>
              </w:rPr>
            </w:pPr>
            <w:r>
              <w:rPr>
                <w:rFonts w:ascii="Arial" w:cs="Arial" w:eastAsia="Arial" w:hAnsi="Arial"/>
                <w:sz w:val="14"/>
                <w:szCs w:val="14"/>
                <w:color w:val="auto"/>
              </w:rPr>
              <w:t>Common Stock, $.01 Par Value</w:t>
            </w:r>
          </w:p>
        </w:tc>
        <w:tc>
          <w:tcPr>
            <w:tcW w:w="420" w:type="dxa"/>
            <w:vAlign w:val="bottom"/>
            <w:tcBorders>
              <w:bottom w:val="single" w:sz="8" w:color="auto"/>
              <w:right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CTRN</w:t>
            </w:r>
          </w:p>
        </w:tc>
        <w:tc>
          <w:tcPr>
            <w:tcW w:w="860" w:type="dxa"/>
            <w:vAlign w:val="bottom"/>
            <w:tcBorders>
              <w:bottom w:val="single" w:sz="8" w:color="auto"/>
            </w:tcBorders>
          </w:tcPr>
          <w:p>
            <w:pPr>
              <w:spacing w:after="0"/>
              <w:rPr>
                <w:sz w:val="13"/>
                <w:szCs w:val="13"/>
                <w:color w:val="auto"/>
              </w:rPr>
            </w:pPr>
          </w:p>
        </w:tc>
        <w:tc>
          <w:tcPr>
            <w:tcW w:w="2440" w:type="dxa"/>
            <w:vAlign w:val="bottom"/>
            <w:tcBorders>
              <w:bottom w:val="single" w:sz="8" w:color="auto"/>
              <w:right w:val="single" w:sz="8" w:color="auto"/>
            </w:tcBorders>
            <w:gridSpan w:val="2"/>
          </w:tcPr>
          <w:p>
            <w:pPr>
              <w:jc w:val="center"/>
              <w:ind w:right="808"/>
              <w:spacing w:after="0" w:line="155" w:lineRule="exact"/>
              <w:rPr>
                <w:sz w:val="20"/>
                <w:szCs w:val="20"/>
                <w:color w:val="auto"/>
              </w:rPr>
            </w:pPr>
            <w:r>
              <w:rPr>
                <w:rFonts w:ascii="Arial" w:cs="Arial" w:eastAsia="Arial" w:hAnsi="Arial"/>
                <w:sz w:val="14"/>
                <w:szCs w:val="14"/>
                <w:color w:val="auto"/>
              </w:rPr>
              <w:t>NASDAQ Stock Market</w:t>
            </w:r>
          </w:p>
        </w:tc>
      </w:tr>
      <w:tr>
        <w:trPr>
          <w:trHeight w:val="237"/>
        </w:trPr>
        <w:tc>
          <w:tcPr>
            <w:tcW w:w="2900" w:type="dxa"/>
            <w:vAlign w:val="bottom"/>
          </w:tcPr>
          <w:p>
            <w:pPr>
              <w:spacing w:after="0"/>
              <w:rPr>
                <w:sz w:val="20"/>
                <w:szCs w:val="20"/>
                <w:color w:val="auto"/>
              </w:rPr>
            </w:pPr>
          </w:p>
        </w:tc>
        <w:tc>
          <w:tcPr>
            <w:tcW w:w="4580" w:type="dxa"/>
            <w:vAlign w:val="bottom"/>
            <w:gridSpan w:val="3"/>
          </w:tcPr>
          <w:p>
            <w:pPr>
              <w:jc w:val="center"/>
              <w:ind w:right="368"/>
              <w:spacing w:after="0"/>
              <w:rPr>
                <w:sz w:val="20"/>
                <w:szCs w:val="20"/>
                <w:color w:val="auto"/>
              </w:rPr>
            </w:pPr>
            <w:r>
              <w:rPr>
                <w:rFonts w:ascii="Arial" w:cs="Arial" w:eastAsia="Arial" w:hAnsi="Arial"/>
                <w:sz w:val="14"/>
                <w:szCs w:val="14"/>
                <w:color w:val="auto"/>
              </w:rPr>
              <w:t>Securities registered pursuant to Section 12(g) of the Act:</w:t>
            </w: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90"/>
        </w:trPr>
        <w:tc>
          <w:tcPr>
            <w:tcW w:w="2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None</w:t>
            </w: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72"/>
        </w:trPr>
        <w:tc>
          <w:tcPr>
            <w:tcW w:w="748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812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8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82" w:lineRule="exact"/>
        <w:rPr>
          <w:sz w:val="24"/>
          <w:szCs w:val="24"/>
          <w:color w:val="auto"/>
        </w:rPr>
      </w:pPr>
    </w:p>
    <w:p>
      <w:pPr>
        <w:jc w:val="both"/>
        <w:ind w:right="34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right="14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right="10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6">
            <w:col w:w="1440" w:space="120"/>
            <w:col w:w="880" w:space="720"/>
            <w:col w:w="1020" w:space="120"/>
            <w:col w:w="340" w:space="720"/>
            <w:col w:w="1340" w:space="80"/>
            <w:col w:w="3140"/>
          </w:cols>
          <w:pgMar w:left="980" w:top="665" w:right="99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8" w:lineRule="exact"/>
        <w:rPr>
          <w:sz w:val="24"/>
          <w:szCs w:val="24"/>
          <w:color w:val="auto"/>
        </w:rPr>
      </w:pPr>
    </w:p>
    <w:p>
      <w:pPr>
        <w:sectPr>
          <w:pgSz w:w="11900" w:h="16838" w:orient="portrait"/>
          <w:cols w:equalWidth="0" w:num="4">
            <w:col w:w="1820" w:space="120"/>
            <w:col w:w="500" w:space="720"/>
            <w:col w:w="1700" w:space="120"/>
            <w:col w:w="4940"/>
          </w:cols>
          <w:pgMar w:left="980" w:top="665" w:right="999" w:bottom="1440" w:gutter="0" w:footer="0" w:header="0"/>
          <w:type w:val="continuous"/>
        </w:sectPr>
      </w:pPr>
    </w:p>
    <w:p>
      <w:pPr>
        <w:ind w:right="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140"/>
        <w:spacing w:after="0" w:line="16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30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460"/>
        <w:spacing w:after="0" w:line="249"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$169,044,315 as of August 1, 2020.</w:t>
      </w:r>
    </w:p>
    <w:p>
      <w:pPr>
        <w:spacing w:after="0" w:line="79"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$.01 per share, 9,418,042 shares outstanding as of April 5, 2021.</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4" w:lineRule="exact"/>
        <w:rPr>
          <w:sz w:val="24"/>
          <w:szCs w:val="24"/>
          <w:color w:val="auto"/>
        </w:rPr>
      </w:pPr>
    </w:p>
    <w:p>
      <w:pPr>
        <w:ind w:right="100"/>
        <w:spacing w:after="0" w:line="249" w:lineRule="auto"/>
        <w:rPr>
          <w:sz w:val="20"/>
          <w:szCs w:val="20"/>
          <w:color w:val="auto"/>
        </w:rPr>
      </w:pPr>
      <w:r>
        <w:rPr>
          <w:rFonts w:ascii="Arial" w:cs="Arial" w:eastAsia="Arial" w:hAnsi="Arial"/>
          <w:sz w:val="14"/>
          <w:szCs w:val="14"/>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553085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20" w:type="dxa"/>
            <w:vAlign w:val="bottom"/>
            <w:gridSpan w:val="9"/>
          </w:tcPr>
          <w:p>
            <w:pPr>
              <w:jc w:val="center"/>
              <w:ind w:right="3160"/>
              <w:spacing w:after="0"/>
              <w:rPr>
                <w:sz w:val="20"/>
                <w:szCs w:val="20"/>
                <w:color w:val="auto"/>
              </w:rPr>
            </w:pPr>
            <w:r>
              <w:rPr>
                <w:rFonts w:ascii="Arial" w:cs="Arial" w:eastAsia="Arial" w:hAnsi="Arial"/>
                <w:sz w:val="17"/>
                <w:szCs w:val="17"/>
                <w:b w:val="1"/>
                <w:bCs w:val="1"/>
                <w:color w:val="auto"/>
              </w:rPr>
              <w:t>FORM 10-K REPORT INDEX</w:t>
            </w:r>
          </w:p>
        </w:tc>
        <w:tc>
          <w:tcPr>
            <w:tcW w:w="560" w:type="dxa"/>
            <w:vAlign w:val="bottom"/>
          </w:tcPr>
          <w:p>
            <w:pPr>
              <w:spacing w:after="0"/>
              <w:rPr>
                <w:sz w:val="19"/>
                <w:szCs w:val="19"/>
                <w:color w:val="auto"/>
              </w:rPr>
            </w:pPr>
          </w:p>
        </w:tc>
      </w:tr>
      <w:tr>
        <w:trPr>
          <w:trHeight w:val="378"/>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40" w:type="dxa"/>
            <w:vAlign w:val="bottom"/>
            <w:gridSpan w:val="8"/>
          </w:tcPr>
          <w:p>
            <w:pPr>
              <w:jc w:val="center"/>
              <w:ind w:right="3640"/>
              <w:spacing w:after="0"/>
              <w:rPr>
                <w:sz w:val="20"/>
                <w:szCs w:val="20"/>
                <w:color w:val="auto"/>
              </w:rPr>
            </w:pPr>
            <w:r>
              <w:rPr>
                <w:rFonts w:ascii="Arial" w:cs="Arial" w:eastAsia="Arial" w:hAnsi="Arial"/>
                <w:sz w:val="17"/>
                <w:szCs w:val="17"/>
                <w:color w:val="auto"/>
                <w:w w:val="99"/>
              </w:rPr>
              <w:t>Table of Contents</w:t>
            </w:r>
          </w:p>
        </w:tc>
        <w:tc>
          <w:tcPr>
            <w:tcW w:w="560" w:type="dxa"/>
            <w:vAlign w:val="bottom"/>
          </w:tcPr>
          <w:p>
            <w:pPr>
              <w:spacing w:after="0"/>
              <w:rPr>
                <w:sz w:val="24"/>
                <w:szCs w:val="24"/>
                <w:color w:val="auto"/>
              </w:rPr>
            </w:pPr>
          </w:p>
        </w:tc>
      </w:tr>
      <w:tr>
        <w:trPr>
          <w:trHeight w:val="355"/>
        </w:trPr>
        <w:tc>
          <w:tcPr>
            <w:tcW w:w="9740" w:type="dxa"/>
            <w:vAlign w:val="bottom"/>
            <w:gridSpan w:val="24"/>
          </w:tcPr>
          <w:p>
            <w:pPr>
              <w:spacing w:after="0"/>
              <w:rPr>
                <w:sz w:val="20"/>
                <w:szCs w:val="20"/>
                <w:color w:val="auto"/>
              </w:rPr>
            </w:pPr>
            <w:r>
              <w:rPr>
                <w:rFonts w:ascii="Arial" w:cs="Arial" w:eastAsia="Arial" w:hAnsi="Arial"/>
                <w:sz w:val="17"/>
                <w:szCs w:val="17"/>
                <w:b w:val="1"/>
                <w:bCs w:val="1"/>
                <w:color w:val="auto"/>
              </w:rPr>
              <w:t>10-K Part and Item No.</w:t>
            </w:r>
          </w:p>
        </w:tc>
        <w:tc>
          <w:tcPr>
            <w:tcW w:w="560" w:type="dxa"/>
            <w:vAlign w:val="bottom"/>
          </w:tcPr>
          <w:p>
            <w:pPr>
              <w:spacing w:after="0"/>
              <w:rPr>
                <w:sz w:val="24"/>
                <w:szCs w:val="24"/>
                <w:color w:val="auto"/>
              </w:rPr>
            </w:pPr>
          </w:p>
        </w:tc>
      </w:tr>
      <w:tr>
        <w:trPr>
          <w:trHeight w:val="439"/>
        </w:trPr>
        <w:tc>
          <w:tcPr>
            <w:tcW w:w="540" w:type="dxa"/>
            <w:vAlign w:val="bottom"/>
            <w:tcBorders>
              <w:top w:val="single" w:sz="8" w:color="auto"/>
              <w:bottom w:val="single" w:sz="8" w:color="0000EE"/>
            </w:tcBorders>
            <w:gridSpan w:val="2"/>
          </w:tcPr>
          <w:p>
            <w:pPr>
              <w:spacing w:after="0"/>
              <w:rPr>
                <w:rFonts w:ascii="Arial" w:cs="Arial" w:eastAsia="Arial" w:hAnsi="Arial"/>
                <w:sz w:val="17"/>
                <w:szCs w:val="17"/>
                <w:color w:val="0000EE"/>
                <w:w w:val="94"/>
              </w:rPr>
            </w:pPr>
            <w:hyperlink w:anchor="page3">
              <w:r>
                <w:rPr>
                  <w:rFonts w:ascii="Arial" w:cs="Arial" w:eastAsia="Arial" w:hAnsi="Arial"/>
                  <w:sz w:val="17"/>
                  <w:szCs w:val="17"/>
                  <w:color w:val="0000EE"/>
                  <w:w w:val="94"/>
                </w:rPr>
                <w:t>PART I</w:t>
              </w:r>
            </w:hyperlink>
          </w:p>
        </w:tc>
        <w:tc>
          <w:tcPr>
            <w:tcW w:w="140" w:type="dxa"/>
            <w:vAlign w:val="bottom"/>
            <w:tcBorders>
              <w:top w:val="single" w:sz="8" w:color="auto"/>
            </w:tcBorders>
            <w:gridSpan w:val="2"/>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680" w:type="dxa"/>
            <w:vAlign w:val="bottom"/>
            <w:gridSpan w:val="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906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740" w:type="dxa"/>
            <w:vAlign w:val="bottom"/>
            <w:gridSpan w:val="24"/>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9740" w:type="dxa"/>
            <w:vAlign w:val="bottom"/>
            <w:gridSpan w:val="24"/>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Item 1B. Unresolved Staff Comments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620" w:type="dxa"/>
            <w:vAlign w:val="bottom"/>
            <w:tcBorders>
              <w:top w:val="single" w:sz="8" w:color="0000EE"/>
            </w:tcBorders>
            <w:gridSpan w:val="3"/>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Item 2.</w:t>
              </w:r>
            </w:hyperlink>
          </w:p>
        </w:tc>
        <w:tc>
          <w:tcPr>
            <w:tcW w:w="60" w:type="dxa"/>
            <w:vAlign w:val="bottom"/>
          </w:tcPr>
          <w:p>
            <w:pPr>
              <w:spacing w:after="0"/>
              <w:rPr>
                <w:sz w:val="18"/>
                <w:szCs w:val="18"/>
                <w:color w:val="auto"/>
              </w:rPr>
            </w:pPr>
          </w:p>
        </w:tc>
        <w:tc>
          <w:tcPr>
            <w:tcW w:w="2120" w:type="dxa"/>
            <w:vAlign w:val="bottom"/>
            <w:tcBorders>
              <w:top w:val="single" w:sz="8" w:color="0000EE"/>
            </w:tcBorders>
            <w:gridSpan w:val="9"/>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Properties</w:t>
              </w:r>
            </w:hyperlink>
          </w:p>
        </w:tc>
        <w:tc>
          <w:tcPr>
            <w:tcW w:w="694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680" w:type="dxa"/>
            <w:vAlign w:val="bottom"/>
            <w:gridSpan w:val="4"/>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Item 3.</w:t>
              </w:r>
            </w:hyperlink>
          </w:p>
        </w:tc>
        <w:tc>
          <w:tcPr>
            <w:tcW w:w="9060" w:type="dxa"/>
            <w:vAlign w:val="bottom"/>
            <w:gridSpan w:val="20"/>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680" w:type="dxa"/>
            <w:vAlign w:val="bottom"/>
            <w:gridSpan w:val="4"/>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Item 4.</w:t>
              </w:r>
            </w:hyperlink>
          </w:p>
        </w:tc>
        <w:tc>
          <w:tcPr>
            <w:tcW w:w="9060" w:type="dxa"/>
            <w:vAlign w:val="bottom"/>
            <w:gridSpan w:val="20"/>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620" w:type="dxa"/>
            <w:vAlign w:val="bottom"/>
            <w:tcBorders>
              <w:bottom w:val="single" w:sz="8" w:color="0000EE"/>
            </w:tcBorders>
            <w:gridSpan w:val="3"/>
          </w:tcPr>
          <w:p>
            <w:pPr>
              <w:spacing w:after="0"/>
              <w:rPr>
                <w:rFonts w:ascii="Arial" w:cs="Arial" w:eastAsia="Arial" w:hAnsi="Arial"/>
                <w:sz w:val="17"/>
                <w:szCs w:val="17"/>
                <w:color w:val="0000EE"/>
                <w:w w:val="97"/>
              </w:rPr>
            </w:pPr>
            <w:hyperlink w:anchor="page21">
              <w:r>
                <w:rPr>
                  <w:rFonts w:ascii="Arial" w:cs="Arial" w:eastAsia="Arial" w:hAnsi="Arial"/>
                  <w:sz w:val="17"/>
                  <w:szCs w:val="17"/>
                  <w:color w:val="0000EE"/>
                  <w:w w:val="97"/>
                </w:rPr>
                <w:t>PART II</w:t>
              </w:r>
            </w:hyperlink>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680" w:type="dxa"/>
            <w:vAlign w:val="bottom"/>
            <w:gridSpan w:val="4"/>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Item 5.</w:t>
              </w:r>
            </w:hyperlink>
          </w:p>
        </w:tc>
        <w:tc>
          <w:tcPr>
            <w:tcW w:w="9060" w:type="dxa"/>
            <w:vAlign w:val="bottom"/>
            <w:gridSpan w:val="20"/>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Market for the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680" w:type="dxa"/>
            <w:vAlign w:val="bottom"/>
            <w:gridSpan w:val="4"/>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Item 6.</w:t>
              </w:r>
            </w:hyperlink>
          </w:p>
        </w:tc>
        <w:tc>
          <w:tcPr>
            <w:tcW w:w="9060" w:type="dxa"/>
            <w:vAlign w:val="bottom"/>
            <w:gridSpan w:val="20"/>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680" w:type="dxa"/>
            <w:vAlign w:val="bottom"/>
            <w:gridSpan w:val="4"/>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Item 7.</w:t>
              </w:r>
            </w:hyperlink>
          </w:p>
        </w:tc>
        <w:tc>
          <w:tcPr>
            <w:tcW w:w="9060" w:type="dxa"/>
            <w:vAlign w:val="bottom"/>
            <w:gridSpan w:val="20"/>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9740" w:type="dxa"/>
            <w:vAlign w:val="bottom"/>
            <w:gridSpan w:val="24"/>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7A. Quantitative and Qualitative Disclosure About Market Risk</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0"/>
        </w:trPr>
        <w:tc>
          <w:tcPr>
            <w:tcW w:w="620" w:type="dxa"/>
            <w:vAlign w:val="bottom"/>
            <w:tcBorders>
              <w:top w:val="single" w:sz="8" w:color="0000EE"/>
            </w:tcBorders>
            <w:gridSpan w:val="3"/>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8.</w:t>
              </w:r>
            </w:hyperlink>
          </w:p>
        </w:tc>
        <w:tc>
          <w:tcPr>
            <w:tcW w:w="60" w:type="dxa"/>
            <w:vAlign w:val="bottom"/>
          </w:tcPr>
          <w:p>
            <w:pPr>
              <w:spacing w:after="0"/>
              <w:rPr>
                <w:sz w:val="18"/>
                <w:szCs w:val="18"/>
                <w:color w:val="auto"/>
              </w:rPr>
            </w:pPr>
          </w:p>
        </w:tc>
        <w:tc>
          <w:tcPr>
            <w:tcW w:w="4380" w:type="dxa"/>
            <w:vAlign w:val="bottom"/>
            <w:tcBorders>
              <w:top w:val="single" w:sz="8" w:color="0000EE"/>
            </w:tcBorders>
            <w:gridSpan w:val="14"/>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Financial Statements and Supplementary Data</w:t>
              </w:r>
            </w:hyperlink>
          </w:p>
        </w:tc>
        <w:tc>
          <w:tcPr>
            <w:tcW w:w="468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680" w:type="dxa"/>
            <w:vAlign w:val="bottom"/>
            <w:gridSpan w:val="4"/>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9.</w:t>
              </w:r>
            </w:hyperlink>
          </w:p>
        </w:tc>
        <w:tc>
          <w:tcPr>
            <w:tcW w:w="9060" w:type="dxa"/>
            <w:vAlign w:val="bottom"/>
            <w:gridSpan w:val="20"/>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9740" w:type="dxa"/>
            <w:vAlign w:val="bottom"/>
            <w:gridSpan w:val="24"/>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9A. Controls and Procedures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439"/>
        </w:trPr>
        <w:tc>
          <w:tcPr>
            <w:tcW w:w="6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PART III</w:t>
              </w:r>
            </w:hyperlink>
          </w:p>
        </w:tc>
        <w:tc>
          <w:tcPr>
            <w:tcW w:w="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620" w:type="dxa"/>
            <w:vAlign w:val="bottom"/>
            <w:gridSpan w:val="3"/>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Item 10.</w:t>
              </w:r>
            </w:hyperlink>
          </w:p>
        </w:tc>
        <w:tc>
          <w:tcPr>
            <w:tcW w:w="60" w:type="dxa"/>
            <w:vAlign w:val="bottom"/>
          </w:tcPr>
          <w:p>
            <w:pPr>
              <w:spacing w:after="0"/>
              <w:rPr>
                <w:sz w:val="18"/>
                <w:szCs w:val="18"/>
                <w:color w:val="auto"/>
              </w:rPr>
            </w:pPr>
          </w:p>
        </w:tc>
        <w:tc>
          <w:tcPr>
            <w:tcW w:w="906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620" w:type="dxa"/>
            <w:vAlign w:val="bottom"/>
            <w:tcBorders>
              <w:top w:val="single" w:sz="8" w:color="0000EE"/>
            </w:tcBorders>
            <w:gridSpan w:val="3"/>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Item 11.</w:t>
              </w:r>
            </w:hyperlink>
          </w:p>
        </w:tc>
        <w:tc>
          <w:tcPr>
            <w:tcW w:w="60" w:type="dxa"/>
            <w:vAlign w:val="bottom"/>
          </w:tcPr>
          <w:p>
            <w:pPr>
              <w:spacing w:after="0"/>
              <w:rPr>
                <w:sz w:val="18"/>
                <w:szCs w:val="18"/>
                <w:color w:val="auto"/>
              </w:rPr>
            </w:pPr>
          </w:p>
        </w:tc>
        <w:tc>
          <w:tcPr>
            <w:tcW w:w="4260" w:type="dxa"/>
            <w:vAlign w:val="bottom"/>
            <w:tcBorders>
              <w:top w:val="single" w:sz="8" w:color="0000EE"/>
            </w:tcBorders>
            <w:gridSpan w:val="13"/>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Executive Compensation</w:t>
              </w:r>
            </w:hyperlink>
          </w:p>
        </w:tc>
        <w:tc>
          <w:tcPr>
            <w:tcW w:w="480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620" w:type="dxa"/>
            <w:vAlign w:val="bottom"/>
            <w:gridSpan w:val="3"/>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Item 12.</w:t>
              </w:r>
            </w:hyperlink>
          </w:p>
        </w:tc>
        <w:tc>
          <w:tcPr>
            <w:tcW w:w="60" w:type="dxa"/>
            <w:vAlign w:val="bottom"/>
          </w:tcPr>
          <w:p>
            <w:pPr>
              <w:spacing w:after="0"/>
              <w:rPr>
                <w:sz w:val="18"/>
                <w:szCs w:val="18"/>
                <w:color w:val="auto"/>
              </w:rPr>
            </w:pPr>
          </w:p>
        </w:tc>
        <w:tc>
          <w:tcPr>
            <w:tcW w:w="9060" w:type="dxa"/>
            <w:vAlign w:val="bottom"/>
            <w:gridSpan w:val="2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9"/>
        </w:trPr>
        <w:tc>
          <w:tcPr>
            <w:tcW w:w="620" w:type="dxa"/>
            <w:vAlign w:val="bottom"/>
            <w:tcBorders>
              <w:top w:val="single" w:sz="8" w:color="0000EE"/>
            </w:tcBorders>
            <w:gridSpan w:val="3"/>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Item 13.</w:t>
              </w:r>
            </w:hyperlink>
          </w:p>
        </w:tc>
        <w:tc>
          <w:tcPr>
            <w:tcW w:w="60" w:type="dxa"/>
            <w:vAlign w:val="bottom"/>
          </w:tcPr>
          <w:p>
            <w:pPr>
              <w:spacing w:after="0"/>
              <w:rPr>
                <w:sz w:val="18"/>
                <w:szCs w:val="18"/>
                <w:color w:val="auto"/>
              </w:rPr>
            </w:pPr>
          </w:p>
        </w:tc>
        <w:tc>
          <w:tcPr>
            <w:tcW w:w="7600" w:type="dxa"/>
            <w:vAlign w:val="bottom"/>
            <w:tcBorders>
              <w:top w:val="single" w:sz="8" w:color="0000EE"/>
            </w:tcBorders>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Certain Relationships and Related Transactions, and Director Independence</w:t>
              </w:r>
            </w:hyperlink>
          </w:p>
        </w:tc>
        <w:tc>
          <w:tcPr>
            <w:tcW w:w="14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620" w:type="dxa"/>
            <w:vAlign w:val="bottom"/>
            <w:tcBorders>
              <w:top w:val="single" w:sz="8" w:color="0000EE"/>
            </w:tcBorders>
            <w:gridSpan w:val="3"/>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Item 14.</w:t>
              </w:r>
            </w:hyperlink>
          </w:p>
        </w:tc>
        <w:tc>
          <w:tcPr>
            <w:tcW w:w="60" w:type="dxa"/>
            <w:vAlign w:val="bottom"/>
          </w:tcPr>
          <w:p>
            <w:pPr>
              <w:spacing w:after="0"/>
              <w:rPr>
                <w:sz w:val="18"/>
                <w:szCs w:val="18"/>
                <w:color w:val="auto"/>
              </w:rPr>
            </w:pPr>
          </w:p>
        </w:tc>
        <w:tc>
          <w:tcPr>
            <w:tcW w:w="5760" w:type="dxa"/>
            <w:vAlign w:val="bottom"/>
            <w:tcBorders>
              <w:top w:val="single" w:sz="8" w:color="0000EE"/>
            </w:tcBorders>
            <w:gridSpan w:val="15"/>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Principal Accounting Fees and Services</w:t>
              </w:r>
            </w:hyperlink>
          </w:p>
        </w:tc>
        <w:tc>
          <w:tcPr>
            <w:tcW w:w="33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680" w:type="dxa"/>
            <w:vAlign w:val="bottom"/>
            <w:gridSpan w:val="4"/>
          </w:tcPr>
          <w:p>
            <w:pPr>
              <w:spacing w:after="0"/>
              <w:rPr>
                <w:rFonts w:ascii="Arial" w:cs="Arial" w:eastAsia="Arial" w:hAnsi="Arial"/>
                <w:sz w:val="17"/>
                <w:szCs w:val="17"/>
                <w:color w:val="0000EE"/>
                <w:w w:val="99"/>
              </w:rPr>
            </w:pPr>
            <w:hyperlink w:anchor="page31">
              <w:r>
                <w:rPr>
                  <w:rFonts w:ascii="Arial" w:cs="Arial" w:eastAsia="Arial" w:hAnsi="Arial"/>
                  <w:sz w:val="17"/>
                  <w:szCs w:val="17"/>
                  <w:color w:val="0000EE"/>
                  <w:w w:val="99"/>
                </w:rPr>
                <w:t>PART IV</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620" w:type="dxa"/>
            <w:vAlign w:val="bottom"/>
            <w:tcBorders>
              <w:top w:val="single" w:sz="8" w:color="0000EE"/>
            </w:tcBorders>
            <w:gridSpan w:val="3"/>
          </w:tcPr>
          <w:p>
            <w:pPr>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Item 15.</w:t>
              </w:r>
            </w:hyperlink>
          </w:p>
        </w:tc>
        <w:tc>
          <w:tcPr>
            <w:tcW w:w="60" w:type="dxa"/>
            <w:vAlign w:val="bottom"/>
          </w:tcPr>
          <w:p>
            <w:pPr>
              <w:spacing w:after="0"/>
              <w:rPr>
                <w:sz w:val="18"/>
                <w:szCs w:val="18"/>
                <w:color w:val="auto"/>
              </w:rPr>
            </w:pPr>
          </w:p>
        </w:tc>
        <w:tc>
          <w:tcPr>
            <w:tcW w:w="906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620" w:type="dxa"/>
            <w:vAlign w:val="bottom"/>
            <w:tcBorders>
              <w:top w:val="single" w:sz="8" w:color="0000EE"/>
            </w:tcBorders>
            <w:gridSpan w:val="3"/>
          </w:tcPr>
          <w:p>
            <w:pPr>
              <w:spacing w:after="0"/>
              <w:rPr>
                <w:rFonts w:ascii="Arial" w:cs="Arial" w:eastAsia="Arial" w:hAnsi="Arial"/>
                <w:sz w:val="17"/>
                <w:szCs w:val="17"/>
                <w:color w:val="0000EE"/>
                <w:w w:val="94"/>
              </w:rPr>
            </w:pPr>
            <w:hyperlink w:anchor="page33">
              <w:r>
                <w:rPr>
                  <w:rFonts w:ascii="Arial" w:cs="Arial" w:eastAsia="Arial" w:hAnsi="Arial"/>
                  <w:sz w:val="17"/>
                  <w:szCs w:val="17"/>
                  <w:color w:val="0000EE"/>
                  <w:w w:val="94"/>
                </w:rPr>
                <w:t>Item 16.</w:t>
              </w:r>
            </w:hyperlink>
          </w:p>
        </w:tc>
        <w:tc>
          <w:tcPr>
            <w:tcW w:w="60" w:type="dxa"/>
            <w:vAlign w:val="bottom"/>
          </w:tcPr>
          <w:p>
            <w:pPr>
              <w:spacing w:after="0"/>
              <w:rPr>
                <w:sz w:val="18"/>
                <w:szCs w:val="18"/>
                <w:color w:val="auto"/>
              </w:rPr>
            </w:pPr>
          </w:p>
        </w:tc>
        <w:tc>
          <w:tcPr>
            <w:tcW w:w="3040" w:type="dxa"/>
            <w:vAlign w:val="bottom"/>
            <w:tcBorders>
              <w:top w:val="single" w:sz="8" w:color="0000EE"/>
            </w:tcBorders>
            <w:gridSpan w:val="11"/>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Form 10-K Summary</w:t>
              </w:r>
            </w:hyperlink>
          </w:p>
        </w:tc>
        <w:tc>
          <w:tcPr>
            <w:tcW w:w="60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3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objectives and expectations of management for future operations and capital allocation expectations,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of the Company’s retail stores and distribution centers;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patterns; the duration and extent of economic stimulus</w:t>
      </w:r>
      <w:r>
        <w:rPr>
          <w:rFonts w:ascii="Arial" w:cs="Arial" w:eastAsia="Arial" w:hAnsi="Arial"/>
          <w:sz w:val="17"/>
          <w:szCs w:val="17"/>
          <w:color w:val="auto"/>
        </w:rPr>
        <w:t>;</w:t>
      </w:r>
      <w:r>
        <w:rPr>
          <w:rFonts w:ascii="Arial" w:cs="Arial" w:eastAsia="Arial" w:hAnsi="Arial"/>
          <w:sz w:val="17"/>
          <w:szCs w:val="17"/>
          <w:i w:val="1"/>
          <w:iCs w:val="1"/>
          <w:color w:val="auto"/>
        </w:rPr>
        <w:t xml:space="preserve"> changes in product mix; interruptions in suppliers’ businesses; a deterioration in general economic conditions, whether caused by acts of war, terrorism, political or social unrest (including any resulting store closures, damage or loss of inventory), or other factors; the results of pending or threatened litigation; temporary changes in demand due to weather patterns; seasonality of the Company’s business; delays associated with building, opening and operating new stores; delays associated with building, and opening or expanding new or existing distribution centers.</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20"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i w:val="1"/>
          <w:iCs w:val="1"/>
          <w:color w:val="auto"/>
        </w:rPr>
        <w:t>Information is provided herein with respect to our operations related to our fiscal years ended on January 30, 2021 (“fiscal 2020”), February 1, 2020 (“fiscal 2019”) and February 2, 2019 (“fiscal 2018”)</w:t>
      </w:r>
      <w:r>
        <w:rPr>
          <w:rFonts w:ascii="Arial" w:cs="Arial" w:eastAsia="Arial" w:hAnsi="Arial"/>
          <w:sz w:val="17"/>
          <w:szCs w:val="17"/>
          <w:color w:val="auto"/>
        </w:rPr>
        <w:t>.</w:t>
      </w:r>
    </w:p>
    <w:p>
      <w:pPr>
        <w:spacing w:after="0" w:line="7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History</w:t>
      </w:r>
    </w:p>
    <w:p>
      <w:pPr>
        <w:spacing w:after="0" w:line="162"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 xml:space="preserve">We are a growing specialty value retailer of apparel, accessories and home trends primarily for African American and Latinx families. Our high-quality and trend-right merchandise offerings at everyday low prices are designed to appeal to the fashion and trend preferences of value-conscious customers. Based on the strength of our brand and experienced leadership team, we believe we have fostered deep customer loyalty and high shopping frequency in the underserved communities in which we operate. Our stores are located at the crossroads of low to moderate income households and serve as a “one-stop-shop” for the entire family. Our stores average approximately 11,000 square feet of selling space and are typically located in outdoor community shopping centers across a variety of urban, suburban and rural markets. As of January 30, 2021, we operated 585 stores in 33 states. Our team is focused on delivering a memorable store experience anchored in value, and we currently maintain an informational website at </w:t>
      </w:r>
      <w:r>
        <w:rPr>
          <w:rFonts w:ascii="Arial" w:cs="Arial" w:eastAsia="Arial" w:hAnsi="Arial"/>
          <w:sz w:val="17"/>
          <w:szCs w:val="17"/>
          <w:i w:val="1"/>
          <w:iCs w:val="1"/>
          <w:color w:val="auto"/>
        </w:rPr>
        <w:t>www.cititrends.com</w:t>
      </w:r>
      <w:r>
        <w:rPr>
          <w:rFonts w:ascii="Arial" w:cs="Arial" w:eastAsia="Arial" w:hAnsi="Arial"/>
          <w:sz w:val="17"/>
          <w:szCs w:val="17"/>
          <w:color w:val="auto"/>
        </w:rPr>
        <w:t xml:space="preserve"> that assists customers in finding stores and seeing the latest trends available in our stores.</w:t>
      </w:r>
    </w:p>
    <w:p>
      <w:pPr>
        <w:spacing w:after="0" w:line="12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rebranded the stores to “Citi Trends” and implemented several strategies to focus on offering curated assortments for our target customers and improve our operating and financial performance. After the successful implementation of these strategies and the growth of our chain from 85 stores to 212 stores, we completed an initial public offering of our common stock on May 18, 2005. Since our initial public offering, we have grown our chain 175% to 585 stores as of January 30, 2021. We opened 18 new stores in fiscal 2020 (and closed 4 stores) and we plan to open at least 30 new stores in fiscal 2021. We believe we have opportunity to grow our store base to 1,000 stores over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 xml:space="preserve">We are a Delaware corporation, and our executive offices are located at 104 Coleman Boulevard, Savannah, Georgia 31408 and our telephone number is (912) 236-1561. Our Internet address is </w:t>
      </w:r>
      <w:r>
        <w:rPr>
          <w:rFonts w:ascii="Arial" w:cs="Arial" w:eastAsia="Arial" w:hAnsi="Arial"/>
          <w:sz w:val="17"/>
          <w:szCs w:val="17"/>
          <w:i w:val="1"/>
          <w:iCs w:val="1"/>
          <w:color w:val="auto"/>
        </w:rPr>
        <w:t>www.cititrends.com</w:t>
      </w:r>
      <w:r>
        <w:rPr>
          <w:rFonts w:ascii="Arial" w:cs="Arial" w:eastAsia="Arial" w:hAnsi="Arial"/>
          <w:sz w:val="17"/>
          <w:szCs w:val="17"/>
          <w:color w:val="auto"/>
        </w:rPr>
        <w:t xml:space="preserve">. The reference to our web site address in this Report does not constitute the incorporation by reference of the information contained 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print any materials we file with the SEC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 and Strategies</w:t>
      </w:r>
    </w:p>
    <w:p>
      <w:pPr>
        <w:spacing w:after="0" w:line="162"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Our goal is to be the leading specialty value retailer of apparel, accessories and home trends for African American and Latinx families with an average annual household income of approximately $40,000. We strive to provide our customers with a place to shop that is fashionable, fresh, friendly, fair and fun. We believe the following business strengths differentiate us from our competitors and are important to our success:</w:t>
      </w:r>
    </w:p>
    <w:p>
      <w:pPr>
        <w:spacing w:after="0" w:line="116"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b w:val="1"/>
          <w:bCs w:val="1"/>
          <w:i w:val="1"/>
          <w:iCs w:val="1"/>
          <w:color w:val="auto"/>
        </w:rPr>
        <w:t>Focus on Fashion and Trend Mix</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focus our merchandise on being fashionable and trend-right to appeal to our core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not attempt to dictate trends, but rather, we devote considerable effort to identifying emerging trends and ensuring that our wide assortment of apparel and non-apparel merchandise is curated to appeal to the preferences of our target customers. Our buying staff tests new emerging trends before reordering and actively manages the mix of basic, fashion, trend and branded products in our stores to keep the offering fresh and current.</w:t>
      </w:r>
    </w:p>
    <w:p>
      <w:pPr>
        <w:spacing w:after="0" w:line="99"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b w:val="1"/>
          <w:bCs w:val="1"/>
          <w:i w:val="1"/>
          <w:iCs w:val="1"/>
          <w:color w:val="auto"/>
        </w:rPr>
        <w:t>Superior Value Proposition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offer top quality, fashionable merchandise for way less spend. We believe our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provides important access to trends that would otherwise be out of reach for the lower income customers we serve. We do not employ high-low pricing strategies; instead, our everyday low price points offer superior value, allowing our customers to purchase multiple items per visit. Our advertising expenses are low as we do not rely on promotion-driven sales and instead seek to build our reputation through word-of-mouth awareness of our value in the communities we serve.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One-Stop-Shop for the Entire Family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merchandise our stores to create a specialty store environment that serves as a destination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meets the apparel and non-apparel needs of the entire family. Every store offers a wide variety of always-changing products for men and women of all sizes and children from newborn to size 20. Our stores include a wide assortment of sportswear, dresses, outerwear, footwear, intimate apparel and sleepwear, jewelry, handbags, beauty products, home goods, tech accessories, health and beauty aids, candy, fitness products, team sports products, toys and books. We believe that our small footprint stores, combined with a specialty store experience, friendly customer service where we often know the customer’s name and breadth of merchandise, distinguishes our stores from many competitors and creates an exciting and welcoming environment that encourages repeat visits from the local community.</w:t>
      </w:r>
    </w:p>
    <w:p>
      <w:pPr>
        <w:spacing w:after="0" w:line="29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b w:val="1"/>
          <w:bCs w:val="1"/>
          <w:i w:val="1"/>
          <w:iCs w:val="1"/>
          <w:color w:val="auto"/>
        </w:rPr>
        <w:t>Strong and Flexible Sourcing Relationships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strong sourcing relationships with a large group of suppliers. Our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located in New York City plans, develops and creates curated assortments by purchasing goods developed specifically with our customers in mind and opportunistically available excess inventory from reliable and trustworthy vendors,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Dynamic Experience in a Friendly and Fun Environment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provide a fashion-focused shopping environment that is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specialty apparel retailer, rather than a typical discount or big box retailer. Products are prominently displayed by style, rather than by size, on four-sided fixtures featuring multiple sizes, styles and suggested outfits. Non-apparel products are displayed on fixtures that highlight prints, patterns and themes of trend-right categories. Our stores are easy to navigate, carpeted, well-lit and feature upbeat and trend-right overhead music appropriate for our target customers. Our stores are neat, orderly and clean, offering a friendly and fun environment.</w:t>
      </w:r>
    </w:p>
    <w:p>
      <w:pPr>
        <w:spacing w:after="0" w:line="11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Friendly and Helpful Store Associates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store associates are trained to provide friendly and helpful customer service to deliver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positive shopping experience. Many of our store associates live in the neighborhoods where our stores are located and frequently shop our stores themselves. Approximately 80% of our associates identify as African American or Latinx, and we have always led with a diverse and inclusive workplace. As a result, our store associates cultivate a unique culture at our stores that creates a high level of connectivity with our customers. We strive to make our stores a destination where everyone is welcome, and our store associates foster that vision every day through enriched customer engagement.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Cost-Effective Store Locations and New Store Economics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locate our stores in high-traffic outdoor community shopping centers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convenient to low and moderate income neighborhoods. We generally utilize previously occupied store sites which enables us to obtain attractive rents. At the same time, from an investment perspective, we seek to design stores that are inviting and easy to shop, while limiting startup and fixturing costs. Our store growth is supported by our new store economics, which we believe to be compelling. Our new store model assumes a store size of approximately 11,000 square feet that achieves sales of approximately $1.4 million in the first full year of operations and an initial cash investment of approximately $0.4 million comprised of store build-out costs (net of tenant allowances), inventory (net of accounts payable) and cash pre-opening expenses. Our new store model presents an attractive average payback period of two years on our initial investment.</w:t>
      </w:r>
    </w:p>
    <w:p>
      <w:pPr>
        <w:spacing w:after="0" w:line="103"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Highly Talented and Motivated Leadership Team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management team, led by David Makuen,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extensive value retail experience across a broad range of disciplines, including merchandising, real estate, finance, store operations, supply chain management and information technology. Our management team plans and drives our growth strategy, which is based on our constant focus on providing trend-driven merchandise anchored in value to the lower income, underserved African American and Latinx populations. We believe our management team is integral to our success and positions us well for long-term growth.</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Strategy</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believe that Citi Trends is in a unique position for growth. We have a loyal customer base, a long runway for store growth and a motivated leadership team, supported by a healthy balance sheet. We have identified four strategic areas of focus that we believe will accelerate our sales and earnings growth over the next few years. These areas of focus are:</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Growing Our Fleet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have the potential to grow to 1,000 stores as a result of a third-party study conducted in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represents a potential 70% increase in the size of our current fleet and will give us the opportunity to build stores in geographies for the following population segments: African American-centric geographies, Melting Pot geographies (containing a mix of African Americans and Latinx families), and Latinx-centric geographies.</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Optimizing the Product Mix</w:t>
      </w:r>
      <w:r>
        <w:rPr>
          <w:rFonts w:ascii="Arial" w:cs="Arial" w:eastAsia="Arial" w:hAnsi="Arial"/>
          <w:sz w:val="17"/>
          <w:szCs w:val="17"/>
          <w:color w:val="auto"/>
        </w:rPr>
        <w:t>. We believe that our unique ability to curate assortments for our target customers further differentiates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Through a combination of directly sourced products and highly recognized brands grounded in everyday value, we are known for delivering constant newness and freshness, causing a high repeat shopping rate. We practice rigorous inventory management, prioritizing choice and breadth over depth, improving our speed to market and driving faster turns. Continued expansion of non-apparel categories and investments in systems and automation will further optimize our product mix.</w:t>
      </w:r>
    </w:p>
    <w:p>
      <w:pPr>
        <w:spacing w:after="0" w:line="112"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capabilities to “buy,” “move” and “sell” our assortments to effectively engage current and new customers.</w:t>
      </w:r>
    </w:p>
    <w:p>
      <w:pPr>
        <w:spacing w:after="0" w:line="98" w:lineRule="exact"/>
        <w:rPr>
          <w:sz w:val="20"/>
          <w:szCs w:val="20"/>
          <w:color w:val="auto"/>
        </w:rPr>
      </w:pPr>
    </w:p>
    <w:p>
      <w:pPr>
        <w:ind w:left="680" w:right="80" w:hanging="332"/>
        <w:spacing w:after="0" w:line="243"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“Buy” is everything associated with buying, planning and allocating the assortments that we offer to our customers. We plan to invest in systems and data to enhance our teams’ roles and how they operate.</w:t>
      </w:r>
    </w:p>
    <w:p>
      <w:pPr>
        <w:spacing w:after="0" w:line="171" w:lineRule="exact"/>
        <w:rPr>
          <w:rFonts w:ascii="Arial" w:cs="Arial" w:eastAsia="Arial" w:hAnsi="Arial"/>
          <w:sz w:val="17"/>
          <w:szCs w:val="17"/>
          <w:color w:val="auto"/>
        </w:rPr>
      </w:pPr>
    </w:p>
    <w:p>
      <w:pPr>
        <w:ind w:left="680" w:right="80" w:hanging="332"/>
        <w:spacing w:after="0" w:line="23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“Move” translates to our supply chain and how we move goods from the time an order is placed through getting it to the selling floor. Investments in this area include upgrades to our distribution centers and system enhancements in order to increase speed and productivity.</w:t>
      </w:r>
    </w:p>
    <w:p>
      <w:pPr>
        <w:spacing w:after="0" w:line="174" w:lineRule="exact"/>
        <w:rPr>
          <w:rFonts w:ascii="Arial" w:cs="Arial" w:eastAsia="Arial" w:hAnsi="Arial"/>
          <w:sz w:val="17"/>
          <w:szCs w:val="17"/>
          <w:color w:val="auto"/>
        </w:rPr>
      </w:pPr>
    </w:p>
    <w:p>
      <w:pPr>
        <w:ind w:left="680" w:right="280" w:hanging="332"/>
        <w:spacing w:after="0" w:line="243"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relates to operations at our retail stores. Our investments in this area include expanding and enhancing the chain and implementing important tools such as a new point-of-sale system and workflow apps to improve store productivity.</w:t>
      </w:r>
    </w:p>
    <w:p>
      <w:pPr>
        <w:spacing w:after="0" w:line="1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committed to making a difference in the African American and Latinx communities that we serve.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start the journey towards being more sustainable as a company, towards taking diversity and inclusion to the next level, and ensuring that we operate with the highest of ethics. See “Community Involvement” under “Human Capital Management” below for more information on our initiatives to make a difference.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strongly believe that our growth strategy centered around these four areas will accelerate our sales and earnings growth.</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Value</w:t>
      </w:r>
    </w:p>
    <w:p>
      <w:pPr>
        <w:spacing w:after="0" w:line="149" w:lineRule="exact"/>
        <w:rPr>
          <w:sz w:val="20"/>
          <w:szCs w:val="20"/>
          <w:color w:val="auto"/>
        </w:rPr>
      </w:pPr>
    </w:p>
    <w:p>
      <w:pPr>
        <w:ind w:right="560"/>
        <w:spacing w:after="0" w:line="238" w:lineRule="auto"/>
        <w:rPr>
          <w:sz w:val="20"/>
          <w:szCs w:val="20"/>
          <w:color w:val="auto"/>
        </w:rPr>
      </w:pPr>
      <w:r>
        <w:rPr>
          <w:rFonts w:ascii="Arial" w:cs="Arial" w:eastAsia="Arial" w:hAnsi="Arial"/>
          <w:sz w:val="17"/>
          <w:szCs w:val="17"/>
          <w:color w:val="auto"/>
        </w:rPr>
        <w:t>Our merchandising strategy is to offer fresh and fashionable apparel, accessories and home trends for way less spend for value-conscious families. We seek to maintain a diverse assortment of in-season merchandise that appeals to the specific tastes and preferences of our core customers. Our assortment is comprised of privately-developed and nationally-recognized brands.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Our merchandise is represented by six distinct “Citis” within the store:</w:t>
      </w:r>
    </w:p>
    <w:p>
      <w:pPr>
        <w:spacing w:after="0" w:line="122" w:lineRule="exact"/>
        <w:rPr>
          <w:sz w:val="20"/>
          <w:szCs w:val="20"/>
          <w:color w:val="auto"/>
        </w:rPr>
      </w:pPr>
    </w:p>
    <w:p>
      <w:pPr>
        <w:ind w:left="680" w:right="320" w:hanging="332"/>
        <w:spacing w:after="0" w:line="26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Ladies: </w:t>
      </w:r>
      <w:r>
        <w:rPr>
          <w:rFonts w:ascii="Arial" w:cs="Arial" w:eastAsia="Arial" w:hAnsi="Arial"/>
          <w:sz w:val="17"/>
          <w:szCs w:val="17"/>
          <w:color w:val="auto"/>
        </w:rPr>
        <w:t>a wide selection of apparel for juniors and women (plus size), including fashion sportswear, outerwear, sleepwear,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lingerie and scrubs.</w:t>
      </w:r>
    </w:p>
    <w:p>
      <w:pPr>
        <w:spacing w:after="0" w:line="78" w:lineRule="exact"/>
        <w:rPr>
          <w:rFonts w:ascii="Arial" w:cs="Arial" w:eastAsia="Arial" w:hAnsi="Arial"/>
          <w:sz w:val="17"/>
          <w:szCs w:val="17"/>
          <w:color w:val="auto"/>
        </w:rPr>
      </w:pPr>
    </w:p>
    <w:p>
      <w:pPr>
        <w:ind w:left="680" w:hanging="33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Mens: </w:t>
      </w:r>
      <w:r>
        <w:rPr>
          <w:rFonts w:ascii="Arial" w:cs="Arial" w:eastAsia="Arial" w:hAnsi="Arial"/>
          <w:sz w:val="17"/>
          <w:szCs w:val="17"/>
          <w:color w:val="auto"/>
        </w:rPr>
        <w:t>a wide selection of apparel for men and big men, including fashion sportswear and outerwear.</w:t>
      </w:r>
    </w:p>
    <w:p>
      <w:pPr>
        <w:spacing w:after="0" w:line="155" w:lineRule="exact"/>
        <w:rPr>
          <w:rFonts w:ascii="Arial" w:cs="Arial" w:eastAsia="Arial" w:hAnsi="Arial"/>
          <w:sz w:val="17"/>
          <w:szCs w:val="17"/>
          <w:color w:val="auto"/>
        </w:rPr>
      </w:pPr>
    </w:p>
    <w:p>
      <w:pPr>
        <w:ind w:left="680" w:right="220" w:hanging="332"/>
        <w:spacing w:after="0" w:line="26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Kids: </w:t>
      </w:r>
      <w:r>
        <w:rPr>
          <w:rFonts w:ascii="Arial" w:cs="Arial" w:eastAsia="Arial" w:hAnsi="Arial"/>
          <w:sz w:val="17"/>
          <w:szCs w:val="17"/>
          <w:color w:val="auto"/>
        </w:rPr>
        <w:t>fashion clothing for boys and girls up to size 20 and sizes for newborns, infants and toddlers, as well as kids uniforms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kids accessories.</w:t>
      </w:r>
    </w:p>
    <w:p>
      <w:pPr>
        <w:spacing w:after="0" w:line="91" w:lineRule="exact"/>
        <w:rPr>
          <w:rFonts w:ascii="Arial" w:cs="Arial" w:eastAsia="Arial" w:hAnsi="Arial"/>
          <w:sz w:val="17"/>
          <w:szCs w:val="17"/>
          <w:color w:val="auto"/>
        </w:rPr>
      </w:pPr>
    </w:p>
    <w:p>
      <w:pPr>
        <w:ind w:left="680" w:right="20" w:hanging="332"/>
        <w:spacing w:after="0" w:line="26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Accessories and Beauty: </w:t>
      </w:r>
      <w:r>
        <w:rPr>
          <w:rFonts w:ascii="Arial" w:cs="Arial" w:eastAsia="Arial" w:hAnsi="Arial"/>
          <w:sz w:val="17"/>
          <w:szCs w:val="17"/>
          <w:color w:val="auto"/>
        </w:rPr>
        <w:t>fashionable handbags, luggage, hats, belts, sunglasses, jewelry and watches for men and women,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basic undergarments for the entire family and expansive beauty and fragrance offerings for women and men.</w:t>
      </w:r>
    </w:p>
    <w:p>
      <w:pPr>
        <w:spacing w:after="0" w:line="78" w:lineRule="exact"/>
        <w:rPr>
          <w:rFonts w:ascii="Arial" w:cs="Arial" w:eastAsia="Arial" w:hAnsi="Arial"/>
          <w:sz w:val="17"/>
          <w:szCs w:val="17"/>
          <w:color w:val="auto"/>
        </w:rPr>
      </w:pPr>
    </w:p>
    <w:p>
      <w:pPr>
        <w:ind w:left="680" w:right="200" w:hanging="332"/>
        <w:spacing w:after="0" w:line="249"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Home and Lifestyle: </w:t>
      </w:r>
      <w:r>
        <w:rPr>
          <w:rFonts w:ascii="Arial" w:cs="Arial" w:eastAsia="Arial" w:hAnsi="Arial"/>
          <w:sz w:val="17"/>
          <w:szCs w:val="17"/>
          <w:color w:val="auto"/>
        </w:rPr>
        <w:t>home goods for the bedroom, bathroom, kitchen and decorative accessories, plus an eclectic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wants and needs such as books, food, tech products, team sports products, toys, health and beauty products and seasonal items.</w:t>
      </w:r>
    </w:p>
    <w:p>
      <w:pPr>
        <w:spacing w:after="0" w:line="107" w:lineRule="exact"/>
        <w:rPr>
          <w:rFonts w:ascii="Arial" w:cs="Arial" w:eastAsia="Arial" w:hAnsi="Arial"/>
          <w:sz w:val="17"/>
          <w:szCs w:val="17"/>
          <w:color w:val="auto"/>
        </w:rPr>
      </w:pPr>
    </w:p>
    <w:p>
      <w:pPr>
        <w:ind w:left="680" w:hanging="33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Footwear: </w:t>
      </w:r>
      <w:r>
        <w:rPr>
          <w:rFonts w:ascii="Arial" w:cs="Arial" w:eastAsia="Arial" w:hAnsi="Arial"/>
          <w:sz w:val="17"/>
          <w:szCs w:val="17"/>
          <w:color w:val="auto"/>
        </w:rPr>
        <w:t>casual and dress footwear in sizes for mens, ladies and kids.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percentage of net sales for each Citi within the store:</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75"/>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80" w:type="dxa"/>
            <w:vAlign w:val="bottom"/>
            <w:gridSpan w:val="3"/>
            <w:vMerge w:val="continue"/>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21"/>
              <w:spacing w:after="0" w:line="183" w:lineRule="exact"/>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92"/>
              </w:rPr>
              <w:t>%</w:t>
            </w:r>
          </w:p>
        </w:tc>
        <w:tc>
          <w:tcPr>
            <w:tcW w:w="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gridSpan w:val="2"/>
          </w:tcPr>
          <w:p>
            <w:pPr>
              <w:spacing w:after="0" w:line="189" w:lineRule="exact"/>
              <w:rPr>
                <w:sz w:val="20"/>
                <w:szCs w:val="20"/>
                <w:color w:val="auto"/>
              </w:rPr>
            </w:pPr>
            <w:r>
              <w:rPr>
                <w:rFonts w:ascii="Arial" w:cs="Arial" w:eastAsia="Arial" w:hAnsi="Arial"/>
                <w:sz w:val="17"/>
                <w:szCs w:val="17"/>
                <w:color w:val="auto"/>
              </w:rPr>
              <w:t>Kids</w:t>
            </w:r>
          </w:p>
        </w:tc>
        <w:tc>
          <w:tcPr>
            <w:tcW w:w="580" w:type="dxa"/>
            <w:vAlign w:val="bottom"/>
            <w:gridSpan w:val="2"/>
          </w:tcPr>
          <w:p>
            <w:pPr>
              <w:jc w:val="right"/>
              <w:ind w:right="21"/>
              <w:spacing w:after="0" w:line="189" w:lineRule="exact"/>
              <w:rPr>
                <w:sz w:val="20"/>
                <w:szCs w:val="20"/>
                <w:color w:val="auto"/>
              </w:rPr>
            </w:pPr>
            <w:r>
              <w:rPr>
                <w:rFonts w:ascii="Arial" w:cs="Arial" w:eastAsia="Arial" w:hAnsi="Arial"/>
                <w:sz w:val="17"/>
                <w:szCs w:val="17"/>
                <w:color w:val="auto"/>
              </w:rPr>
              <w:t>23 %</w:t>
            </w:r>
          </w:p>
        </w:tc>
        <w:tc>
          <w:tcPr>
            <w:tcW w:w="58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23 %</w:t>
            </w:r>
          </w:p>
        </w:tc>
        <w:tc>
          <w:tcPr>
            <w:tcW w:w="40" w:type="dxa"/>
            <w:vAlign w:val="bottom"/>
          </w:tcPr>
          <w:p>
            <w:pPr>
              <w:spacing w:after="0"/>
              <w:rPr>
                <w:sz w:val="16"/>
                <w:szCs w:val="16"/>
                <w:color w:val="auto"/>
              </w:rPr>
            </w:pPr>
          </w:p>
        </w:tc>
        <w:tc>
          <w:tcPr>
            <w:tcW w:w="66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Mens</w:t>
            </w:r>
          </w:p>
        </w:tc>
        <w:tc>
          <w:tcPr>
            <w:tcW w:w="580" w:type="dxa"/>
            <w:vAlign w:val="bottom"/>
            <w:gridSpan w:val="2"/>
            <w:shd w:val="clear" w:color="auto" w:fill="CCEEFF"/>
          </w:tcPr>
          <w:p>
            <w:pPr>
              <w:jc w:val="right"/>
              <w:ind w:right="21"/>
              <w:spacing w:after="0" w:line="189" w:lineRule="exact"/>
              <w:rPr>
                <w:sz w:val="20"/>
                <w:szCs w:val="20"/>
                <w:color w:val="auto"/>
              </w:rPr>
            </w:pPr>
            <w:r>
              <w:rPr>
                <w:rFonts w:ascii="Arial" w:cs="Arial" w:eastAsia="Arial" w:hAnsi="Arial"/>
                <w:sz w:val="17"/>
                <w:szCs w:val="17"/>
                <w:color w:val="auto"/>
              </w:rPr>
              <w:t>18 %</w:t>
            </w:r>
          </w:p>
        </w:tc>
        <w:tc>
          <w:tcPr>
            <w:tcW w:w="5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16 %</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gridSpan w:val="2"/>
          </w:tcPr>
          <w:p>
            <w:pPr>
              <w:spacing w:after="0" w:line="189" w:lineRule="exact"/>
              <w:rPr>
                <w:sz w:val="20"/>
                <w:szCs w:val="20"/>
                <w:color w:val="auto"/>
              </w:rPr>
            </w:pPr>
            <w:r>
              <w:rPr>
                <w:rFonts w:ascii="Arial" w:cs="Arial" w:eastAsia="Arial" w:hAnsi="Arial"/>
                <w:sz w:val="17"/>
                <w:szCs w:val="17"/>
                <w:color w:val="auto"/>
              </w:rPr>
              <w:t>Accessories &amp; Beauty</w:t>
            </w:r>
          </w:p>
        </w:tc>
        <w:tc>
          <w:tcPr>
            <w:tcW w:w="580" w:type="dxa"/>
            <w:vAlign w:val="bottom"/>
            <w:gridSpan w:val="2"/>
          </w:tcPr>
          <w:p>
            <w:pPr>
              <w:jc w:val="right"/>
              <w:ind w:right="21"/>
              <w:spacing w:after="0" w:line="189" w:lineRule="exact"/>
              <w:rPr>
                <w:sz w:val="20"/>
                <w:szCs w:val="20"/>
                <w:color w:val="auto"/>
              </w:rPr>
            </w:pPr>
            <w:r>
              <w:rPr>
                <w:rFonts w:ascii="Arial" w:cs="Arial" w:eastAsia="Arial" w:hAnsi="Arial"/>
                <w:sz w:val="17"/>
                <w:szCs w:val="17"/>
                <w:color w:val="auto"/>
              </w:rPr>
              <w:t>16 %</w:t>
            </w:r>
          </w:p>
        </w:tc>
        <w:tc>
          <w:tcPr>
            <w:tcW w:w="58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17 %</w:t>
            </w:r>
          </w:p>
        </w:tc>
        <w:tc>
          <w:tcPr>
            <w:tcW w:w="40" w:type="dxa"/>
            <w:vAlign w:val="bottom"/>
          </w:tcPr>
          <w:p>
            <w:pPr>
              <w:spacing w:after="0"/>
              <w:rPr>
                <w:sz w:val="16"/>
                <w:szCs w:val="16"/>
                <w:color w:val="auto"/>
              </w:rPr>
            </w:pPr>
          </w:p>
        </w:tc>
        <w:tc>
          <w:tcPr>
            <w:tcW w:w="66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line="189" w:lineRule="exact"/>
              <w:rPr>
                <w:sz w:val="20"/>
                <w:szCs w:val="20"/>
                <w:color w:val="auto"/>
              </w:rPr>
            </w:pPr>
            <w:r>
              <w:rPr>
                <w:rFonts w:ascii="Arial" w:cs="Arial" w:eastAsia="Arial" w:hAnsi="Arial"/>
                <w:sz w:val="17"/>
                <w:szCs w:val="17"/>
                <w:color w:val="auto"/>
              </w:rPr>
              <w:t>9 %</w:t>
            </w:r>
          </w:p>
        </w:tc>
        <w:tc>
          <w:tcPr>
            <w:tcW w:w="5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7 %</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8 %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11 %</w:t>
            </w:r>
          </w:p>
        </w:tc>
        <w:tc>
          <w:tcPr>
            <w:tcW w:w="40" w:type="dxa"/>
            <w:vAlign w:val="bottom"/>
          </w:tcPr>
          <w:p>
            <w:pPr>
              <w:spacing w:after="0"/>
              <w:rPr>
                <w:sz w:val="17"/>
                <w:szCs w:val="17"/>
                <w:color w:val="auto"/>
              </w:rPr>
            </w:pPr>
          </w:p>
        </w:tc>
        <w:tc>
          <w:tcPr>
            <w:tcW w:w="660" w:type="dxa"/>
            <w:vAlign w:val="bottom"/>
            <w:gridSpan w:val="2"/>
          </w:tcPr>
          <w:p>
            <w:pPr>
              <w:jc w:val="right"/>
              <w:ind w:right="35"/>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goal is to deliver outstanding value every day. We do this by offering access to fashion and trends at affordable prices that are desirable for low to moderate income customers. As a normal course, we do not engage in promotional activity such as high-low pricing, coupons or sales other than our regularly scheduled markdowns. The flexibility of our model allows our pricing structure to fluctuate in response to marketplace changes while maintaining our merchandise margins. Both branded and non-branded offerings validate our fashion and value to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Sourcing and Allocation</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and a planning and allocation team.</w:t>
      </w:r>
    </w:p>
    <w:p>
      <w:pPr>
        <w:spacing w:after="0" w:line="1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Our buyers have extensive experience and have developed long-standing relationships with many of our vendors. The buying office is located in New York City, and the team travels regularly to the major United States markets, visiting major manufacturers and attending national and regional trade shows.</w:t>
      </w:r>
    </w:p>
    <w:p>
      <w:pPr>
        <w:spacing w:after="0" w:line="13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buying team sources goods in a couple of ways. First, we source a curated compilation of the latest trends and fashion from a constantly growing base of vendors that manufacture products for Citi Trends’ core customers. Our buyers collaborate with these vendors to design products that are of high aesthetic value and appealing to our customers. Second, we maintain strong relationships with nationally recognized brands that we partner with to buy and customize products that are geared in size, color and style to our core customers. The majority of our merchandise is first-quality and purchased in season. High-quality excess inventory is purchased at advantageous pricing with the intent to sell later in the same season or the following season. This allows us to deliver exciting value on select highly desirable goods. Beginning in fiscal 2021, we launched an initiative to increase the penetration of Black and Brown-owned brands in our merchandise assortment. This initiative will further enable us to support many entrepreneurs that we believe will deepen our connection with our target customers.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allocate merchandise across our stores according to fact-based plans that are created by our planning and allocation teams. Our staff utilizes a centralized management system to monitor merchandise purchasing, planning and allocation in order to maximize inventory turnover, identify and respond to changing product demands and determine the timing of markdowns to our merchandise. A store-level planning system assists our team in their efforts to allocate merchandise to individual stores based on sales performance and planned inventory levels. The buyers also regularly review the age and performance of the merchandise and manage both the reordering and clearance processes.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Operations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Our stores are located in the heart of the vibrant lower income communities we serve. We hire a diverse staff of women and men from the local area surrounding our stores. As of January 31, 2021, nearly 80% of our store associates are African American or Latinx, and more than 90% of our store management positions are filled by women. We cater to entire families and offer a one-stop shopping experience that meets the vital needs of these underserved communities. We welcome everyone with “Hi, welcome to Citi Trends” and we develop a longstanding rapport with many of our customers, many of whom we know by name. Every Citi Trends store presents a specialty store environment with a wide array of offerings.</w:t>
      </w:r>
    </w:p>
    <w:p>
      <w:pPr>
        <w:spacing w:after="0" w:line="13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average selling space of our 585 stores is approximately 11,000 square feet, which allows us the space and flexibility to organize our six “Citis” of business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highly appealing products at value prices for our core customers. We provide them a place to shop that is fashionable, friendly, fresh, fair and fun. A critical component of our success is to maintain an environment that is neat, clean and organized, where everyone is welcome.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typical store is staffed with a Store Manager, two or three Assistant Managers and seven to eight part-time Sales Associates, all of whom rotate work days on a shift basis. Our employees are critical to achieving our goals, and we strive to hire employees from the local community with high energy levels and motivation.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and helpful manner.</w:t>
      </w:r>
    </w:p>
    <w:p>
      <w:pPr>
        <w:spacing w:after="0" w:line="305"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offer a layaway program that allows customers to purchase merchandise by initially paying a 20% deposit and a $2 service charge, although at various times,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w:t>
      </w:r>
    </w:p>
    <w:p>
      <w:pPr>
        <w:spacing w:after="0" w:line="136"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unique focus on underserved African American and Latinx families offers us the opportunity to pinpoint highly targeted and highly visible store locations. Cost-effective store locations are an important part of our store profitability model. Accordingly, we look for locations in outdoor community shopping centers that offer attractive rents and meet our demographic and economic criteria. We have a dedicated real estate management team responsible for new store site selection and we employ rigorous analysis that is used during real estate committee meetings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 After completing a study in fiscal 2020 with a third-party provider, we believe we can grow our fleet to 1,000 stores over time.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Marketing</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 xml:space="preserve">Our marketing goals are to build the Citi Trends brand, promote customers’ association of the Citi Trends brand with value, quality, fashion and everyday low prices, and drive traffic into our stores. We generally focus our advertising efforts utilizing emails, social media and influencer marketing. We use our social media channels to highlight our brand and engage our customers with compelling digital content on a regular basis. We also maintain an informational website at </w:t>
      </w:r>
      <w:r>
        <w:rPr>
          <w:rFonts w:ascii="Arial" w:cs="Arial" w:eastAsia="Arial" w:hAnsi="Arial"/>
          <w:sz w:val="17"/>
          <w:szCs w:val="17"/>
          <w:i w:val="1"/>
          <w:iCs w:val="1"/>
          <w:color w:val="auto"/>
        </w:rPr>
        <w:t>www.cititrends.com</w:t>
      </w:r>
      <w:r>
        <w:rPr>
          <w:rFonts w:ascii="Arial" w:cs="Arial" w:eastAsia="Arial" w:hAnsi="Arial"/>
          <w:sz w:val="17"/>
          <w:szCs w:val="17"/>
          <w:color w:val="auto"/>
        </w:rPr>
        <w:t xml:space="preserve"> which showcases our latest in-store products and provides information about our business, including a store locator.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49" w:lineRule="exact"/>
        <w:rPr>
          <w:sz w:val="20"/>
          <w:szCs w:val="20"/>
          <w:color w:val="auto"/>
        </w:rPr>
      </w:pPr>
    </w:p>
    <w:p>
      <w:pPr>
        <w:jc w:val="both"/>
        <w:ind w:right="280"/>
        <w:spacing w:after="0" w:line="236" w:lineRule="auto"/>
        <w:rPr>
          <w:sz w:val="20"/>
          <w:szCs w:val="20"/>
          <w:color w:val="auto"/>
        </w:rPr>
      </w:pPr>
      <w:r>
        <w:rPr>
          <w:rFonts w:ascii="Arial" w:cs="Arial" w:eastAsia="Arial" w:hAnsi="Arial"/>
          <w:sz w:val="17"/>
          <w:szCs w:val="17"/>
          <w:color w:val="auto"/>
        </w:rPr>
        <w:t>All merchandise sold in our stores is shipped directly from our company-owned distribution centers in Darlington, South Carolina and Roland, Oklahoma, utilizing third-party delivery partners. Our stores receive multiple shipments of merchandise each week from our distribution centers. In addition, we initiated a drop-shipment program in fiscal 2020 that enables us to expedite the delivery of select merchandise to our stores by shipping directly from our vendors.</w:t>
      </w:r>
    </w:p>
    <w:p>
      <w:pPr>
        <w:spacing w:after="0" w:line="13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Darlington distribution center has 550,000 square feet of space, while the Roland distribution center has 565,000 square feet of space. The distribution center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Systems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information systems in place to support our core business functions, using a combination of industry-standard third 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pacing w:after="0" w:line="13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developed and are executing on our strategic roadmap to upgrade our information systems. In 2020, we delivered a new cloud-based merchandise planning and forecasting solution to streamline processes, increase accuracy and leverage alternative modeling techniques. In addition, we are in the process of implementing a cloud-based business intelligence platform to provide robust analytical capabilities across our enterprise and extend visibility to granular levels of the business. We are currently engaged in a point-of-sale replacement project that includes new hardware, software and payment systems for our stores. The project will be completed in mid-2021 and is expected to improve our store operational processes, increase transactional efficiencies and provide enhanced visibility to the business. We will continue to execute on our roadmap in 2021 with increased focus on improving our supply chain and merchandising systems while further leveraging data and analytics.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markets we serve are highly competitive. We compete with a broad range of retailers including national chains, mass merchants, discount stores and specialty stores with both physical locations and online stores. The principal measures of competition in the retail business are fashion, assortment, pricing and presentation. We believe we have a competitive advantage in our offering of fashion and trends at everyday low prices, and our strategy of focusing on African American and Latinx customers puts Citi Trends in a unique competitive position. We also believe we offer a more inviting store format than the traditional retailers, including our size and layout of merchandise, use of carpeted floors and colorful signage, and fixtures that are easy to shop. Our competitors do not focus on trend apparel and, within their apparel offering, lack the specialized focus on fashionable mix that appeals to our core customers. As a result, we believe there is significant demand for a specialty value retailer that addresses the market of low and moderate income customers generally and, particularly, African American, Latinx and other customers who seek extreme value for fashion apparel, accessories and home goods. See Item 1A. Risk Factors in this Report for additional information regarding competition in our markets.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brands: “Citi Steps,” “Citi Trends Fashion for Less,” “Lil Ms Hollywood,” “Red Ape,” and “Vintage Harlem.” Our policy is to pursue registration of our marks and to oppose vigorously infringement of our marks.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success of Citi Trends is directly attributable to our people and their passion to achieve our performance goals. We recognize the importance of attracting and retaining top talent in our workforce that reflects the communities we serve. We strive to make Citi Trends a diverse, inclusive and safe workplace, with opportunities for our employees to grow and develop in their careers, supported by competitive compensation, benefits and health and wellness programs, and by programs that build connections between our employees and their communities.</w:t>
      </w:r>
    </w:p>
    <w:p>
      <w:pPr>
        <w:spacing w:after="0" w:line="136"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color w:val="auto"/>
        </w:rPr>
        <w:t>As of January 30, 2021, we had approximately 3,000 full-time and approximately 2,200 part-time employees. Of these employees, approximately 4,300 are employed in our stores and the remainder are employed in our distribution centers, buying offices and corporate office. We are not a party to any collective bargaining agreements, and none of our employees are represented by a labor union.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Diversity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a diverse and inclusive team is critical to our success. We strive to foster an intentionally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inclusive, diverse and productive working environment where our employees are valued and respected. We continue to focus on attracting, developing and retaining team members that reflect the diverse communities we serve. As of January 31, 2021, nearly 80% of our employees are African American or Latinx and 83% of our employees are female.</w:t>
      </w:r>
    </w:p>
    <w:p>
      <w:pPr>
        <w:spacing w:after="0" w:line="11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Citi Trends embraces diversity and is committed to continued improvements throughout the Company. The Compensation Committee of the Board provides oversight of the Company’s diversity and inclusion programs and key metrics associated with the programs. Additionally, the newly formed Corporate Social Responsibility Committee of the Board will assist in developing processes to achieve the Company’s diversity objectives.</w:t>
      </w:r>
    </w:p>
    <w:p>
      <w:pPr>
        <w:spacing w:after="0" w:line="116"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Health, Safety and Wellness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of our business is fundamentally connected to the well-being of our people. Accordingly,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committed to the health, safety and wellness of our employees. In response to the COVID-19 pandemic, we implemented significant changes that we determined were in the best interest of our employees as well as the communities in which we operate. On March 20, 2020, the Company temporarily closed all of its retail store locations and distribution centers. Beginning April 24, 2020, the Company started to reopen stores in select states in accordance with state and local government guidelines and implemented additional safety measures for employees and customers. As of July 18, 2020, the Company safely reopened all of its stores and distribution centers. As of the end of fiscal 2020, many of the employees at the Company’s corporate and buying offices continue to work from home.</w:t>
      </w:r>
    </w:p>
    <w:p>
      <w:pPr>
        <w:spacing w:after="0" w:line="29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competitive compensation and comprehensive benefits programs to help meet the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employees. In addition to salaries, these programs (which vary by position) include annual bonuses, stock awards, a 401(k) match, healthcare and insurance benefits, paid time off and personal/family leave.</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Training and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employees are critical to achieving our goals, and we strive to hire employees with high energy levels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motivation.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and helpful manner. Our training and development programs provide employees with the resources they need to help achieve their career goals, build management skills and lead their organizations.</w:t>
      </w:r>
    </w:p>
    <w:p>
      <w:pPr>
        <w:spacing w:after="0" w:line="11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b w:val="1"/>
          <w:bCs w:val="1"/>
          <w:i w:val="1"/>
          <w:iCs w:val="1"/>
          <w:color w:val="auto"/>
        </w:rPr>
        <w:t>Community Involvement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building connections between our employees, their families and our communities creates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meaningful, fulfilling and enjoyable workplace. We formed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(cares: Citi Trends Against Racism Employee Solutions) Council in August 2020 to create and oversee initiatives of change that will have a positive impact in the lives of our customers and employees.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a diverse group of associates who are passionate about making a difference. They represent every division and level of the company, including both genders, multiple ethnicities and different geographies. The purpose of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to collaborate with community leaders, organizations, individuals and established programs in local underserved communities on the core areas of education, healthcare, employment and exposure.</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Additionally, Citi Trends has been engaged in multiple community programs. In February 2021, we launched our Black History Makers program to honor Black entrepreneurs who are making an impact in their communities. The program is designed to increase awareness of Black-owned businesses and will provide ten $5,000 grants to Black business owners.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due to changes in our business, consumer spending patterns, and the macroeconomic environment, including those resulting from the COVID-19 pandemic. Furthermore, the seasonal nature of our business may affect comparisons between periods.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1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4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b w:val="1"/>
          <w:bCs w:val="1"/>
          <w:color w:val="auto"/>
        </w:rPr>
        <w:t>Our financial and operating performance may be materially and adversely affected by the outbreak of the novel coronavirus (“COVID-19”).</w:t>
      </w:r>
    </w:p>
    <w:p>
      <w:pPr>
        <w:spacing w:after="0" w:line="9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Beginning in the first quarter of 2020 and continuing into 2021, there has been a widespread global impact from the COVID-19 pandemic, and our business has been, and will continue to be, impacted by the pandemic and any resulting economic consequences. In response to COVID-19, the Company temporarily closed all of its retail stores and distribution centers as of March 20, 2020 and temporarily closed its corporate and buying offices with associates working remotely where possible. As of July 18, 2020, the Company safely reopened all of its stores and distribution centers while following all applicable state and local health protocols, including providing personal protective equipment to employees and implementing social distancing practices as required.</w:t>
      </w:r>
    </w:p>
    <w:p>
      <w:pPr>
        <w:spacing w:after="0" w:line="13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temporary closure of all of our retail stores and distribution centers and other factors resulting from the pandemic have had an adverse impact on our financial condition, results of operations and liquidity in fiscal 2020. The extent to which COVID-19 will impact our business operations, consolidated financial results and liquidity will depend on future developments which are highly uncertain and cannot be predicted, including the duration and scope of the pandemic (including the resurgence of COVID-19 cases); our ability to adjust our business strategies to mitigate the impact of the pandemic; the re-closure of any or all of our retail stores or distribution centers; the negative impact the pandemic has on global and regional economies and economic activity, including the duration and magnitude of its impact on unemployment rates and consumer discretionary spending and the extent of any recession resulting from the COVID-19 pandemic, including how quickly economies recover after the pandemic subsides; the duration and extent of economic stimulus; changes in consumer shopping patterns and the impact on traditionally strong sales periods; the ability of our suppliers, vendors and customers to successfully address the impacts of the pandemic; and actions taken by governments, businesses and individuals in response to the pandemic. As a result of the current level of uncertainty over the economic and operational impacts stemming from the COVID-19 pandemic, the impact on our business cannot be reasonably estimated at this time.</w:t>
      </w:r>
    </w:p>
    <w:p>
      <w:pPr>
        <w:spacing w:after="0" w:line="11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11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apparel industry in general and our core customer market in particular are subject to rapidly evolving fashion trends and shifting consumer demands. The market for home goods and furnishings is also subject to evolving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1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color w:val="auto"/>
        </w:rPr>
        <w:t>If we are unsuccessful in competing with our retail apparel competitors, our market share could decline or our growth could be impaired and, as a result, our business, financial condition and results of operations could be negatively impacted.</w:t>
      </w:r>
    </w:p>
    <w:p>
      <w:pPr>
        <w:spacing w:after="0" w:line="11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retail apparel and home fashion businesses are highly competitive with few barriers to entry. We compete against a diverse group of retailers, including national chains, mass merchants, smaller discount retail chains that sell only women’s products and general merchandise discount stores which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financial condition and results of operations.</w:t>
      </w:r>
    </w:p>
    <w:p>
      <w:pPr>
        <w:spacing w:after="0" w:line="10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Our ability to attract consumers to our stores depends on the success of the outdoor community shopping centers where our stores are located.</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locate our stores primarily in outdoor community shopping centers where we believe our consumers and potential consumers shop. The success of an individual store can depend on favorable placement within a given community shopping center and from the volume of traffic generated by the other destination retailers and the anchor stores in the community shopping centers where our stores are located.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destination retailers or anchor stores located in the community shopping centers where our stores are located close or leave, or if there is significant deterioration of the surrounding areas in which our stores are located, our business may be adversely affected.</w:t>
      </w:r>
    </w:p>
    <w:p>
      <w:pPr>
        <w:spacing w:after="0" w:line="116"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b w:val="1"/>
          <w:bCs w:val="1"/>
          <w:color w:val="auto"/>
        </w:rPr>
        <w:t>We do not sell our products through the internet. As the retail industry experiences an increase in online sales, our sales could be adversely affected.</w:t>
      </w:r>
    </w:p>
    <w:p>
      <w:pPr>
        <w:spacing w:after="0" w:line="9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The continued growth of online sales could have a negative impact on our sales, as our customers may decide to make purchases through online retailers.</w:t>
      </w:r>
    </w:p>
    <w:p>
      <w:pPr>
        <w:spacing w:after="0" w:line="116"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Our sales, inventory levels and earnings fluctuate on a seasonal basis, which makes our business more susceptible to adverse events that occur during the first and fourth quarters.</w:t>
      </w:r>
    </w:p>
    <w:p>
      <w:pPr>
        <w:spacing w:after="0" w:line="11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public health pandemics like COVID-19, unfavorable economic conditions, reduced governmental assistance, and tax refund patterns for our customers, will have a greater adverse effect on our financial condition than if our business was less seasonal.</w:t>
      </w:r>
    </w:p>
    <w:p>
      <w:pPr>
        <w:spacing w:after="0" w:line="12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Seasonal fluctuations also affect our inventory levels. In order to prepare for the spring and fall selling seasons, we must order and keep in stock significantly more merchandise than during other parts of the year. Merchandise must be ordered well in advance of the applicable selling season and before trends are confirmed by sales. If we are not able to accurately predict customers’ preferences for our fashion items, we may have too much inventory which may result in increased markdowns. If we are unable to accurately predict demand for our merchandise during these periods, we could also end up with inventory shortages resulting in missed sales. In either event, our sales may be lower and our cost of sales may be higher than historical levels, which could have a material adverse effect on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a reduction in sales if we are unable to fulfill our current and future merchandising needs.</w:t>
      </w:r>
    </w:p>
    <w:p>
      <w:pPr>
        <w:spacing w:after="0" w:line="14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including economic downturns caused by natural disasters, acts of terror, or public health pandemics (including COVID-19),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2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Failure to properly manage and allocate our inventory could have an adverse effect on our business, sales, margins, financial condition, and results of operations.</w:t>
      </w:r>
    </w:p>
    <w:p>
      <w:pPr>
        <w:spacing w:after="0" w:line="11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implement new inventory allocation initiatives, there could be disruptions in inventory flow and placement. Failure to effectively execute our opportunistic inventory buying and inventory management strategies could adversely affect our business, financial condition and results of operations.</w:t>
      </w:r>
    </w:p>
    <w:p>
      <w:pPr>
        <w:spacing w:after="0" w:line="12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If we are unable to provide frequent replenishment of fresh,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w:t>
      </w:r>
    </w:p>
    <w:p>
      <w:pPr>
        <w:spacing w:after="0" w:line="11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We rely on numerous third parties in the supply chain to produce and deliver the products that we sell, and our business may be negatively impacted by their failure to comply with applicable law.</w:t>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Merchandise we sell in our stores is subject to regulatory standards set by various governmental authorities with respect to quality and safety. Regulations in this area may change from time to time. We rely on numerous third parties to supply quality merchandise that complies with applicable product safety laws and other applicable laws, but they may not comply with their obligations to do so.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We endeavor to establish relationships with reputable vendors to reduce this risk.</w:t>
      </w:r>
    </w:p>
    <w:p>
      <w:pPr>
        <w:spacing w:after="0" w:line="10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If we fail to protect our name and brand in the marketplace, there could be a negative effect on our business and limitations on our ability to penetrate new markets.</w:t>
      </w:r>
    </w:p>
    <w:p>
      <w:pPr>
        <w:spacing w:after="0" w:line="11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Further, the use of social media by the Company and consumers has also increased the risk that the Company’s image and reputation could be negatively impacted. The availability of information, reviews and opinions on social media is immediate, as is its impact. The opportunity for dissemination of information, including inaccurate and inflammatory information and opinion, is nearly infinite. Even if we react quickly and appropriately to negative social media about us or our brand, our reputation and customers’ perception of our brand could be negatively impacted. Imitation of our name, concept, store design or merchandise in a manner that projects lesser quality or carries a negative connotation of our brand image or other damage to our brand image and reputation of the Company in any aspect of its operations could have an adverse effect on our reputation,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attract, train, assimilate and retain skilled personnel could have an adverse effect on our financial condition.</w:t>
      </w:r>
    </w:p>
    <w:p>
      <w:pPr>
        <w:spacing w:after="0" w:line="162"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Like most retailers, we experience significant employee turnover rates, particularly among store sales associates and managers.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36"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General Economic and Market Conditions</w:t>
      </w:r>
    </w:p>
    <w:p>
      <w:pPr>
        <w:spacing w:after="0" w:line="14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Our sales could decline and our store operations could be disrupted as a result of general economic and other factors outside of our control, such as changes in consumer spending patterns and declines in employment levels.</w:t>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salaries and wage rates, interest rates, levels of consumer debt, inflation in food and energy prices, taxation (including delays in the distribution of tax refunds), government stimulus, consumer confidence, and other macroeconomic factors, could adversely affect consumer spending patterns, our sales and our results of operations. Consumer confidence may also be affected by domestic and international political or social unrest (including related protests or disturbances), acts of war or terrorism, natural disasters, public health emergencies like the COVID-19 pandemic,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financial condition and results of operations. Also,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05"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A significant disruption to our distribution process or southeastern retail locations could have an adverse effect on our business, financial condition and results of operations.</w:t>
      </w:r>
    </w:p>
    <w:p>
      <w:pPr>
        <w:spacing w:after="0" w:line="11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public health emergency such as the current COVID-19 pandemic, weather conditions or any other cause could damage a significant portion of our inventory, impair our ability to stock our stores adequately and may result in increased supply chain costs or lost sales.</w:t>
      </w:r>
    </w:p>
    <w:p>
      <w:pPr>
        <w:spacing w:after="0" w:line="13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have an adverse effect on our business, financial condition and results of operations.</w:t>
      </w:r>
    </w:p>
    <w:p>
      <w:pPr>
        <w:spacing w:after="0" w:line="12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We rely upon third-party land-based and air freight carriers for merchandise shipments to our distribution centers and our retail stores. Accordingly, we are subject to the risks, including labor disputes, union organizing activity, inclement weather, public health emergencies, and increased transportation costs, associated with such carriers’ ability to provide delivery services to meet outbound shipping needs. In addition, if the cost of fuel rises, the cost to deliver merchandise to our distribution centers and our retail stores may rise and such costs could have an adverse impact on our profitability. Failure to deliver merchandise to our distribution centers and our retail stores in a timely, effective and economically viable manner could adversely affect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940"/>
        <w:spacing w:after="0" w:line="267" w:lineRule="auto"/>
        <w:rPr>
          <w:sz w:val="20"/>
          <w:szCs w:val="20"/>
          <w:color w:val="auto"/>
        </w:rPr>
      </w:pPr>
      <w:r>
        <w:rPr>
          <w:rFonts w:ascii="Arial" w:cs="Arial" w:eastAsia="Arial" w:hAnsi="Arial"/>
          <w:sz w:val="17"/>
          <w:szCs w:val="17"/>
          <w:b w:val="1"/>
          <w:bCs w:val="1"/>
          <w:color w:val="auto"/>
        </w:rPr>
        <w:t>Adverse trade restrictions may disrupt our supply of merchandise. We also face various risks because much of our merchandise is imported from abroad.</w:t>
      </w:r>
    </w:p>
    <w:p>
      <w:pPr>
        <w:spacing w:after="0" w:line="9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do not own or operate any manufacturing or production facilities. We purchase the products we sell directly from a large assortment of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There is increased uncertainty with respect to trade relations between the United States and other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41"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We also face a variety of other risks generally associated with relying on vendors that do business in foreign markets and import merchandise from abroad, such as:</w:t>
      </w:r>
    </w:p>
    <w:p>
      <w:pPr>
        <w:spacing w:after="0" w:line="131" w:lineRule="exact"/>
        <w:rPr>
          <w:sz w:val="20"/>
          <w:szCs w:val="20"/>
          <w:color w:val="auto"/>
        </w:rPr>
      </w:pPr>
    </w:p>
    <w:p>
      <w:pPr>
        <w:ind w:left="680" w:right="40" w:hanging="332"/>
        <w:spacing w:after="0" w:line="243"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political or labor instability, natural disasters, public health emergencies including the current COVID-19 pandemic, or the threat of terrorism, in particular in countries where our vendors source merchandise;</w:t>
      </w:r>
    </w:p>
    <w:p>
      <w:pPr>
        <w:spacing w:after="0" w:line="117" w:lineRule="exact"/>
        <w:rPr>
          <w:rFonts w:ascii="Arial" w:cs="Arial" w:eastAsia="Arial" w:hAnsi="Arial"/>
          <w:sz w:val="17"/>
          <w:szCs w:val="17"/>
          <w:color w:val="auto"/>
        </w:rPr>
      </w:pPr>
    </w:p>
    <w:p>
      <w:pPr>
        <w:ind w:left="680" w:right="300" w:hanging="332"/>
        <w:spacing w:after="0" w:line="243"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increases in merchandise costs due to raw material price inflation or changes in purchasing power caused by fluctuations in currency exchange rates;</w:t>
      </w:r>
    </w:p>
    <w:p>
      <w:pPr>
        <w:spacing w:after="0" w:line="130" w:lineRule="exact"/>
        <w:rPr>
          <w:rFonts w:ascii="Arial" w:cs="Arial" w:eastAsia="Arial" w:hAnsi="Arial"/>
          <w:sz w:val="17"/>
          <w:szCs w:val="17"/>
          <w:color w:val="auto"/>
        </w:rPr>
      </w:pPr>
    </w:p>
    <w:p>
      <w:pPr>
        <w:ind w:left="680" w:hanging="33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enhanced security measures at United States and foreign ports, which could delay delivery of imports;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imposition of new or supplemental duties, trade restrictions, sanctions, tariffs, quotas, taxes, and other charges on imports;</w:t>
      </w:r>
    </w:p>
    <w:p>
      <w:pPr>
        <w:spacing w:after="0" w:line="142" w:lineRule="exact"/>
        <w:rPr>
          <w:rFonts w:ascii="Arial" w:cs="Arial" w:eastAsia="Arial" w:hAnsi="Arial"/>
          <w:sz w:val="17"/>
          <w:szCs w:val="17"/>
          <w:color w:val="auto"/>
        </w:rPr>
      </w:pPr>
    </w:p>
    <w:p>
      <w:pPr>
        <w:ind w:left="680" w:hanging="33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compliance with new or changing import/export controls;</w:t>
      </w:r>
    </w:p>
    <w:p>
      <w:pPr>
        <w:spacing w:after="0" w:line="155" w:lineRule="exact"/>
        <w:rPr>
          <w:rFonts w:ascii="Arial" w:cs="Arial" w:eastAsia="Arial" w:hAnsi="Arial"/>
          <w:sz w:val="17"/>
          <w:szCs w:val="17"/>
          <w:color w:val="auto"/>
        </w:rPr>
      </w:pPr>
    </w:p>
    <w:p>
      <w:pPr>
        <w:ind w:left="680" w:right="620" w:hanging="332"/>
        <w:spacing w:after="0" w:line="243"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delayed receipt or non-delivery of goods due to the failure of foreign-source suppliers to comply with import regulations, organized labor strikes or congestion at United States ports;</w:t>
      </w:r>
    </w:p>
    <w:p>
      <w:pPr>
        <w:spacing w:after="0" w:line="130" w:lineRule="exact"/>
        <w:rPr>
          <w:rFonts w:ascii="Arial" w:cs="Arial" w:eastAsia="Arial" w:hAnsi="Arial"/>
          <w:sz w:val="17"/>
          <w:szCs w:val="17"/>
          <w:color w:val="auto"/>
        </w:rPr>
      </w:pPr>
    </w:p>
    <w:p>
      <w:pPr>
        <w:ind w:left="680" w:hanging="33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concerns about human rights and working conditions in countries where merchandise is manufactured and produced; and</w:t>
      </w:r>
    </w:p>
    <w:p>
      <w:pPr>
        <w:spacing w:after="0" w:line="142" w:lineRule="exact"/>
        <w:rPr>
          <w:rFonts w:ascii="Arial" w:cs="Arial" w:eastAsia="Arial" w:hAnsi="Arial"/>
          <w:sz w:val="17"/>
          <w:szCs w:val="17"/>
          <w:color w:val="auto"/>
        </w:rPr>
      </w:pPr>
    </w:p>
    <w:p>
      <w:pPr>
        <w:ind w:left="680" w:right="400" w:hanging="332"/>
        <w:spacing w:after="0" w:line="243"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local business practice and political issues, including issues relating to compliance with domestic or international labor and environmental standards.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Strategy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sustain our growth plans or successfully implement our long-term strategic goals.</w:t>
      </w:r>
    </w:p>
    <w:p>
      <w:pPr>
        <w:spacing w:after="0" w:line="14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growth strategy includes successfully opening and operating new stores and expanding our specialty value model within our current markets and into new geographic regions. There are significant risks associated with our ability to continue to expand successfully and manage the implementation of this growth effectively. If any aspect of our expansion strategy does not achieve the success we expect, in whole or in part, we may fail to meet our financial performance expectations, slow our planned growth or close stores or operations.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hiring, training and retention of competent sales personnel, and the effective management of inventory to meet the needs of new and existing stores on a timely basis. We may not be able to execute our growth strategies successfully, on a timely basis, or at all. The extent of the impact from the COVID-19 pandemic on our business and financial results could also impact our growth plans and long-term strategic goals. If we fail to implement these strategies successfully, or if these strategies do not yield the desired outcomes, our financial condition and results of operations would be adversely affected.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color w:val="auto"/>
        </w:rPr>
        <w:t>We depend upon strong cash flows from our operations to supply capital to fund our operations, growth, stock repurchases and dividends and interest and debt repayment.</w:t>
      </w:r>
    </w:p>
    <w:p>
      <w:pPr>
        <w:spacing w:after="0" w:line="9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business depends upon our operations to continue to generate strong cash flow to supply capital to support our general operating activities, to fund our growth and our return of cash to stockholders through our stock repurchase programs and dividends, if any, and to pay our interest and debt repayments. For example, as a result of the ongoing COVID-19 pandemic, we temporarily closed our stores beginning in March 2020. We also suspended both our share repurchase program and the payment of our quarterly cash dividends.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In March 2020, we borrowed $43.7 million from our revolving credit facility to add to our cash balances in order to provide enhanced financial flexibility due to uncertain market conditions arising from the impact of the COVID-19 pandemic. If our access to capital is restricted or our borrowing costs increase, our operations and financial condition could be adversely impacted.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strategic growth plan depends in part on our ability to renew current leases and enter into new leases for future stores. We currently lease all of our store locations and are subject to the risks associated with leasing real estate. If we decide to close stores,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expire, we may be unable to negotiate renewals which could lead to the closing or relocating stores on less favorable terms or in a less favorable location.</w:t>
      </w:r>
    </w:p>
    <w:p>
      <w:pPr>
        <w:spacing w:after="0" w:line="10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11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Legal and Cybersecurity</w:t>
      </w:r>
    </w:p>
    <w:p>
      <w:pPr>
        <w:spacing w:after="0" w:line="129"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b w:val="1"/>
          <w:bCs w:val="1"/>
          <w:color w:val="auto"/>
        </w:rPr>
        <w:t>Increases in the minimum wage could have an adverse effect on our operating costs, financial condition and results of operations.</w:t>
      </w:r>
    </w:p>
    <w:p>
      <w:pPr>
        <w:spacing w:after="0" w:line="11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comply with legal requirements could have an adverse effect on our financial condition and results of operations.</w:t>
      </w:r>
    </w:p>
    <w:p>
      <w:pPr>
        <w:spacing w:after="0" w:line="1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Compliance risks in our business include areas such as employment law, taxation, securities laws, consumer protection laws, licensing, intellectual property, customer relations and personal injury claims, among others. If we fail to comply with these laws, rules and regulations, we may be subject to judgments, fines or other costs or penalties, which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government regulations could have an adverse effect on our financial condition and results of operations.</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business is subject to numerous federal, state and local laws and regulations. New legal requirements in any number of areas could result in higher compliance costs. Changes in areas, such as workplace-regulation and other labor or employment benefits laws, supply chain, privacy and information security, or environmental regulation may require extensive structural and organizational changes that could be difficult to implement, disrupt our business, cause reputational harm and materially adversely affect our operations and financial results. Additionally, in response to the COVID-19 pandemic state and local governments have implemented measures to slow the spread of the virus, which resulted in the Company temporarily closing its stores on March 20, 2020. As of July 18, 2020, the Company safely reopened all of its stores and distribution centers while following all applicable state and local health protocols. Future extended closures required by law or additional restrictions on our operations may have adverse effects on our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9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These functions enhance our ability to process and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and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w:t>
      </w:r>
    </w:p>
    <w:p>
      <w:pPr>
        <w:spacing w:after="0" w:line="116"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9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Over the normal course of business operations, we obtain certain private or confidential information of our employees, customers, and vendors. This information may be stored within our internal information technology environments or hosted by third party service providers. We have implemented security procedures and technology that are intended to safeguard this information from cybersecurity attacks and data breaches. These safeguards include, but are not limited to, routine penetration and vulnerability testing, network segmentation, strong encryption protocols, virus and malware protection, email security scanning, simulation training, vendor assessments, and on-going monitoring and patching activities. There is no guarantee that these measures will be adequate to safeguard against all data security breaches, system compromises or misuses of data.</w:t>
      </w:r>
    </w:p>
    <w:p>
      <w:pPr>
        <w:spacing w:after="0" w:line="13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As we accept debit and credit card payments in our stores, we are subject to the Payment Card Industry’s Data Security Standards (“PCI DSS”) to which we attest compliance annually. For the protection of our customer’s payment information, we utilize chip enabled pin pads with point-to-point encryption technology. In addition, we do not retain the customer’s encrypted, hashed, or tokenized payment information within our internal systems. However, even as we comply with PCI DSS and employ point-to-point encryption technology, we may not be able to prevent or detect a compromise of cardholder data.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13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Cyberattacks continue to evolve and there can be no assurance that an attacker would be unable to gain access to the information we collect. These attacks can come in many forms, including computer hacking, acts of vandalism or theft, malware, computer viruses or other malicious codes, phishing, employee error or malfeasance, catastrophes, unforeseen events or other cyber-attacks. Additionally, a failure of a third party service provider to monitor and secure their environment could lead to unauthorized access of our private or confidential information. Any cyberattack or a breach of our data could expose us to costly fines, private litigation and response measures, credit card brand assessments, government enforcement actions, disruption of business operations, negative publicity, erode customer confidence in the effectiveness of our data security measures, and decrease our current or potential customers’ willingness to shop in our stores which could adversely affect our business and financial conditions. Furthermore, there can be no assurance that any limitations of liability in our contracts would be enforceable or adequate or would otherwise protect us from any such liabilities or damages with respect to any particular claim. Our existing general liability insurance coverage and coverage for errors and omissions may not continue to be available on acceptable terms or may not be available in sufficient amounts to cover one or more large claims, or our insurers may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operating results and financial condition.</w:t>
      </w:r>
    </w:p>
    <w:p>
      <w:pPr>
        <w:spacing w:after="0" w:line="103"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b w:val="1"/>
          <w:bCs w:val="1"/>
          <w:color w:val="auto"/>
        </w:rPr>
        <w:t>If we fail to implement and maintain effective internal controls in our business, there could be an adverse effect on our business, financial condition, results of operations and stock price.</w:t>
      </w:r>
    </w:p>
    <w:p>
      <w:pPr>
        <w:spacing w:after="0" w:line="11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Ownership of our Common Stock</w:t>
      </w:r>
    </w:p>
    <w:p>
      <w:pPr>
        <w:spacing w:after="0" w:line="12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We experience fluctuations and variability in our comparable store sales and quarterly results of operations and, as a result, the market price of our common stock may fluctuate substantially.</w:t>
      </w:r>
    </w:p>
    <w:p>
      <w:pPr>
        <w:spacing w:after="0" w:line="11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comparable store sales and quarterly results have fluctuated significantly in the past based on a number of economic, seasonal and competitive factors, as well as changes in our merchandise mix, and we expect them to continue to fluctuate in the future. Since the beginning of fiscal 2014, our quarter-to-quarter comparable store sales have ranged from a decrease of 44.5% to an increase of 16.7%, with the decrease of 44.5% occurring in the first quarter of fiscal 2020 as a result of the COVID-19 pandemic. This variability could cause our comparable store sales and quarterly results to fall below the expectations of securities analysts or investors, which could result in a decline in the market price of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subject to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Our stock price has been volatile in the past and may be influenced in the future by a number of factors, including:</w:t>
      </w:r>
    </w:p>
    <w:p>
      <w:pPr>
        <w:spacing w:after="0" w:line="142" w:lineRule="exact"/>
        <w:rPr>
          <w:sz w:val="20"/>
          <w:szCs w:val="20"/>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securities analysts’ recommendations or estimates of our financial performance;</w:t>
      </w:r>
    </w:p>
    <w:p>
      <w:pPr>
        <w:spacing w:after="0" w:line="142"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market valuations or operating performance of our competitors or companies similar to ours;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announcements by us, our competitors or other retailers;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42"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passage of legislation or other developments affecting us;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trading volume of our common stock in the public market;</w:t>
      </w:r>
    </w:p>
    <w:p>
      <w:pPr>
        <w:spacing w:after="0" w:line="142"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economic or financial market conditions;</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natural disasters, terrorist acts, acts of war or periods of civil unrest; and</w:t>
      </w:r>
    </w:p>
    <w:p>
      <w:pPr>
        <w:spacing w:after="0" w:line="155" w:lineRule="exact"/>
        <w:rPr>
          <w:rFonts w:ascii="Arial" w:cs="Arial" w:eastAsia="Arial" w:hAnsi="Arial"/>
          <w:sz w:val="17"/>
          <w:szCs w:val="17"/>
          <w:color w:val="auto"/>
        </w:rPr>
      </w:pPr>
    </w:p>
    <w:p>
      <w:pPr>
        <w:ind w:left="680" w:hanging="33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realization of some or all of the risks described in this section entitled “Risk Factors.”</w:t>
      </w:r>
    </w:p>
    <w:p>
      <w:pPr>
        <w:spacing w:after="0" w:line="142"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1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We cannot provide any guaranty of future cash dividend payments or that we will continue to actively repurchase our common stock pursuant to a share repurchase program.</w:t>
      </w:r>
    </w:p>
    <w:p>
      <w:pPr>
        <w:spacing w:after="0" w:line="11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Any determination to declare and pay cash dividends on our common stock in the future (quarterly or otherwise) will be based, among other things,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and cash requirements. As part of the actions the Company has taken to increase its cash position and preserve financial flexibility in light of current uncertainties resulting from the COVID-19 pandemic, the Company suspended the payment of dividends for the near-term. On March 13, 2020, the Company announced a share repurchase program, however, due in part to the COVID-19 pandemic and related economic downturn, no repurchases have been made under such program and the Company has suspended any future purchases and plans to continue to monitor the situation based on business conditions and regard for its financial liquidity needs. There can be no assurance that our existing share repurchase authorization will be completed or that our board of directors will approve another repurchase program in the future.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our acquisition by a third party.</w:t>
      </w:r>
    </w:p>
    <w:p>
      <w:pPr>
        <w:spacing w:after="0" w:line="9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third amended and restated certificate of incorporation and our third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 Additionally, we are in the process of phasing out our classified board of directors, so only five directors will be up for election at the next annual meeting.</w:t>
      </w:r>
    </w:p>
    <w:p>
      <w:pPr>
        <w:spacing w:after="0" w:line="13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be negatively affected as a result of a proxy fight and the actions of activist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If we become engaged in a proxy contest with activist shareholders in the future, our business could be adversely affected because:</w:t>
      </w:r>
    </w:p>
    <w:p>
      <w:pPr>
        <w:spacing w:after="0" w:line="142" w:lineRule="exact"/>
        <w:rPr>
          <w:sz w:val="20"/>
          <w:szCs w:val="20"/>
          <w:color w:val="auto"/>
        </w:rPr>
      </w:pPr>
    </w:p>
    <w:p>
      <w:pPr>
        <w:ind w:left="640" w:right="240" w:hanging="319"/>
        <w:spacing w:after="0" w:line="259" w:lineRule="auto"/>
        <w:tabs>
          <w:tab w:leader="none" w:pos="657"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Responding to proxy contests, litigation and other actions by activist stockholders can be costly and time-consuming, disrupt our operations and divert the attention of management and our employees.</w:t>
      </w:r>
    </w:p>
    <w:p>
      <w:pPr>
        <w:spacing w:after="0" w:line="118" w:lineRule="exact"/>
        <w:rPr>
          <w:rFonts w:ascii="Arial" w:cs="Arial" w:eastAsia="Arial" w:hAnsi="Arial"/>
          <w:sz w:val="17"/>
          <w:szCs w:val="17"/>
          <w:color w:val="auto"/>
        </w:rPr>
      </w:pPr>
    </w:p>
    <w:p>
      <w:pPr>
        <w:ind w:left="640" w:right="120" w:hanging="319"/>
        <w:spacing w:after="0" w:line="259" w:lineRule="auto"/>
        <w:tabs>
          <w:tab w:leader="none" w:pos="657"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Perceived uncertainties as to our future direction may result in the loss of potential business opportunities and harm our ability to attract new investors and to retain and attract experienced executives and employees.</w:t>
      </w:r>
    </w:p>
    <w:p>
      <w:pPr>
        <w:spacing w:after="0" w:line="104" w:lineRule="exact"/>
        <w:rPr>
          <w:rFonts w:ascii="Arial" w:cs="Arial" w:eastAsia="Arial" w:hAnsi="Arial"/>
          <w:sz w:val="17"/>
          <w:szCs w:val="17"/>
          <w:color w:val="auto"/>
        </w:rPr>
      </w:pPr>
    </w:p>
    <w:p>
      <w:pPr>
        <w:ind w:left="640" w:right="100" w:hanging="319"/>
        <w:spacing w:after="0" w:line="245" w:lineRule="auto"/>
        <w:tabs>
          <w:tab w:leader="none" w:pos="657"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individuals are elected to our board of directors with a specific agenda, it may adversely affect our ability to retain and attract experienced directors, executives and employees, to effectively and timely implement our business strategy and create additional value for stockholders.</w:t>
      </w:r>
    </w:p>
    <w:p>
      <w:pPr>
        <w:spacing w:after="0" w:line="130" w:lineRule="exact"/>
        <w:rPr>
          <w:rFonts w:ascii="Arial" w:cs="Arial" w:eastAsia="Arial" w:hAnsi="Arial"/>
          <w:sz w:val="17"/>
          <w:szCs w:val="17"/>
          <w:color w:val="auto"/>
        </w:rPr>
      </w:pPr>
    </w:p>
    <w:p>
      <w:pPr>
        <w:ind w:left="640" w:hanging="319"/>
        <w:spacing w:after="0" w:line="259" w:lineRule="auto"/>
        <w:tabs>
          <w:tab w:leader="none" w:pos="657"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a significant increase in legal fees, administrative, advisor and associated costs incurred in connection with responding to a proxy contest or related action.</w:t>
      </w:r>
    </w:p>
    <w:p>
      <w:pPr>
        <w:spacing w:after="0" w:line="11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These factors could adversely impact our results of operations and could also cause our stock price to experience periods of volatility or stagnation.</w:t>
      </w:r>
    </w:p>
    <w:p>
      <w:pPr>
        <w:spacing w:after="0" w:line="9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Locations</w:t>
      </w:r>
    </w:p>
    <w:p>
      <w:pPr>
        <w:spacing w:after="0" w:line="162"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As of January 30, 2021, we operated 585 stores located in 33 states. Our stores average approximately 11,000 square feet of selling space and are typically located in outdoor community shopping centers that are convenient to low and moderate income customers.</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no franchising relationships, and all of the stores are company operated. All existing 585 stores, totaling 7.8 million total square feet and 6.5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January 30, 2021:</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Alabama—33</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Arkansas—15</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California—8</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Connecticut—4</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Delaware—3</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Florida—52</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Georgia—64</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Illinois—22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Indiana—17</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Iowa—2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Kansas—1</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Kentucky—7</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Louisiana—33</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Maryland—7</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Massachusetts—3</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Michigan—22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Minnesota—2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Mississippi—27</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Missouri—8</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Nebraska—1</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Nevada—2</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Jersey—1</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York—10</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North Carolina—49</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Ohio—30</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Oklahoma—7</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Pennsylvania—9</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Rhode Island—2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South Carolina—43</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Tennessee—18</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Texas—57</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Virginia—20</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Wisconsin—6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 Center Facilities</w:t>
      </w:r>
    </w:p>
    <w:p>
      <w:pPr>
        <w:spacing w:after="0" w:line="14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565,000 square-foot distribution center in Roland, Oklahoma. In addition, we currently lease a 12,300 square-foot office in New York City.</w:t>
      </w:r>
    </w:p>
    <w:p>
      <w:pPr>
        <w:spacing w:after="0" w:line="11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03"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20"/>
          </w:cols>
          <w:pgMar w:left="860" w:top="517" w:right="819" w:bottom="1440" w:gutter="0" w:footer="0" w:header="0"/>
        </w:sectPr>
      </w:pPr>
    </w:p>
    <w:bookmarkStart w:id="20" w:name="page21"/>
    <w:bookmarkEnd w:id="20"/>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color w:val="auto"/>
        </w:rPr>
        <w:t>PART II</w:t>
      </w:r>
    </w:p>
    <w:p>
      <w:pPr>
        <w:spacing w:after="0" w:line="129" w:lineRule="exact"/>
        <w:rPr>
          <w:sz w:val="20"/>
          <w:szCs w:val="20"/>
          <w:color w:val="auto"/>
        </w:rPr>
      </w:pPr>
    </w:p>
    <w:p>
      <w:pPr>
        <w:ind w:left="963" w:right="760" w:hanging="971"/>
        <w:spacing w:after="0" w:line="267" w:lineRule="auto"/>
        <w:tabs>
          <w:tab w:leader="none" w:pos="943"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THE REGISTRANT’S COMMON EQUITY, RELATED STOCKHOLDER MATTERS AND ISSUER PURCHASES OF EQUITY SECURITIES</w:t>
      </w:r>
    </w:p>
    <w:p>
      <w:pPr>
        <w:spacing w:after="0" w:line="112" w:lineRule="exact"/>
        <w:rPr>
          <w:sz w:val="20"/>
          <w:szCs w:val="20"/>
          <w:color w:val="auto"/>
        </w:rPr>
      </w:pPr>
    </w:p>
    <w:p>
      <w:pPr>
        <w:ind w:left="3" w:right="240"/>
        <w:spacing w:after="0" w:line="243" w:lineRule="auto"/>
        <w:rPr>
          <w:sz w:val="20"/>
          <w:szCs w:val="20"/>
          <w:color w:val="auto"/>
        </w:rPr>
      </w:pPr>
      <w:r>
        <w:rPr>
          <w:rFonts w:ascii="Arial" w:cs="Arial" w:eastAsia="Arial" w:hAnsi="Arial"/>
          <w:sz w:val="17"/>
          <w:szCs w:val="17"/>
          <w:color w:val="auto"/>
        </w:rPr>
        <w:t>Our common stock is traded on The NASDAQ Stock Market under the symbol “CTRN.” On March 31, 2021, there were 37 holders of record and approximately 6,500 beneficial holders of our common stock.</w:t>
      </w:r>
    </w:p>
    <w:p>
      <w:pPr>
        <w:spacing w:after="0" w:line="131" w:lineRule="exact"/>
        <w:rPr>
          <w:sz w:val="20"/>
          <w:szCs w:val="20"/>
          <w:color w:val="auto"/>
        </w:rPr>
      </w:pPr>
    </w:p>
    <w:p>
      <w:pPr>
        <w:ind w:left="3" w:right="280"/>
        <w:spacing w:after="0" w:line="243" w:lineRule="auto"/>
        <w:rPr>
          <w:sz w:val="20"/>
          <w:szCs w:val="20"/>
          <w:color w:val="auto"/>
        </w:rPr>
      </w:pPr>
      <w:r>
        <w:rPr>
          <w:rFonts w:ascii="Arial" w:cs="Arial" w:eastAsia="Arial" w:hAnsi="Arial"/>
          <w:sz w:val="17"/>
          <w:szCs w:val="17"/>
          <w:color w:val="auto"/>
        </w:rPr>
        <w:t>On March 17, 2020, we paid a dividend of $0.08 per common share. On April 28, 2020, we announced the suspension of future cash dividends. Any determination to declare and pay cash dividends in the future will be made by the Company’s board of directors.</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7"/>
          <w:szCs w:val="17"/>
          <w:color w:val="auto"/>
        </w:rPr>
        <w:t>None.</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62" w:lineRule="exact"/>
        <w:rPr>
          <w:sz w:val="20"/>
          <w:szCs w:val="20"/>
          <w:color w:val="auto"/>
        </w:rPr>
      </w:pPr>
    </w:p>
    <w:p>
      <w:pPr>
        <w:ind w:left="3" w:right="80"/>
        <w:spacing w:after="0" w:line="236" w:lineRule="auto"/>
        <w:rPr>
          <w:sz w:val="20"/>
          <w:szCs w:val="20"/>
          <w:color w:val="auto"/>
        </w:rPr>
      </w:pPr>
      <w:r>
        <w:rPr>
          <w:rFonts w:ascii="Arial" w:cs="Arial" w:eastAsia="Arial" w:hAnsi="Arial"/>
          <w:sz w:val="17"/>
          <w:szCs w:val="17"/>
          <w:color w:val="auto"/>
        </w:rPr>
        <w:t>On March 13, 2020, the Company announced that its board of directors approved a $30.0 million stock repurchase program. Due to the uncertainty stemming from the COVID-19 pandemic, on March 23, 2020, the Company temporarily suspended any repurchases. On September 14, 2020, the Company announced the reinstatement of this program. On December 22, 2020, the Company announced that its board of directors approved an additional $30.0 million stock repurchase program.</w:t>
      </w:r>
    </w:p>
    <w:p>
      <w:pPr>
        <w:spacing w:after="0" w:line="122" w:lineRule="exact"/>
        <w:rPr>
          <w:sz w:val="20"/>
          <w:szCs w:val="20"/>
          <w:color w:val="auto"/>
        </w:rPr>
      </w:pPr>
    </w:p>
    <w:p>
      <w:pPr>
        <w:ind w:left="3" w:right="400"/>
        <w:spacing w:after="0" w:line="243" w:lineRule="auto"/>
        <w:rPr>
          <w:sz w:val="20"/>
          <w:szCs w:val="20"/>
          <w:color w:val="auto"/>
        </w:rPr>
      </w:pPr>
      <w:r>
        <w:rPr>
          <w:rFonts w:ascii="Arial" w:cs="Arial" w:eastAsia="Arial" w:hAnsi="Arial"/>
          <w:sz w:val="17"/>
          <w:szCs w:val="17"/>
          <w:color w:val="auto"/>
        </w:rPr>
        <w:t>The number of shares of common stock that we repurchased during the fourth quarter of fiscal 2020 and the average price paid per share are as follows:</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0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 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w:t>
            </w:r>
          </w:p>
        </w:tc>
      </w:tr>
      <w:tr>
        <w:trPr>
          <w:trHeight w:val="175"/>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5"/>
                <w:szCs w:val="15"/>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paid per share (1)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programs (2)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100"/>
              <w:spacing w:after="0"/>
              <w:rPr>
                <w:sz w:val="20"/>
                <w:szCs w:val="20"/>
                <w:color w:val="auto"/>
              </w:rPr>
            </w:pPr>
            <w:r>
              <w:rPr>
                <w:rFonts w:ascii="Arial" w:cs="Arial" w:eastAsia="Arial" w:hAnsi="Arial"/>
                <w:sz w:val="14"/>
                <w:szCs w:val="14"/>
                <w:b w:val="1"/>
                <w:bCs w:val="1"/>
                <w:color w:val="auto"/>
              </w:rPr>
              <w:t>or programs (2)</w:t>
            </w:r>
          </w:p>
        </w:tc>
      </w:tr>
      <w:tr>
        <w:trPr>
          <w:trHeight w:val="183"/>
        </w:trPr>
        <w:tc>
          <w:tcPr>
            <w:tcW w:w="38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November (11/1/20 - 11/28/20)</w:t>
            </w:r>
          </w:p>
        </w:tc>
        <w:tc>
          <w:tcPr>
            <w:tcW w:w="1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169,120</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24"/>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30.32</w:t>
            </w:r>
          </w:p>
        </w:tc>
        <w:tc>
          <w:tcPr>
            <w:tcW w:w="1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169,120</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15,000,000</w:t>
            </w:r>
          </w:p>
        </w:tc>
      </w:tr>
      <w:tr>
        <w:trPr>
          <w:trHeight w:val="189"/>
        </w:trPr>
        <w:tc>
          <w:tcPr>
            <w:tcW w:w="4040" w:type="dxa"/>
            <w:vAlign w:val="bottom"/>
            <w:gridSpan w:val="3"/>
          </w:tcPr>
          <w:p>
            <w:pPr>
              <w:spacing w:after="0" w:line="189" w:lineRule="exact"/>
              <w:rPr>
                <w:sz w:val="20"/>
                <w:szCs w:val="20"/>
                <w:color w:val="auto"/>
              </w:rPr>
            </w:pPr>
            <w:r>
              <w:rPr>
                <w:rFonts w:ascii="Arial" w:cs="Arial" w:eastAsia="Arial" w:hAnsi="Arial"/>
                <w:sz w:val="17"/>
                <w:szCs w:val="17"/>
                <w:color w:val="auto"/>
              </w:rPr>
              <w:t>December (11/29/20 - 1/2/21)</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103,882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44.21</w:t>
            </w:r>
          </w:p>
        </w:tc>
        <w:tc>
          <w:tcPr>
            <w:tcW w:w="18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103,882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7"/>
                <w:szCs w:val="17"/>
                <w:color w:val="auto"/>
              </w:rPr>
              <w:t>40,410,127</w:t>
            </w:r>
          </w:p>
        </w:tc>
      </w:tr>
      <w:tr>
        <w:trPr>
          <w:trHeight w:val="189"/>
        </w:trPr>
        <w:tc>
          <w:tcPr>
            <w:tcW w:w="40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January (1/3/21 - 1/30/21)</w:t>
            </w: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121,902</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57.41</w:t>
            </w:r>
          </w:p>
        </w:tc>
        <w:tc>
          <w:tcPr>
            <w:tcW w:w="18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121,902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33,415,459</w:t>
            </w:r>
          </w:p>
        </w:tc>
      </w:tr>
      <w:tr>
        <w:trPr>
          <w:trHeight w:val="183"/>
        </w:trPr>
        <w:tc>
          <w:tcPr>
            <w:tcW w:w="4040" w:type="dxa"/>
            <w:vAlign w:val="bottom"/>
            <w:gridSpan w:val="3"/>
          </w:tcPr>
          <w:p>
            <w:pPr>
              <w:spacing w:after="0" w:line="183" w:lineRule="exact"/>
              <w:rPr>
                <w:sz w:val="20"/>
                <w:szCs w:val="20"/>
                <w:color w:val="auto"/>
              </w:rPr>
            </w:pPr>
            <w:r>
              <w:rPr>
                <w:rFonts w:ascii="Arial" w:cs="Arial" w:eastAsia="Arial" w:hAnsi="Arial"/>
                <w:sz w:val="17"/>
                <w:szCs w:val="17"/>
                <w:color w:val="auto"/>
              </w:rPr>
              <w:t>Total</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394,904</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394,904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2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8"/>
        </w:trPr>
        <w:tc>
          <w:tcPr>
            <w:tcW w:w="258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80" w:type="dxa"/>
            <w:vAlign w:val="bottom"/>
          </w:tcPr>
          <w:p>
            <w:pPr>
              <w:spacing w:after="0"/>
              <w:rPr>
                <w:sz w:val="7"/>
                <w:szCs w:val="7"/>
                <w:color w:val="auto"/>
              </w:rPr>
            </w:pPr>
          </w:p>
        </w:tc>
      </w:tr>
    </w:tbl>
    <w:p>
      <w:pPr>
        <w:spacing w:after="0" w:line="234" w:lineRule="exact"/>
        <w:rPr>
          <w:sz w:val="20"/>
          <w:szCs w:val="20"/>
          <w:color w:val="auto"/>
        </w:rPr>
      </w:pPr>
    </w:p>
    <w:p>
      <w:pPr>
        <w:ind w:left="383" w:hanging="383"/>
        <w:spacing w:after="0"/>
        <w:tabs>
          <w:tab w:leader="none" w:pos="383"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136" w:lineRule="exact"/>
        <w:rPr>
          <w:rFonts w:ascii="Arial" w:cs="Arial" w:eastAsia="Arial" w:hAnsi="Arial"/>
          <w:sz w:val="14"/>
          <w:szCs w:val="14"/>
          <w:color w:val="auto"/>
        </w:rPr>
      </w:pPr>
    </w:p>
    <w:p>
      <w:pPr>
        <w:jc w:val="both"/>
        <w:ind w:left="383" w:right="220" w:hanging="383"/>
        <w:spacing w:after="0" w:line="258" w:lineRule="auto"/>
        <w:tabs>
          <w:tab w:leader="none" w:pos="37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March 13, 2020, the Company announced that its board of directors approved a $30.0 million stock repurchase program. On December 22, 2020, the Company announced that its board of directors approved an additional $30.0 million stock repurchase program. Neither program has an expiration date.</w:t>
      </w:r>
    </w:p>
    <w:p>
      <w:pPr>
        <w:spacing w:after="0" w:line="115" w:lineRule="exact"/>
        <w:rPr>
          <w:sz w:val="20"/>
          <w:szCs w:val="20"/>
          <w:color w:val="auto"/>
        </w:rPr>
      </w:pPr>
    </w:p>
    <w:p>
      <w:pPr>
        <w:ind w:left="3" w:right="40"/>
        <w:spacing w:after="0" w:line="243" w:lineRule="auto"/>
        <w:rPr>
          <w:sz w:val="20"/>
          <w:szCs w:val="20"/>
          <w:color w:val="auto"/>
        </w:rPr>
      </w:pPr>
      <w:r>
        <w:rPr>
          <w:rFonts w:ascii="Arial" w:cs="Arial" w:eastAsia="Arial" w:hAnsi="Arial"/>
          <w:sz w:val="17"/>
          <w:szCs w:val="17"/>
          <w:color w:val="auto"/>
        </w:rPr>
        <w:t>In the first quarter of fiscal 2021, the Company has continued to repurchase shares under these stock repurchase programs. In addition, the Company completed a block repurchase of 250,000 shares on March 23, 2021 for an aggregate purchase price of $21.9 million.</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7"/>
          <w:szCs w:val="17"/>
          <w:color w:val="auto"/>
        </w:rPr>
        <w:t>See Item 12 of this Report.</w:t>
      </w:r>
    </w:p>
    <w:p>
      <w:pPr>
        <w:spacing w:after="0" w:line="200" w:lineRule="exact"/>
        <w:rPr>
          <w:sz w:val="20"/>
          <w:szCs w:val="20"/>
          <w:color w:val="auto"/>
        </w:rPr>
      </w:pPr>
    </w:p>
    <w:p>
      <w:pPr>
        <w:spacing w:after="0" w:line="217"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Set forth below is a line graph comparing the last five years’ percentage change in the cumulative total stockholder return on shares of our common stock against the cumulative total returns of the Russell 2000 Index and the NASDAQ Retail Trade Index. This graph assumes that $100 was invested on January 31, 2016 in our common stock and in each of the market index and the industry index, and that all cash distributions were reinvested. Our common stock price performance shown on the graph is not indicative of future price performance.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Among Citi Trends, Inc., the Russell 2000 Index 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85725</wp:posOffset>
            </wp:positionV>
            <wp:extent cx="5048885" cy="317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888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*$100 invested on 1/31/16 in stock or index, including reinvestment of dividends</w:t>
      </w:r>
      <w:r>
        <w:rPr>
          <w:rFonts w:ascii="Arial" w:cs="Arial" w:eastAsia="Arial" w:hAnsi="Arial"/>
          <w:sz w:val="17"/>
          <w:szCs w:val="17"/>
          <w:color w:val="auto"/>
        </w:rPr>
        <w: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Total Return Analysis</w:t>
            </w: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1/16</w:t>
            </w:r>
          </w:p>
        </w:tc>
        <w:tc>
          <w:tcPr>
            <w:tcW w:w="240" w:type="dxa"/>
            <w:vAlign w:val="bottom"/>
          </w:tcPr>
          <w:p>
            <w:pPr>
              <w:spacing w:after="0"/>
              <w:rPr>
                <w:sz w:val="15"/>
                <w:szCs w:val="15"/>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1/17</w:t>
            </w:r>
          </w:p>
        </w:tc>
        <w:tc>
          <w:tcPr>
            <w:tcW w:w="240" w:type="dxa"/>
            <w:vAlign w:val="bottom"/>
          </w:tcPr>
          <w:p>
            <w:pPr>
              <w:spacing w:after="0"/>
              <w:rPr>
                <w:sz w:val="15"/>
                <w:szCs w:val="15"/>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1/18</w:t>
            </w:r>
          </w:p>
        </w:tc>
        <w:tc>
          <w:tcPr>
            <w:tcW w:w="240" w:type="dxa"/>
            <w:vAlign w:val="bottom"/>
          </w:tcPr>
          <w:p>
            <w:pPr>
              <w:spacing w:after="0"/>
              <w:rPr>
                <w:sz w:val="15"/>
                <w:szCs w:val="15"/>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1/19</w:t>
            </w:r>
          </w:p>
        </w:tc>
        <w:tc>
          <w:tcPr>
            <w:tcW w:w="240" w:type="dxa"/>
            <w:vAlign w:val="bottom"/>
          </w:tcPr>
          <w:p>
            <w:pPr>
              <w:spacing w:after="0"/>
              <w:rPr>
                <w:sz w:val="15"/>
                <w:szCs w:val="15"/>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1/20</w:t>
            </w:r>
          </w:p>
        </w:tc>
        <w:tc>
          <w:tcPr>
            <w:tcW w:w="240" w:type="dxa"/>
            <w:vAlign w:val="bottom"/>
          </w:tcPr>
          <w:p>
            <w:pPr>
              <w:spacing w:after="0"/>
              <w:rPr>
                <w:sz w:val="15"/>
                <w:szCs w:val="15"/>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5"/>
                <w:szCs w:val="15"/>
                <w:color w:val="auto"/>
              </w:rPr>
            </w:pPr>
          </w:p>
        </w:tc>
      </w:tr>
      <w:tr>
        <w:trPr>
          <w:trHeight w:val="196"/>
        </w:trPr>
        <w:tc>
          <w:tcPr>
            <w:tcW w:w="4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Citi Trends, Inc.</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78.73</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103.39</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119.65</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304.36</w:t>
            </w:r>
          </w:p>
        </w:tc>
        <w:tc>
          <w:tcPr>
            <w:tcW w:w="120" w:type="dxa"/>
            <w:vAlign w:val="bottom"/>
            <w:shd w:val="clear" w:color="auto" w:fill="CCEEFF"/>
          </w:tcPr>
          <w:p>
            <w:pPr>
              <w:spacing w:after="0"/>
              <w:rPr>
                <w:sz w:val="16"/>
                <w:szCs w:val="16"/>
                <w:color w:val="auto"/>
              </w:rPr>
            </w:pPr>
          </w:p>
        </w:tc>
      </w:tr>
      <w:tr>
        <w:trPr>
          <w:trHeight w:val="189"/>
        </w:trPr>
        <w:tc>
          <w:tcPr>
            <w:tcW w:w="4620" w:type="dxa"/>
            <w:vAlign w:val="bottom"/>
            <w:gridSpan w:val="2"/>
          </w:tcPr>
          <w:p>
            <w:pPr>
              <w:spacing w:after="0" w:line="189" w:lineRule="exact"/>
              <w:rPr>
                <w:sz w:val="20"/>
                <w:szCs w:val="20"/>
                <w:color w:val="auto"/>
              </w:rPr>
            </w:pPr>
            <w:r>
              <w:rPr>
                <w:rFonts w:ascii="Arial" w:cs="Arial" w:eastAsia="Arial" w:hAnsi="Arial"/>
                <w:sz w:val="17"/>
                <w:szCs w:val="17"/>
                <w:color w:val="auto"/>
              </w:rPr>
              <w:t>Russell 2000 Index</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100.00</w:t>
            </w:r>
          </w:p>
        </w:tc>
        <w:tc>
          <w:tcPr>
            <w:tcW w:w="2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133.53</w:t>
            </w:r>
          </w:p>
        </w:tc>
        <w:tc>
          <w:tcPr>
            <w:tcW w:w="2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156.47</w:t>
            </w:r>
          </w:p>
        </w:tc>
        <w:tc>
          <w:tcPr>
            <w:tcW w:w="2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150.96</w:t>
            </w: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164.86</w:t>
            </w: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214.61</w:t>
            </w:r>
          </w:p>
        </w:tc>
        <w:tc>
          <w:tcPr>
            <w:tcW w:w="120" w:type="dxa"/>
            <w:vAlign w:val="bottom"/>
          </w:tcPr>
          <w:p>
            <w:pPr>
              <w:spacing w:after="0"/>
              <w:rPr>
                <w:sz w:val="16"/>
                <w:szCs w:val="16"/>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NASDAQ Retail Trade</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122.18</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183.59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203.45</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234.08</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377.37</w:t>
            </w:r>
          </w:p>
        </w:tc>
        <w:tc>
          <w:tcPr>
            <w:tcW w:w="120" w:type="dxa"/>
            <w:vAlign w:val="bottom"/>
            <w:shd w:val="clear" w:color="auto" w:fill="CCEEFF"/>
          </w:tcPr>
          <w:p>
            <w:pPr>
              <w:spacing w:after="0"/>
              <w:rPr>
                <w:sz w:val="16"/>
                <w:szCs w:val="16"/>
                <w:color w:val="auto"/>
              </w:rPr>
            </w:pPr>
          </w:p>
        </w:tc>
      </w:tr>
    </w:tbl>
    <w:p>
      <w:pPr>
        <w:spacing w:after="0" w:line="31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u w:val="single" w:color="auto"/>
          <w:color w:val="auto"/>
        </w:rPr>
        <w:t>SELECTED FINANCIAL DATA</w:t>
      </w:r>
    </w:p>
    <w:p>
      <w:pPr>
        <w:spacing w:after="0" w:line="14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selected financial data previously required by Item 301 of Regulation S-K has been omitted in reliance on SEC Release No. 33-10890.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40"/>
          </w:cols>
          <w:pgMar w:left="860" w:top="517" w:right="7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131"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entitled “Selected Financial and Operating Data” and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Discussions of our results of operations for the year ended February 1, 2020 compared to the year ended February 2, 2019 that have been omitted under this item can be found in "Part II, Item 7 - Management's Discussion and Analysis of Financial Condition and Results of Operations" in our Form 10-K for the year ended February 1, 2020, as amended, which was filed with the United States Securities and Exchange Commission on May 14,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a growing specialty value retailer of apparel, accessories and home trends primarily for African American and Latinx families. Our high-quality and trend-right merchandise offerings at everyday low prices are designed to appeal to the fashion and trend preferences of value-conscious customers. As of January 30, 2021, we operated 585 stores in urban, suburban and rural markets in 33 states.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March 2020, the World Health Organization declared COVID-19 a global pandemic. As a result, we temporarily closed all of our retail store locations and distribution centers effective March 20, 2020. At the end of April 2020, we started to reopen stores in select states in accordance with government guidelines. As of July 18, 2020, we safely reopened all of our stores. The COVID-19 pandemic has resulted in a period of disruption, including the temporary closure of our stores and limited store operating hours, reduced customer traffic and consumer spending, and delays in the manufacturing and shipping of products. During this period, we continue to prioritize the health of our associates, customers and communities we serve.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impacts of the pandemic have had, and may continue to have, an adverse impact on our financial condition, results of operations and liquidity. We took numerous actions beginning in the first quarter of fiscal 2020 in light of the uncertainties resulting from the pandemic, including: (i) the drawdown of $43.7 million in principal amount under the revolving credit facility on March 20, 2020, which we fully repaid on September 11, 2020; (ii) an amendment to the revolving credit facility to extend the term to August 2021; (iii) temporary furloughs of substantially all store and distribution center personnel and a significant portion of the corporate staff, with employee benefits for eligible employees continued through the temporary furloughs; (iv) temporary tiered salary reductions for management level corporate employees and a reduction to the cash portion of non-employee director fees; (v) extensions of payment terms with vendors and suppliers; (vi) the suspension of share repurchases; (vii) negotiations of rent concessions with landlords, some of which are ongoing; and (viii) a substantial reduction in operating expenses, store occupancy costs, capital expenditures and other costs. We expect continued uncertainty in our business and the global economy due to the duration and intensity of the COVID-19 pandemic, the duration and extent of economic stimulus, timing and effectiveness of vaccines, and volatility in employment trends and consumer confidence.</w:t>
      </w:r>
    </w:p>
    <w:p>
      <w:pPr>
        <w:spacing w:after="0" w:line="26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For a further discussion of trends, uncertainties and other factors that could affect our future operating results related to the effects of the COVID-19 pandemic, see “Item 1A – Risk Factors.”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January 30, 2021, February 1, 2020 and February 2, 2019 are referred to as fiscal 2020,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the financial pages of this Report. The nature of our business is seasonal. Historically, sales in the first and fourth quarters of the fiscal year have been higher than sales achieved in the second and third quarters of the fiscal year. Expenses and, to a greater extent, operating income, vary by quarter. Results of a period shorter than a full year may not be indicative of results expected for the entire year due to changes in our business, consumer spending patterns, and the macroeconomic environment, including those resulting from the COVID-19 pandemic. Furthermore, the seasonal nature of our business may affect comparisons between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3" w:name="page24"/>
    <w:bookmarkEnd w:id="2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Net Sales and Additional Operating Data</w:t>
      </w:r>
    </w:p>
    <w:p>
      <w:pPr>
        <w:spacing w:after="0" w:line="149" w:lineRule="exact"/>
        <w:rPr>
          <w:sz w:val="20"/>
          <w:szCs w:val="20"/>
          <w:color w:val="auto"/>
        </w:rPr>
      </w:pPr>
    </w:p>
    <w:p>
      <w:pPr>
        <w:ind w:left="20" w:right="260"/>
        <w:spacing w:after="0" w:line="243" w:lineRule="auto"/>
        <w:rPr>
          <w:sz w:val="20"/>
          <w:szCs w:val="20"/>
          <w:color w:val="auto"/>
        </w:rPr>
      </w:pPr>
      <w:r>
        <w:rPr>
          <w:rFonts w:ascii="Arial" w:cs="Arial" w:eastAsia="Arial" w:hAnsi="Arial"/>
          <w:sz w:val="17"/>
          <w:szCs w:val="17"/>
          <w:color w:val="auto"/>
        </w:rPr>
        <w:t>The following table provides selected consolidated statement of operations data expressed both in dollars and as a percentage of net sales: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rPr>
              <w:t>Fiscal Year</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33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Statement of Operations Data</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4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783,294</w:t>
            </w:r>
          </w:p>
        </w:tc>
        <w:tc>
          <w:tcPr>
            <w:tcW w:w="2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781,925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769,553</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 shown separately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(471,618)</w:t>
            </w:r>
          </w:p>
        </w:tc>
        <w:tc>
          <w:tcPr>
            <w:tcW w:w="2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(60.2)%</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(484,740)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w w:val="97"/>
              </w:rPr>
              <w:t>(62.0)%</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(476,326)</w:t>
            </w:r>
          </w:p>
        </w:tc>
        <w:tc>
          <w:tcPr>
            <w:tcW w:w="2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(61.9)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below)</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(260,198)</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(33.2)%</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(259,629)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7"/>
              </w:rPr>
              <w:t>(33.2)%</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(247,938)</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(32.2)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(19,259)</w:t>
            </w:r>
          </w:p>
        </w:tc>
        <w:tc>
          <w:tcPr>
            <w:tcW w:w="2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(18,535)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(18,886)</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(286)</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(0.0)%</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(472)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(0.1)%</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(1,274)</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31,933</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18,549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25,129</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238</w:t>
            </w:r>
          </w:p>
        </w:tc>
        <w:tc>
          <w:tcPr>
            <w:tcW w:w="2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1,353</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(776)</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(0.1)%</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(0.0)%</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(154)</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31,395</w:t>
            </w:r>
          </w:p>
        </w:tc>
        <w:tc>
          <w:tcPr>
            <w:tcW w:w="2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19,968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26,328</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(7,417)</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(3,465)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(0.4)%</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(4,954)</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(0.6)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23,978</w:t>
            </w:r>
          </w:p>
        </w:tc>
        <w:tc>
          <w:tcPr>
            <w:tcW w:w="22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16,503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21,374</w:t>
            </w:r>
          </w:p>
        </w:tc>
        <w:tc>
          <w:tcPr>
            <w:tcW w:w="20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information about store activity and the change in comparable store sales for each fiscal year: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4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60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vMerge w:val="restart"/>
          </w:tcPr>
          <w:p>
            <w:pPr>
              <w:spacing w:after="0"/>
              <w:rPr>
                <w:sz w:val="17"/>
                <w:szCs w:val="17"/>
                <w:color w:val="auto"/>
              </w:rPr>
            </w:pPr>
          </w:p>
        </w:tc>
        <w:tc>
          <w:tcPr>
            <w:tcW w:w="25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vMerge w:val="continue"/>
          </w:tcPr>
          <w:p>
            <w:pPr>
              <w:spacing w:after="0"/>
              <w:rPr>
                <w:sz w:val="16"/>
                <w:szCs w:val="16"/>
                <w:color w:val="auto"/>
              </w:rPr>
            </w:pPr>
          </w:p>
        </w:tc>
        <w:tc>
          <w:tcPr>
            <w:tcW w:w="7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Total stores open, beginning of year</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571</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562</w:t>
            </w: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549</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160" w:type="dxa"/>
            <w:vAlign w:val="bottom"/>
            <w:gridSpan w:val="2"/>
          </w:tcPr>
          <w:p>
            <w:pPr>
              <w:spacing w:after="0" w:line="189" w:lineRule="exact"/>
              <w:rPr>
                <w:sz w:val="20"/>
                <w:szCs w:val="20"/>
                <w:color w:val="auto"/>
              </w:rPr>
            </w:pPr>
            <w:r>
              <w:rPr>
                <w:rFonts w:ascii="Arial" w:cs="Arial" w:eastAsia="Arial" w:hAnsi="Arial"/>
                <w:sz w:val="17"/>
                <w:szCs w:val="17"/>
                <w:color w:val="auto"/>
              </w:rPr>
              <w:t>New stores</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3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Closed stores</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3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00" w:type="dxa"/>
            <w:vAlign w:val="bottom"/>
            <w:gridSpan w:val="3"/>
          </w:tcPr>
          <w:p>
            <w:pPr>
              <w:ind w:left="40"/>
              <w:spacing w:after="0" w:line="183" w:lineRule="exact"/>
              <w:rPr>
                <w:sz w:val="20"/>
                <w:szCs w:val="20"/>
                <w:color w:val="auto"/>
              </w:rPr>
            </w:pPr>
            <w:r>
              <w:rPr>
                <w:rFonts w:ascii="Arial" w:cs="Arial" w:eastAsia="Arial" w:hAnsi="Arial"/>
                <w:sz w:val="17"/>
                <w:szCs w:val="17"/>
                <w:color w:val="auto"/>
              </w:rPr>
              <w:t>Total stores open, end of year</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585</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571</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562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0" w:type="dxa"/>
            <w:vAlign w:val="bottom"/>
            <w:vMerge w:val="restart"/>
          </w:tcPr>
          <w:p>
            <w:pPr>
              <w:spacing w:after="0"/>
              <w:rPr>
                <w:sz w:val="14"/>
                <w:szCs w:val="14"/>
                <w:color w:val="auto"/>
              </w:rPr>
            </w:pPr>
          </w:p>
        </w:tc>
        <w:tc>
          <w:tcPr>
            <w:tcW w:w="2540" w:type="dxa"/>
            <w:vAlign w:val="bottom"/>
            <w:tcBorders>
              <w:top w:val="single" w:sz="8" w:color="CCEEFF"/>
            </w:tcBorders>
            <w:shd w:val="clear" w:color="auto" w:fill="CCEEFF"/>
          </w:tcPr>
          <w:p>
            <w:pPr>
              <w:spacing w:after="0"/>
              <w:rPr>
                <w:sz w:val="14"/>
                <w:szCs w:val="14"/>
                <w:color w:val="auto"/>
              </w:rPr>
            </w:pPr>
          </w:p>
        </w:tc>
        <w:tc>
          <w:tcPr>
            <w:tcW w:w="46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 w:type="dxa"/>
            <w:vAlign w:val="bottom"/>
            <w:vMerge w:val="continue"/>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Comparable store sales (decrease) increase (1)</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1.6 % (2)</w:t>
            </w:r>
          </w:p>
        </w:tc>
        <w:tc>
          <w:tcPr>
            <w:tcW w:w="0" w:type="dxa"/>
            <w:vAlign w:val="bottom"/>
          </w:tcPr>
          <w:p>
            <w:pPr>
              <w:spacing w:after="0"/>
              <w:rPr>
                <w:sz w:val="1"/>
                <w:szCs w:val="1"/>
                <w:color w:val="auto"/>
              </w:rPr>
            </w:pPr>
          </w:p>
        </w:tc>
      </w:tr>
      <w:tr>
        <w:trPr>
          <w:trHeight w:val="79"/>
        </w:trPr>
        <w:tc>
          <w:tcPr>
            <w:tcW w:w="4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4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0" w:right="120" w:hanging="383"/>
        <w:spacing w:after="0" w:line="249"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 Stores that are closed permanently or for an extended period are excluded from the comparable store sales results.</w:t>
      </w:r>
    </w:p>
    <w:p>
      <w:pPr>
        <w:spacing w:after="0" w:line="119" w:lineRule="exact"/>
        <w:rPr>
          <w:rFonts w:ascii="Arial" w:cs="Arial" w:eastAsia="Arial" w:hAnsi="Arial"/>
          <w:sz w:val="14"/>
          <w:szCs w:val="14"/>
          <w:color w:val="auto"/>
        </w:rPr>
      </w:pPr>
    </w:p>
    <w:p>
      <w:pPr>
        <w:ind w:left="400" w:right="140" w:hanging="383"/>
        <w:spacing w:after="0" w:line="258"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is reporting comparable store sales on a comparable weeks basis; for fiscal 2018, the 52 weeks ended February 2, 2019 were compared to the 52 weeks ended February 3, 2018.</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357505</wp:posOffset>
            </wp:positionV>
            <wp:extent cx="654939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20"/>
          </w:cols>
          <w:pgMar w:left="840" w:top="517" w:right="739" w:bottom="1440" w:gutter="0" w:footer="0" w:header="0"/>
        </w:sectPr>
      </w:pPr>
    </w:p>
    <w:bookmarkStart w:id="24" w:name="page25"/>
    <w:bookmarkEnd w:id="24"/>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Key Operating Statistics</w:t>
      </w:r>
    </w:p>
    <w:p>
      <w:pPr>
        <w:spacing w:after="0" w:line="149" w:lineRule="exact"/>
        <w:rPr>
          <w:sz w:val="20"/>
          <w:szCs w:val="20"/>
          <w:color w:val="auto"/>
        </w:rPr>
      </w:pPr>
    </w:p>
    <w:p>
      <w:pPr>
        <w:ind w:left="3" w:right="60"/>
        <w:spacing w:after="0" w:line="234"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2019 and fiscal 2020 were not considered comparable stores in fiscal 2020.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outdoor community shopping centers rather than sites built specifically for our stores, store square footage (and therefore sales per square foot) varies by store. We focus on overall store sales volume as the critical driver of profitability.</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Fiscal 2020 Compared to Fiscal 2019</w:t>
      </w:r>
    </w:p>
    <w:p>
      <w:pPr>
        <w:spacing w:after="0" w:line="144" w:lineRule="exact"/>
        <w:rPr>
          <w:sz w:val="20"/>
          <w:szCs w:val="20"/>
          <w:color w:val="auto"/>
        </w:rPr>
      </w:pPr>
    </w:p>
    <w:p>
      <w:pPr>
        <w:ind w:left="3"/>
        <w:spacing w:after="0" w:line="235"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$1.4 million, or 0.2%, to $783.3 million in fiscal 2020 from $781.9 million in fiscal 2019, despite our stores</w:t>
      </w:r>
      <w:r>
        <w:rPr>
          <w:rFonts w:ascii="Arial" w:cs="Arial" w:eastAsia="Arial" w:hAnsi="Arial"/>
          <w:sz w:val="17"/>
          <w:szCs w:val="17"/>
          <w:i w:val="1"/>
          <w:iCs w:val="1"/>
          <w:color w:val="auto"/>
        </w:rPr>
        <w:t xml:space="preserve"> </w:t>
      </w:r>
      <w:r>
        <w:rPr>
          <w:rFonts w:ascii="Arial" w:cs="Arial" w:eastAsia="Arial" w:hAnsi="Arial"/>
          <w:sz w:val="17"/>
          <w:szCs w:val="17"/>
          <w:color w:val="auto"/>
        </w:rPr>
        <w:t>being closed for approximately 16% of the total available store days in fiscal 2020 due to the COVID-19 pandemic. Comparable store sales decreased 2.1% in fiscal 2020. The increase in net sales was due to strong performance in the second, third and fourth quarters of 2020 (beginning in the second quarter as the Company reopened its stores from temporary closures due to COVID-19). In the second quarter, comparable store sales increased 32.2% for reopened stores from their respective opening dates. In the third and fourth quarters, comparable store sales increased 6.3% and 16.7%, respectively. Also contributing to the total increase in sales was the opening of 18 new stores in 2020 and 16 new stores in 2019 for which there was not a full year of sales in 2019, partially offset by the closing of 4 stores in 2020 and 7 stores in 2019. Store opening and closing activity resulted in a net increase of $18.3 million in sales in 2020, while the 2.1% decrease in comparable store sales in the 551 comparable stores caused sales to decrease $16.0 million and layaway fee income decreased $0.9 million. Finally, despite the negative impact to sales from closures related to the pandemic, we experienced increased demand upon reopening partially due to government stimulus payments.</w:t>
      </w:r>
    </w:p>
    <w:p>
      <w:pPr>
        <w:spacing w:after="0" w:line="109" w:lineRule="exact"/>
        <w:rPr>
          <w:sz w:val="20"/>
          <w:szCs w:val="20"/>
          <w:color w:val="auto"/>
        </w:rPr>
      </w:pPr>
    </w:p>
    <w:p>
      <w:pPr>
        <w:ind w:left="3" w:right="80"/>
        <w:spacing w:after="0" w:line="243"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decreased $13.1 million, or 2.7%, to $471.6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from $484.7 million in 2019. Cost of sales as a percentage of net sales decreased 180 basis points to 60.2% in 2020 from 62.0% in 2019 due to an increase of 140 basis points in the core merchandise margin (initial mark-up, net of markdowns), along with an improvement of 40 basis points in shrinkage.</w:t>
      </w:r>
    </w:p>
    <w:p>
      <w:pPr>
        <w:spacing w:after="0" w:line="113" w:lineRule="exact"/>
        <w:rPr>
          <w:sz w:val="20"/>
          <w:szCs w:val="20"/>
          <w:color w:val="auto"/>
        </w:rPr>
      </w:pPr>
    </w:p>
    <w:p>
      <w:pPr>
        <w:ind w:left="3" w:right="20"/>
        <w:spacing w:after="0" w:line="23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$0.6 million, or 0.2% to $260.2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2020 from $259.6 million in fiscal 2019. As a result of the temporary closure of all our stores, we took several steps to reduce selling, general and administrative expenses, including (i) temporarily furloughing substantially all store and distribution center personnel and a significant portion of the corporate staff; (ii) implementing temporary tiered salary reductions for management level corporate employees and a reduction to the cash portion of non-employee director fees; (iii) negotiating rent concessions with landlords; and (iv) executing substantial reductions in operating expenses and store occupancy costs. These reductions were offset by an increase in incentive compensation expense resulting from improved operating results in relation to budget and the opening of 18 new stores in 2020 and 16 new stores in 2019. As a percentage of net sales, selling, general and administrative expenses remained flat in 2020 relative to 2019 at 33.2%.</w:t>
      </w:r>
    </w:p>
    <w:p>
      <w:pPr>
        <w:spacing w:after="0" w:line="120" w:lineRule="exact"/>
        <w:rPr>
          <w:sz w:val="20"/>
          <w:szCs w:val="20"/>
          <w:color w:val="auto"/>
        </w:rPr>
      </w:pPr>
    </w:p>
    <w:p>
      <w:pPr>
        <w:ind w:left="3"/>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increased $0.8 million to $19.3 million in 2020 from $18.5 million in 2019.</w:t>
      </w:r>
    </w:p>
    <w:p>
      <w:pPr>
        <w:spacing w:after="0" w:line="129" w:lineRule="exact"/>
        <w:rPr>
          <w:sz w:val="20"/>
          <w:szCs w:val="20"/>
          <w:color w:val="auto"/>
        </w:rPr>
      </w:pPr>
    </w:p>
    <w:p>
      <w:pPr>
        <w:ind w:left="3" w:right="260"/>
        <w:spacing w:after="0" w:line="243"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Impairment charges related to an underperforming store totaled $0.3 million in 2020, comprised of $0.1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and fixtures and equipment, and $0.2 million for an operating lease right-of-use asset. In 2019, impairment charges related to underperforming stores totaled $0.5 million, comprised of $0.3 million for leasehold improvements and fixtures and equipment, and $0.2 million for an operating lease right-of-use asset.</w:t>
      </w:r>
    </w:p>
    <w:p>
      <w:pPr>
        <w:spacing w:after="0" w:line="113" w:lineRule="exact"/>
        <w:rPr>
          <w:sz w:val="20"/>
          <w:szCs w:val="20"/>
          <w:color w:val="auto"/>
        </w:rPr>
      </w:pPr>
    </w:p>
    <w:p>
      <w:pPr>
        <w:ind w:left="3" w:right="320"/>
        <w:spacing w:after="0" w:line="265"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$3.9 million to $7.4 million in 2020 from $3.5 million in 2019 due primarily to an</w:t>
      </w:r>
      <w:r>
        <w:rPr>
          <w:rFonts w:ascii="Arial" w:cs="Arial" w:eastAsia="Arial" w:hAnsi="Arial"/>
          <w:sz w:val="17"/>
          <w:szCs w:val="17"/>
          <w:i w:val="1"/>
          <w:iCs w:val="1"/>
          <w:color w:val="auto"/>
        </w:rPr>
        <w:t xml:space="preserve"> </w:t>
      </w:r>
      <w:r>
        <w:rPr>
          <w:rFonts w:ascii="Arial" w:cs="Arial" w:eastAsia="Arial" w:hAnsi="Arial"/>
          <w:sz w:val="17"/>
          <w:szCs w:val="17"/>
          <w:color w:val="auto"/>
        </w:rPr>
        <w:t>$11.4 million increase in pretax income.</w:t>
      </w:r>
    </w:p>
    <w:p>
      <w:pPr>
        <w:spacing w:after="0" w:line="95" w:lineRule="exact"/>
        <w:rPr>
          <w:sz w:val="20"/>
          <w:szCs w:val="20"/>
          <w:color w:val="auto"/>
        </w:rPr>
      </w:pPr>
    </w:p>
    <w:p>
      <w:pPr>
        <w:ind w:left="3" w:right="140"/>
        <w:spacing w:after="0" w:line="265"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$7.5 million to $24.0 million in 2020 compared to $16.5 million in 2019, due to the factors discussed</w:t>
      </w:r>
      <w:r>
        <w:rPr>
          <w:rFonts w:ascii="Arial" w:cs="Arial" w:eastAsia="Arial" w:hAnsi="Arial"/>
          <w:sz w:val="17"/>
          <w:szCs w:val="17"/>
          <w:i w:val="1"/>
          <w:iCs w:val="1"/>
          <w:color w:val="auto"/>
        </w:rPr>
        <w:t xml:space="preserve"> </w:t>
      </w:r>
      <w:r>
        <w:rPr>
          <w:rFonts w:ascii="Arial" w:cs="Arial" w:eastAsia="Arial" w:hAnsi="Arial"/>
          <w:sz w:val="17"/>
          <w:szCs w:val="17"/>
          <w:color w:val="auto"/>
        </w:rPr>
        <w:t>above.</w:t>
      </w:r>
    </w:p>
    <w:p>
      <w:pPr>
        <w:spacing w:after="0" w:line="79"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Liquidity and Capital Resources</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7"/>
          <w:szCs w:val="17"/>
          <w:color w:val="auto"/>
        </w:rPr>
        <w:t>Our principal sources of liquidity consist of: (i) cash and cash equivalents (which equaled $123.2 million as of January 30, 2021);</w:t>
      </w:r>
    </w:p>
    <w:p>
      <w:pPr>
        <w:jc w:val="both"/>
        <w:ind w:left="3" w:right="160" w:hanging="3"/>
        <w:spacing w:after="0" w:line="238"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short-term trade credit; (iii) cash generated from operations on an ongoing basis as we sell our merchandise inventory; and (iv) a revolving credit facility with a $50 million credit commitment (with no borrowings at the end of fiscal 2020). Trade credit represents a significant source of financing for inventory purchases and arises from customary payment terms and trade practices with our vendors.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As of January 30, 2021, we had total cash and cash equivalents of $123.2 million, compared with $19.9 million as of February 1, 2020. We had no short-term or long-term investment securities as of January 30, 2021, compared with $27.6 million and $15.7 million, respectively, as of February 1, 2020. These securities were comprised of bank certificates of deposit and obligations of the U.S. Treasury, states and municipalities.</w:t>
      </w:r>
    </w:p>
    <w:p>
      <w:pPr>
        <w:spacing w:after="0" w:line="13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Inventory represented 21.0% of our total assets as of January 30, 2021, compared with 30.1% as of February 1, 2020.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18"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Net cash provided by operating activities was $110.9 million in 2020 compared with $42.6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2019. Net income, adjusted for non-cash expenses such as depreciation, non-cash operating lease costs, asset impairment, loss on disposal of property and equipment, insurance proceeds from operating activities, deferred income taxes and stock-based compensation expense, provided cash of $96.2 million in 2020 (compared with $84.0 million in 2019). Other significant sources of cash in 2020 included (1) a $33.6 million decrease in inventory (compared to a $1.2 million decrease in 2019) due to efforts to reduce inventory levels, improve inventory turns and maintain as much inventory liquidity as possible in order to take advantage of opportunistic deals and trend changes; (2) a $16.3 million increase in accrued compensation (compared to a $0.3 million increase in 2019) due to an increase in incentive compensation resulting from favorable operating results in relation to budget, combined with an increase in deferred payroll taxes under the Coronavirus Aid, Relief and Economic Security (“CARES”) Act; (3) a $5.8 million increase income tax payable (compared to a $1.6 million decrease in 2019) due to higher pretax income; and (4) a $5.1 million increase in accounts payable (compared to a $5.6 million increase in 2019) due to improved inventory turns and a high volume of merchandise receipts during the final two months of the year, with nearly all of such purchases still in accounts payable at the end of the year.</w:t>
      </w:r>
    </w:p>
    <w:p>
      <w:pPr>
        <w:spacing w:after="0" w:line="12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Significant uses of cash from operating activities in 2020 included (1) a $38.4 million decrease in accrued expenses and other long-term liabilities (compared to a $45.3 million decrease in 2019) due primarily to payments of operating lease liabilities; and (2) a $7.7 million increase in prepaid and other current assets (compared to a $1.6 million increase in 2019) due primarily to an employee retention credit receivable under the CARES Act, combined with increases in receivables for tenant improvement allowances and charge card receivables.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provided by investing activities was $26.7 million in 2020 compared with cash used of $7.6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Sales and redemptions of investment securities, net of purchases, provided cash of $43.3 million in 2020 (compared with $16.0 million in 2019) due to converting our investments to cash as a result of the COVID-19 pandemic. Cash used for the purchase of property and equipment was $17.0 million in 2020 (compared with $24.2 million in 2019) due to reducing our capital expenditure plans as a result of the COVID-19 pandemic.</w:t>
      </w:r>
    </w:p>
    <w:p>
      <w:pPr>
        <w:spacing w:after="0" w:line="116" w:lineRule="exact"/>
        <w:rPr>
          <w:sz w:val="20"/>
          <w:szCs w:val="20"/>
          <w:color w:val="auto"/>
        </w:rPr>
      </w:pPr>
    </w:p>
    <w:p>
      <w:pPr>
        <w:jc w:val="both"/>
        <w:ind w:right="140"/>
        <w:spacing w:after="0" w:line="248"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$34.3 million in 2020 compared with $32.9 million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Cash used for the repurchase of common stock totaled $32.9 million in 2020 and $28.4 million in 2019. Dividends paid to stockholders used cash of $0.8 million in 2020 and $3.8 million in 2019.</w:t>
      </w:r>
    </w:p>
    <w:p>
      <w:pPr>
        <w:spacing w:after="0" w:line="114" w:lineRule="exact"/>
        <w:rPr>
          <w:sz w:val="20"/>
          <w:szCs w:val="20"/>
          <w:color w:val="auto"/>
        </w:rPr>
      </w:pPr>
    </w:p>
    <w:p>
      <w:pPr>
        <w:ind w:right="1900"/>
        <w:spacing w:after="0" w:line="414" w:lineRule="auto"/>
        <w:rPr>
          <w:sz w:val="20"/>
          <w:szCs w:val="20"/>
          <w:color w:val="auto"/>
        </w:rPr>
      </w:pPr>
      <w:r>
        <w:rPr>
          <w:rFonts w:ascii="Arial" w:cs="Arial" w:eastAsia="Arial" w:hAnsi="Arial"/>
          <w:sz w:val="17"/>
          <w:szCs w:val="17"/>
          <w:color w:val="auto"/>
        </w:rPr>
        <w:t xml:space="preserve">Until required for other purposes, we maintain cash and cash equivalents in deposit or money market accounts. </w:t>
      </w:r>
      <w:r>
        <w:rPr>
          <w:rFonts w:ascii="Arial" w:cs="Arial" w:eastAsia="Arial" w:hAnsi="Arial"/>
          <w:sz w:val="17"/>
          <w:szCs w:val="17"/>
          <w:b w:val="1"/>
          <w:bCs w:val="1"/>
          <w:color w:val="auto"/>
        </w:rPr>
        <w:t>Cash Requirements and Commitments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cash requirements are primarily for working capital and for capital expenditures for our stores, distribution infrastructure and information systems. We also use cash to repurchase stock under our stock repurchase program. Historically, we have met these cash requirements using cash flow from operations and short-term trade credit.</w:t>
      </w:r>
    </w:p>
    <w:p>
      <w:pPr>
        <w:spacing w:after="0" w:line="120"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As a result of the temporary closure of our stores due the COVID-19 pandemic, on March 20, 2020, we borrowed $43.7 million in principal amount under our revolving credit facility. On September 11, 2020, we repaid the full amount outstanding under the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reduced our operating expenses, capital expenditure plans and inventory receipts, as appropriate.</w:t>
      </w:r>
    </w:p>
    <w:p>
      <w:pPr>
        <w:spacing w:after="0" w:line="14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announced a share repurchase program on March 13, 2020. On March 23, 2020, due to the economic uncertainty stemming from the COVID-19 pandemic, we suspended any repurchases and dividend payments. On September 14, 2020, we announced the reinstatement of the share repurchase program. During fiscal 2020, we repurchased shares of our common stock at an aggregate cost of $32.9 million, funded from cash on hand. We have continued repurchases in fiscal 2021, including a block repurchase of 250,000 shares on March 23, 2021 for an aggregate purchase price of $21.9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6" w:name="page27"/>
    <w:bookmarkEnd w:id="26"/>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as well as the foreseeable future. However, any significant reduction in customer willingness to visit shopping centers or levels of customer spending at our stores, or any future temporary closures of our stores or distribution centers, or any disruptions in the supply chains related to our merchandise could require us to take actions that could include material changes in our operations and seeking additional debt or equity capital. We will continue to monitor the situation and take action as necessary to reduce our expenses and preserve our financial flexibility.</w:t>
      </w:r>
    </w:p>
    <w:p>
      <w:pPr>
        <w:spacing w:after="0" w:line="121" w:lineRule="exact"/>
        <w:rPr>
          <w:sz w:val="20"/>
          <w:szCs w:val="20"/>
          <w:color w:val="auto"/>
        </w:rPr>
      </w:pPr>
    </w:p>
    <w:p>
      <w:pPr>
        <w:ind w:left="3" w:right="220"/>
        <w:spacing w:after="0" w:line="243" w:lineRule="auto"/>
        <w:rPr>
          <w:sz w:val="20"/>
          <w:szCs w:val="20"/>
          <w:color w:val="auto"/>
        </w:rPr>
      </w:pPr>
      <w:r>
        <w:rPr>
          <w:rFonts w:ascii="Arial" w:cs="Arial" w:eastAsia="Arial" w:hAnsi="Arial"/>
          <w:sz w:val="17"/>
          <w:szCs w:val="17"/>
          <w:color w:val="auto"/>
        </w:rPr>
        <w:t>The following table discloses aggregate information about our contractual obligations as of January 30, 2021 and the periods in which payments are due:</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
              <w:spacing w:after="0" w:line="143"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220"/>
              <w:spacing w:after="0" w:line="143"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00"/>
              <w:spacing w:after="0" w:line="143"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2"/>
                <w:szCs w:val="12"/>
                <w:color w:val="auto"/>
              </w:rPr>
            </w:pPr>
          </w:p>
        </w:tc>
        <w:tc>
          <w:tcPr>
            <w:tcW w:w="7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More than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Contractual obligations: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220"/>
              <w:spacing w:after="0"/>
              <w:rPr>
                <w:sz w:val="20"/>
                <w:szCs w:val="20"/>
                <w:color w:val="auto"/>
              </w:rPr>
            </w:pPr>
            <w:r>
              <w:rPr>
                <w:rFonts w:ascii="Arial" w:cs="Arial" w:eastAsia="Arial" w:hAnsi="Arial"/>
                <w:sz w:val="17"/>
                <w:szCs w:val="17"/>
                <w:color w:val="auto"/>
              </w:rPr>
              <w:t>Operating leases (1)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209,688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51,435</w:t>
            </w:r>
          </w:p>
        </w:tc>
        <w:tc>
          <w:tcPr>
            <w:tcW w:w="36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83,251</w:t>
            </w:r>
          </w:p>
        </w:tc>
        <w:tc>
          <w:tcPr>
            <w:tcW w:w="16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48,285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 obligations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144,834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5400" w:type="dxa"/>
            <w:vAlign w:val="bottom"/>
            <w:gridSpan w:val="2"/>
          </w:tcPr>
          <w:p>
            <w:pPr>
              <w:spacing w:after="0" w:line="183" w:lineRule="exact"/>
              <w:rPr>
                <w:sz w:val="20"/>
                <w:szCs w:val="20"/>
                <w:color w:val="auto"/>
              </w:rPr>
            </w:pPr>
            <w:r>
              <w:rPr>
                <w:rFonts w:ascii="Arial" w:cs="Arial" w:eastAsia="Arial" w:hAnsi="Arial"/>
                <w:sz w:val="17"/>
                <w:szCs w:val="17"/>
                <w:color w:val="auto"/>
              </w:rPr>
              <w:t>Total contractual cash obligations</w:t>
            </w: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354,522</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196,269</w:t>
            </w: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83,251</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48,285</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26,717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58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3" w:right="160" w:hanging="383"/>
        <w:spacing w:after="0" w:line="258" w:lineRule="auto"/>
        <w:tabs>
          <w:tab w:leader="none" w:pos="3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fixed minimum rents in stores and does not include incremental rents which are computed as a percentage of net sales. For example, in fiscal 2020 incremental percentage rent was approximately $0.5 million, which represented 0.9% of total rent expense.</w:t>
      </w:r>
    </w:p>
    <w:p>
      <w:pPr>
        <w:spacing w:after="0" w:line="97" w:lineRule="exact"/>
        <w:rPr>
          <w:sz w:val="20"/>
          <w:szCs w:val="20"/>
          <w:color w:val="auto"/>
        </w:rPr>
      </w:pPr>
    </w:p>
    <w:p>
      <w:pPr>
        <w:ind w:left="3" w:right="40"/>
        <w:spacing w:after="0" w:line="243"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On October 27, 2011, we entered into a five-year, $50 million credit facility with Bank of America. The facility was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on August 18, 2015, extending the maturity date to August 18, 2020. On March 20, 2020, in response to the COVID-19 pandemic, we borrowed $43.7 million on our revolving credit facility to enhance our liquidity position. On September 11, 2020, we repaid the full amount outstanding under the credit facility. Such borrowings accrued interest ranging from 1.625% to 3.5%.</w:t>
      </w:r>
    </w:p>
    <w:p>
      <w:pPr>
        <w:spacing w:after="0" w:line="131" w:lineRule="exact"/>
        <w:rPr>
          <w:sz w:val="20"/>
          <w:szCs w:val="20"/>
          <w:color w:val="auto"/>
        </w:rPr>
      </w:pPr>
    </w:p>
    <w:p>
      <w:pPr>
        <w:ind w:left="3" w:right="260"/>
        <w:spacing w:after="0" w:line="238" w:lineRule="auto"/>
        <w:rPr>
          <w:sz w:val="20"/>
          <w:szCs w:val="20"/>
          <w:color w:val="auto"/>
        </w:rPr>
      </w:pPr>
      <w:r>
        <w:rPr>
          <w:rFonts w:ascii="Arial" w:cs="Arial" w:eastAsia="Arial" w:hAnsi="Arial"/>
          <w:sz w:val="17"/>
          <w:szCs w:val="17"/>
          <w:color w:val="auto"/>
        </w:rPr>
        <w:t>On May 12, 2020, the Company entered into a Second Amendment to Credit Agreement and Waiver (the “Second Amendment”) with Bank of America and the Company’s wholly-owned subsidiary, Citi Trends Marketing Solutions, Inc., as guarantor (the “Second Amendment”) to amend the credit facility (as amended, the “Revolving Credit Facility”) as described below.</w:t>
      </w:r>
    </w:p>
    <w:p>
      <w:pPr>
        <w:spacing w:after="0" w:line="120"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The Revolving Credit Facility provides a $50 million credit commitment and a $25 million uncommitted “accordion” feature that under certain circumstances could allow us to increase the size of the facility to $75 million. The Revolving Credit Facility is secured by our inventory, accounts receivable and related assets, but not our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w:t>
      </w:r>
    </w:p>
    <w:p>
      <w:pPr>
        <w:spacing w:after="0" w:line="134" w:lineRule="exact"/>
        <w:rPr>
          <w:sz w:val="20"/>
          <w:szCs w:val="20"/>
          <w:color w:val="auto"/>
        </w:rPr>
      </w:pPr>
    </w:p>
    <w:p>
      <w:pPr>
        <w:ind w:left="3" w:right="20"/>
        <w:spacing w:after="0" w:line="235" w:lineRule="auto"/>
        <w:rPr>
          <w:sz w:val="20"/>
          <w:szCs w:val="20"/>
          <w:color w:val="auto"/>
        </w:rPr>
      </w:pPr>
      <w:r>
        <w:rPr>
          <w:rFonts w:ascii="Arial" w:cs="Arial" w:eastAsia="Arial" w:hAnsi="Arial"/>
          <w:sz w:val="17"/>
          <w:szCs w:val="17"/>
          <w:color w:val="auto"/>
        </w:rPr>
        <w:t>The Second Amendment amends the Revolving Credit Facility to, among other things, extend the maturity date (which had been set to expire August 18, 2020) to August 18, 2021, increase the pricing for the loans and modify certain covenant and reporting terms. Following the effective date of the Second Amendment, borrowings under the Revolving Credit Facility will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w:t>
      </w:r>
    </w:p>
    <w:p>
      <w:pPr>
        <w:spacing w:after="0" w:line="116" w:lineRule="exact"/>
        <w:rPr>
          <w:sz w:val="20"/>
          <w:szCs w:val="20"/>
          <w:color w:val="auto"/>
        </w:rPr>
      </w:pPr>
    </w:p>
    <w:p>
      <w:pPr>
        <w:ind w:left="3" w:right="180"/>
        <w:spacing w:after="0" w:line="243"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We lease our stores under operating leases, which generally have an initial term of five years with renewal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typical store lease requires a combination of both fixed monthly rents and contingent rents computed as a percentage of net sales after a certain sales threshold has been met. Rent expense was $60.1 million in 2020 compared with $58.1 million in 2019 (including contingent rent of $0.5 million and $0.3 million in 2020 and 2019, respectively).</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As of January 30, 2021, we had purchase obligations of $145.0 million, all of which were for less than one year.</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7"/>
          <w:szCs w:val="17"/>
          <w:color w:val="auto"/>
        </w:rPr>
        <w:t>These purchase obligations consist of outstanding merchandise orders.</w:t>
      </w:r>
    </w:p>
    <w:p>
      <w:pPr>
        <w:spacing w:after="0" w:line="122"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2" w:lineRule="exact"/>
        <w:rPr>
          <w:sz w:val="20"/>
          <w:szCs w:val="20"/>
          <w:color w:val="auto"/>
        </w:rPr>
      </w:pPr>
    </w:p>
    <w:p>
      <w:pPr>
        <w:ind w:left="3" w:right="20"/>
        <w:spacing w:after="0" w:line="235"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6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was 0.8% in 2020, compared to 1.2% in 2019 and 1.3% in 2018. The allowance for estimated inventory shrinkage was $5.2 million as of January 30, 2021 and $3.0 million as of February 1, 2020.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4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We are largely self-insured for workers’ compensation costs, general liability claims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 operations. Our self-insurance liabilities totaled $2.9 million ($1.5 million current and $1.4 million noncurrent) as of January 30, 2021 and $2.6 million ($1.5 million current and $1.1 million noncurrent) as of</w:t>
      </w:r>
    </w:p>
    <w:p>
      <w:pPr>
        <w:ind w:right="340"/>
        <w:spacing w:after="0" w:line="414" w:lineRule="auto"/>
        <w:rPr>
          <w:sz w:val="20"/>
          <w:szCs w:val="20"/>
          <w:color w:val="auto"/>
        </w:rPr>
      </w:pPr>
      <w:r>
        <w:rPr>
          <w:rFonts w:ascii="Arial" w:cs="Arial" w:eastAsia="Arial" w:hAnsi="Arial"/>
          <w:sz w:val="17"/>
          <w:szCs w:val="17"/>
          <w:color w:val="auto"/>
        </w:rPr>
        <w:t xml:space="preserve">February 1, 2020. There were no material changes in the estimates or assumptions related to insurance liabilities during fiscal 2020. </w:t>
      </w:r>
      <w:r>
        <w:rPr>
          <w:rFonts w:ascii="Arial" w:cs="Arial" w:eastAsia="Arial" w:hAnsi="Arial"/>
          <w:sz w:val="17"/>
          <w:szCs w:val="17"/>
          <w:b w:val="1"/>
          <w:bCs w:val="1"/>
          <w:i w:val="1"/>
          <w:iCs w:val="1"/>
          <w:color w:val="auto"/>
        </w:rPr>
        <w:t>Operating Leases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lease all of our retail store locations and certain office space and equipment. All leases are classified as operating leases. We record right-of-use assets and lease liabilities based on the present value of future minimum lease payments over the lease term. In determining the present value of lease payments, we use an incremental borrowing rate that approximates the rate of interest the Company would have to pay to borrow on a collateralized basis over a similar term. Our lessors do not provide an implicit rate, nor is one readily available, therefore we determine an incremental borrowing rate based on a buildup approach which utilizes rates and terms from the Company’s existing borrowing facility with adjustments to bridge for impacts to the rate due to differences in collateral, terms and payments. We record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2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See Note 2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 ABOUT MARKET RISK</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2020. We do not engage in financial transactions for trading or speculative purposes and have not entered into any interest rate hedging contracts. On March 20, 2020, we borrowed $43.7 million in principal amount under our Revolving Credit Facility. On September 11, 2020, we repaid the full amount outstanding under our Revolving Credit Facility. Such borrowings accrued interest ranging from 1.625% to 3.5%.</w:t>
      </w:r>
    </w:p>
    <w:p>
      <w:pPr>
        <w:spacing w:after="0" w:line="137"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1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10 to the consolidated financial statements.</w:t>
      </w:r>
    </w:p>
    <w:p>
      <w:pPr>
        <w:spacing w:after="0" w:line="11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u w:val="single" w:color="auto"/>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0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There were no changes in our internal control over financial reporting that occurred during the fourth quarter of 2020 that have materially affected, or are reasonably likely to materially affect, our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62"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F-5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PART III</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“Delinquent Section 16(a) Reports” in our definitive proxy statement (to be filed hereafter) in connection with our 2021 Annual Meeting of Stockholders (or will be filed by amendment to this Report).</w:t>
      </w:r>
    </w:p>
    <w:p>
      <w:pPr>
        <w:spacing w:after="0" w:line="11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2021 Annual Meeting of Stockholders (or will be filed by amendment to this Report).</w:t>
      </w:r>
    </w:p>
    <w:p>
      <w:pPr>
        <w:spacing w:after="0" w:line="11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u w:val="single" w:color="auto"/>
          <w:color w:val="auto"/>
        </w:rPr>
        <w:t>SECURITY OWNERSHIP OF CERTAIN BENEFICIAL OWNERS AND MANAGEMENT AND RELATED STOCKHOLDER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MATTERS</w:t>
      </w:r>
    </w:p>
    <w:p>
      <w:pPr>
        <w:spacing w:after="0" w:line="11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(to be filed hereafter) in connection with our 2021 Annual Meeting of Stockholders (or will be filed by amendment to this Report).</w:t>
      </w:r>
    </w:p>
    <w:p>
      <w:pPr>
        <w:spacing w:after="0" w:line="10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2021 Annual Meeting of Stockholders (or will be filed by amendment to this Report).</w:t>
      </w:r>
    </w:p>
    <w:p>
      <w:pPr>
        <w:spacing w:after="0" w:line="11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149"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2021 Annual Meeting of Stockholders (or will be filed by amendment 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PART IV</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u w:val="single" w:color="auto"/>
          <w:color w:val="auto"/>
        </w:rPr>
        <w:t>EXHIBITS, FINANCIAL STATEMENT SCHEDULES</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(a)(1)</w:t>
        <w:tab/>
        <w:t>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Financial Statements beginning on page F-1.</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(a)(2)</w:t>
        <w:tab/>
        <w:t>Financial Statement Schedules</w:t>
      </w:r>
    </w:p>
    <w:p>
      <w:pPr>
        <w:spacing w:after="0" w:line="129"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(a)(3)</w:t>
        <w:tab/>
        <w:t>Exhibits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Index</w:t>
      </w:r>
    </w:p>
    <w:p>
      <w:pPr>
        <w:spacing w:after="0" w:line="129"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6540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56" w:lineRule="exact"/>
        <w:rPr>
          <w:sz w:val="20"/>
          <w:szCs w:val="20"/>
          <w:color w:val="auto"/>
        </w:rPr>
      </w:pPr>
    </w:p>
    <w:p>
      <w:pPr>
        <w:ind w:left="1220" w:right="320" w:hanging="439"/>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44">
        <w:r>
          <w:rPr>
            <w:rFonts w:ascii="Arial" w:cs="Arial" w:eastAsia="Arial" w:hAnsi="Arial"/>
            <w:sz w:val="17"/>
            <w:szCs w:val="17"/>
            <w:u w:val="single" w:color="auto"/>
            <w:color w:val="0000EE"/>
          </w:rPr>
          <w:t>Third Amended and Restated Certificate of Incorporation (incorporated by reference to Exhibit 3.1 to the Company’s</w:t>
        </w:r>
      </w:hyperlink>
      <w:r>
        <w:rPr>
          <w:rFonts w:ascii="Arial" w:cs="Arial" w:eastAsia="Arial" w:hAnsi="Arial"/>
          <w:sz w:val="17"/>
          <w:szCs w:val="17"/>
          <w:u w:val="single" w:color="auto"/>
          <w:color w:val="0000EE"/>
        </w:rPr>
        <w:t xml:space="preserve"> </w:t>
      </w:r>
      <w:hyperlink r:id="rId44">
        <w:r>
          <w:rPr>
            <w:rFonts w:ascii="Arial" w:cs="Arial" w:eastAsia="Arial" w:hAnsi="Arial"/>
            <w:sz w:val="17"/>
            <w:szCs w:val="17"/>
            <w:u w:val="single" w:color="auto"/>
            <w:color w:val="0000EE"/>
          </w:rPr>
          <w:t>Current Report on Form 8-K filed with the SEC on June 7, 2018)</w:t>
        </w:r>
      </w:hyperlink>
    </w:p>
    <w:p>
      <w:pPr>
        <w:spacing w:after="0" w:line="171" w:lineRule="exact"/>
        <w:rPr>
          <w:sz w:val="20"/>
          <w:szCs w:val="20"/>
          <w:color w:val="auto"/>
        </w:rPr>
      </w:pPr>
    </w:p>
    <w:p>
      <w:pPr>
        <w:ind w:left="1220" w:right="320" w:hanging="439"/>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45">
        <w:r>
          <w:rPr>
            <w:rFonts w:ascii="Arial" w:cs="Arial" w:eastAsia="Arial" w:hAnsi="Arial"/>
            <w:sz w:val="17"/>
            <w:szCs w:val="17"/>
            <w:u w:val="single" w:color="auto"/>
            <w:color w:val="0000EE"/>
          </w:rPr>
          <w:t>Third Amended and Restated By-laws (incorporated by reference to Exhibit 3.2 to the Company’s Current Report on</w:t>
        </w:r>
      </w:hyperlink>
      <w:r>
        <w:rPr>
          <w:rFonts w:ascii="Arial" w:cs="Arial" w:eastAsia="Arial" w:hAnsi="Arial"/>
          <w:sz w:val="17"/>
          <w:szCs w:val="17"/>
          <w:u w:val="single" w:color="auto"/>
          <w:color w:val="0000EE"/>
        </w:rPr>
        <w:t xml:space="preserve"> </w:t>
      </w:r>
      <w:hyperlink r:id="rId45">
        <w:r>
          <w:rPr>
            <w:rFonts w:ascii="Arial" w:cs="Arial" w:eastAsia="Arial" w:hAnsi="Arial"/>
            <w:sz w:val="17"/>
            <w:szCs w:val="17"/>
            <w:u w:val="single" w:color="auto"/>
            <w:color w:val="0000EE"/>
          </w:rPr>
          <w:t>Form 8-K filed with the SEC on June 7, 2018)</w:t>
        </w:r>
      </w:hyperlink>
    </w:p>
    <w:p>
      <w:pPr>
        <w:spacing w:after="0" w:line="171" w:lineRule="exact"/>
        <w:rPr>
          <w:sz w:val="20"/>
          <w:szCs w:val="20"/>
          <w:color w:val="auto"/>
        </w:rPr>
      </w:pPr>
    </w:p>
    <w:p>
      <w:pPr>
        <w:ind w:left="1220" w:right="200" w:hanging="439"/>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46">
        <w:r>
          <w:rPr>
            <w:rFonts w:ascii="Arial" w:cs="Arial" w:eastAsia="Arial" w:hAnsi="Arial"/>
            <w:sz w:val="17"/>
            <w:szCs w:val="17"/>
            <w:u w:val="single" w:color="auto"/>
            <w:color w:val="0000EE"/>
          </w:rPr>
          <w:t>Specimen certificate for shares of common stock, $.01 par value (incorporated by reference to Exhibit 4.1 to</w:t>
        </w:r>
      </w:hyperlink>
      <w:r>
        <w:rPr>
          <w:rFonts w:ascii="Arial" w:cs="Arial" w:eastAsia="Arial" w:hAnsi="Arial"/>
          <w:sz w:val="17"/>
          <w:szCs w:val="17"/>
          <w:u w:val="single" w:color="auto"/>
          <w:color w:val="0000EE"/>
        </w:rPr>
        <w:t xml:space="preserve"> </w:t>
      </w:r>
      <w:hyperlink r:id="rId46">
        <w:r>
          <w:rPr>
            <w:rFonts w:ascii="Arial" w:cs="Arial" w:eastAsia="Arial" w:hAnsi="Arial"/>
            <w:sz w:val="17"/>
            <w:szCs w:val="17"/>
            <w:u w:val="single" w:color="auto"/>
            <w:color w:val="0000EE"/>
          </w:rPr>
          <w:t>Amendment No. 2 to the Company’s Registration Statement on Form S-1 (File No. 333-123028) filed with the SEC on</w:t>
        </w:r>
      </w:hyperlink>
      <w:r>
        <w:rPr>
          <w:rFonts w:ascii="Arial" w:cs="Arial" w:eastAsia="Arial" w:hAnsi="Arial"/>
          <w:sz w:val="17"/>
          <w:szCs w:val="17"/>
          <w:u w:val="single" w:color="auto"/>
          <w:color w:val="0000EE"/>
        </w:rPr>
        <w:t xml:space="preserve"> </w:t>
      </w:r>
      <w:hyperlink r:id="rId46">
        <w:r>
          <w:rPr>
            <w:rFonts w:ascii="Arial" w:cs="Arial" w:eastAsia="Arial" w:hAnsi="Arial"/>
            <w:sz w:val="17"/>
            <w:szCs w:val="17"/>
            <w:u w:val="single" w:color="auto"/>
            <w:color w:val="0000EE"/>
          </w:rPr>
          <w:t>April 29, 2005)</w:t>
        </w:r>
      </w:hyperlink>
    </w:p>
    <w:p>
      <w:pPr>
        <w:spacing w:after="0" w:line="168" w:lineRule="exact"/>
        <w:rPr>
          <w:rFonts w:ascii="Arial" w:cs="Arial" w:eastAsia="Arial" w:hAnsi="Arial"/>
          <w:sz w:val="17"/>
          <w:szCs w:val="17"/>
          <w:u w:val="single" w:color="auto"/>
          <w:color w:val="0000EE"/>
        </w:rPr>
      </w:pPr>
    </w:p>
    <w:p>
      <w:pPr>
        <w:ind w:left="78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47">
        <w:r>
          <w:rPr>
            <w:rFonts w:ascii="Arial" w:cs="Arial" w:eastAsia="Arial" w:hAnsi="Arial"/>
            <w:sz w:val="17"/>
            <w:szCs w:val="17"/>
            <w:u w:val="single" w:color="auto"/>
            <w:color w:val="0000EE"/>
          </w:rPr>
          <w:t>Description of Registrant’s Securities (incorporated by reference to Exhibit 4.2 to the Company’s Annual Report on Form</w:t>
        </w:r>
      </w:hyperlink>
    </w:p>
    <w:p>
      <w:pPr>
        <w:ind w:left="1220"/>
        <w:spacing w:after="0"/>
        <w:rPr>
          <w:rFonts w:ascii="Arial" w:cs="Arial" w:eastAsia="Arial" w:hAnsi="Arial"/>
          <w:sz w:val="17"/>
          <w:szCs w:val="17"/>
          <w:u w:val="single" w:color="auto"/>
          <w:color w:val="0000EE"/>
        </w:rPr>
      </w:pPr>
      <w:hyperlink r:id="rId47">
        <w:r>
          <w:rPr>
            <w:rFonts w:ascii="Arial" w:cs="Arial" w:eastAsia="Arial" w:hAnsi="Arial"/>
            <w:sz w:val="17"/>
            <w:szCs w:val="17"/>
            <w:u w:val="single" w:color="auto"/>
            <w:color w:val="0000EE"/>
          </w:rPr>
          <w:t>10-K filed with the SEC on May 14, 2020)</w:t>
        </w:r>
      </w:hyperlink>
    </w:p>
    <w:p>
      <w:pPr>
        <w:spacing w:after="0" w:line="183" w:lineRule="exact"/>
        <w:rPr>
          <w:rFonts w:ascii="Arial" w:cs="Arial" w:eastAsia="Arial" w:hAnsi="Arial"/>
          <w:sz w:val="17"/>
          <w:szCs w:val="17"/>
          <w:u w:val="single" w:color="auto"/>
          <w:color w:val="0000EE"/>
        </w:rPr>
      </w:pPr>
    </w:p>
    <w:p>
      <w:pPr>
        <w:ind w:left="1220" w:right="40" w:hanging="534"/>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48">
        <w:r>
          <w:rPr>
            <w:rFonts w:ascii="Arial" w:cs="Arial" w:eastAsia="Arial" w:hAnsi="Arial"/>
            <w:sz w:val="17"/>
            <w:szCs w:val="17"/>
            <w:u w:val="single" w:color="auto"/>
            <w:color w:val="0000EE"/>
          </w:rPr>
          <w:t>Credit Agreement, dated October 27, 2011 among Citi Trends, Inc., as Borrower, its wholly owned subsidiary, as</w:t>
        </w:r>
      </w:hyperlink>
      <w:r>
        <w:rPr>
          <w:rFonts w:ascii="Arial" w:cs="Arial" w:eastAsia="Arial" w:hAnsi="Arial"/>
          <w:sz w:val="17"/>
          <w:szCs w:val="17"/>
          <w:u w:val="single" w:color="auto"/>
          <w:color w:val="0000EE"/>
        </w:rPr>
        <w:t xml:space="preserve"> </w:t>
      </w:r>
      <w:hyperlink r:id="rId48">
        <w:r>
          <w:rPr>
            <w:rFonts w:ascii="Arial" w:cs="Arial" w:eastAsia="Arial" w:hAnsi="Arial"/>
            <w:sz w:val="17"/>
            <w:szCs w:val="17"/>
            <w:u w:val="single" w:color="auto"/>
            <w:color w:val="0000EE"/>
          </w:rPr>
          <w:t>Guarantor, and Bank of America, N.A., as Lender (incorporated by reference to Exhibit 10.1 to the Company’s Quarterly</w:t>
        </w:r>
      </w:hyperlink>
      <w:r>
        <w:rPr>
          <w:rFonts w:ascii="Arial" w:cs="Arial" w:eastAsia="Arial" w:hAnsi="Arial"/>
          <w:sz w:val="17"/>
          <w:szCs w:val="17"/>
          <w:u w:val="single" w:color="auto"/>
          <w:color w:val="0000EE"/>
        </w:rPr>
        <w:t xml:space="preserve"> </w:t>
      </w:r>
      <w:hyperlink r:id="rId48">
        <w:r>
          <w:rPr>
            <w:rFonts w:ascii="Arial" w:cs="Arial" w:eastAsia="Arial" w:hAnsi="Arial"/>
            <w:sz w:val="17"/>
            <w:szCs w:val="17"/>
            <w:u w:val="single" w:color="auto"/>
            <w:color w:val="0000EE"/>
          </w:rPr>
          <w:t>Report on Form 10-Q for the quarter ended October 29, 2011)</w:t>
        </w:r>
      </w:hyperlink>
    </w:p>
    <w:p>
      <w:pPr>
        <w:spacing w:after="0" w:line="174" w:lineRule="exact"/>
        <w:rPr>
          <w:rFonts w:ascii="Arial" w:cs="Arial" w:eastAsia="Arial" w:hAnsi="Arial"/>
          <w:sz w:val="17"/>
          <w:szCs w:val="17"/>
          <w:u w:val="single" w:color="auto"/>
          <w:color w:val="0000EE"/>
        </w:rPr>
      </w:pPr>
    </w:p>
    <w:p>
      <w:pPr>
        <w:ind w:left="1220" w:right="200" w:hanging="534"/>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49">
        <w:r>
          <w:rPr>
            <w:rFonts w:ascii="Arial" w:cs="Arial" w:eastAsia="Arial" w:hAnsi="Arial"/>
            <w:sz w:val="17"/>
            <w:szCs w:val="17"/>
            <w:u w:val="single" w:color="auto"/>
            <w:color w:val="0000EE"/>
          </w:rPr>
          <w:t>First Amendment to Credit Agreement, dated as of August 18, 2015, by and among Citi Trends, Inc., as Borrower, Citi</w:t>
        </w:r>
      </w:hyperlink>
      <w:r>
        <w:rPr>
          <w:rFonts w:ascii="Arial" w:cs="Arial" w:eastAsia="Arial" w:hAnsi="Arial"/>
          <w:sz w:val="17"/>
          <w:szCs w:val="17"/>
          <w:u w:val="single" w:color="auto"/>
          <w:color w:val="0000EE"/>
        </w:rPr>
        <w:t xml:space="preserve"> </w:t>
      </w:r>
      <w:hyperlink r:id="rId49">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49">
        <w:r>
          <w:rPr>
            <w:rFonts w:ascii="Arial" w:cs="Arial" w:eastAsia="Arial" w:hAnsi="Arial"/>
            <w:sz w:val="17"/>
            <w:szCs w:val="17"/>
            <w:u w:val="single" w:color="auto"/>
            <w:color w:val="0000EE"/>
          </w:rPr>
          <w:t>Exhibit 10.1 to the Company’s Current Report on Form 8-K filed with the SEC on August 19, 2015)</w:t>
        </w:r>
      </w:hyperlink>
    </w:p>
    <w:p>
      <w:pPr>
        <w:spacing w:after="0" w:line="174" w:lineRule="exact"/>
        <w:rPr>
          <w:rFonts w:ascii="Arial" w:cs="Arial" w:eastAsia="Arial" w:hAnsi="Arial"/>
          <w:sz w:val="17"/>
          <w:szCs w:val="17"/>
          <w:u w:val="single" w:color="auto"/>
          <w:color w:val="0000EE"/>
        </w:rPr>
      </w:pPr>
    </w:p>
    <w:p>
      <w:pPr>
        <w:ind w:left="1220" w:right="220" w:hanging="534"/>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50">
        <w:r>
          <w:rPr>
            <w:rFonts w:ascii="Arial" w:cs="Arial" w:eastAsia="Arial" w:hAnsi="Arial"/>
            <w:sz w:val="17"/>
            <w:szCs w:val="17"/>
            <w:u w:val="single" w:color="auto"/>
            <w:color w:val="0000EE"/>
          </w:rPr>
          <w:t>Second Amendment to Credit Agreement and Waiver, dated as of May 12, 2020, by and among Citi Trends, Inc., as</w:t>
        </w:r>
      </w:hyperlink>
      <w:r>
        <w:rPr>
          <w:rFonts w:ascii="Arial" w:cs="Arial" w:eastAsia="Arial" w:hAnsi="Arial"/>
          <w:sz w:val="17"/>
          <w:szCs w:val="17"/>
          <w:u w:val="single" w:color="auto"/>
          <w:color w:val="0000EE"/>
        </w:rPr>
        <w:t xml:space="preserve"> </w:t>
      </w:r>
      <w:hyperlink r:id="rId50">
        <w:r>
          <w:rPr>
            <w:rFonts w:ascii="Arial" w:cs="Arial" w:eastAsia="Arial" w:hAnsi="Arial"/>
            <w:sz w:val="17"/>
            <w:szCs w:val="17"/>
            <w:u w:val="single" w:color="auto"/>
            <w:color w:val="0000EE"/>
          </w:rPr>
          <w:t>Borrower, Citi Trends Marketing Solutions, Inc., as Guarantor, and Bank of America, N.A., as Lender (incorporated by</w:t>
        </w:r>
      </w:hyperlink>
      <w:r>
        <w:rPr>
          <w:rFonts w:ascii="Arial" w:cs="Arial" w:eastAsia="Arial" w:hAnsi="Arial"/>
          <w:sz w:val="17"/>
          <w:szCs w:val="17"/>
          <w:u w:val="single" w:color="auto"/>
          <w:color w:val="0000EE"/>
        </w:rPr>
        <w:t xml:space="preserve"> </w:t>
      </w:r>
      <w:hyperlink r:id="rId50">
        <w:r>
          <w:rPr>
            <w:rFonts w:ascii="Arial" w:cs="Arial" w:eastAsia="Arial" w:hAnsi="Arial"/>
            <w:sz w:val="17"/>
            <w:szCs w:val="17"/>
            <w:u w:val="single" w:color="auto"/>
            <w:color w:val="0000EE"/>
          </w:rPr>
          <w:t>reference to Exhibit 10.28 to the Company’s Annual Report on Form 10-K filed with the SEC on May 14, 2020)</w:t>
        </w:r>
      </w:hyperlink>
    </w:p>
    <w:p>
      <w:pPr>
        <w:spacing w:after="0" w:line="174" w:lineRule="exact"/>
        <w:rPr>
          <w:rFonts w:ascii="Arial" w:cs="Arial" w:eastAsia="Arial" w:hAnsi="Arial"/>
          <w:sz w:val="17"/>
          <w:szCs w:val="17"/>
          <w:u w:val="single" w:color="auto"/>
          <w:color w:val="0000EE"/>
        </w:rPr>
      </w:pPr>
    </w:p>
    <w:p>
      <w:pPr>
        <w:ind w:left="1220" w:right="220" w:hanging="600"/>
        <w:spacing w:after="0" w:line="243" w:lineRule="auto"/>
        <w:tabs>
          <w:tab w:leader="none" w:pos="1200" w:val="left"/>
        </w:tabs>
        <w:rPr>
          <w:rFonts w:ascii="Arial" w:cs="Arial" w:eastAsia="Arial" w:hAnsi="Arial"/>
          <w:sz w:val="17"/>
          <w:szCs w:val="17"/>
          <w:color w:val="0000EE"/>
        </w:rPr>
      </w:pPr>
      <w:r>
        <w:rPr>
          <w:rFonts w:ascii="Arial" w:cs="Arial" w:eastAsia="Arial" w:hAnsi="Arial"/>
          <w:sz w:val="17"/>
          <w:szCs w:val="17"/>
          <w:color w:val="auto"/>
        </w:rPr>
        <w:t>*10.4</w:t>
      </w:r>
      <w:r>
        <w:rPr>
          <w:sz w:val="20"/>
          <w:szCs w:val="20"/>
          <w:color w:val="auto"/>
        </w:rPr>
        <w:tab/>
      </w:r>
      <w:hyperlink r:id="rId51">
        <w:r>
          <w:rPr>
            <w:rFonts w:ascii="Arial" w:cs="Arial" w:eastAsia="Arial" w:hAnsi="Arial"/>
            <w:sz w:val="17"/>
            <w:szCs w:val="17"/>
            <w:u w:val="single" w:color="auto"/>
            <w:color w:val="0000EE"/>
          </w:rPr>
          <w:t>Citi Trends, Inc. 2012 Incentive Plan (incorporated by reference to Exhibit 10.1 to the Company’s Quarterly Report on</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Form 10-Q filed with the SEC on August 29, 2012</w:t>
        </w:r>
        <w:r>
          <w:rPr>
            <w:rFonts w:ascii="Arial" w:cs="Arial" w:eastAsia="Arial" w:hAnsi="Arial"/>
            <w:sz w:val="17"/>
            <w:szCs w:val="17"/>
            <w:color w:val="000000"/>
          </w:rPr>
          <w:t>)</w:t>
        </w:r>
      </w:hyperlink>
    </w:p>
    <w:p>
      <w:pPr>
        <w:spacing w:after="0" w:line="171" w:lineRule="exact"/>
        <w:rPr>
          <w:sz w:val="20"/>
          <w:szCs w:val="20"/>
          <w:color w:val="auto"/>
        </w:rPr>
      </w:pPr>
    </w:p>
    <w:p>
      <w:pPr>
        <w:ind w:left="1220" w:right="20" w:hanging="600"/>
        <w:spacing w:after="0" w:line="243" w:lineRule="auto"/>
        <w:tabs>
          <w:tab w:leader="none" w:pos="1200" w:val="left"/>
        </w:tabs>
        <w:rPr>
          <w:rFonts w:ascii="Arial" w:cs="Arial" w:eastAsia="Arial" w:hAnsi="Arial"/>
          <w:sz w:val="17"/>
          <w:szCs w:val="17"/>
          <w:color w:val="0000EE"/>
        </w:rPr>
      </w:pPr>
      <w:r>
        <w:rPr>
          <w:rFonts w:ascii="Arial" w:cs="Arial" w:eastAsia="Arial" w:hAnsi="Arial"/>
          <w:sz w:val="17"/>
          <w:szCs w:val="17"/>
          <w:color w:val="auto"/>
        </w:rPr>
        <w:t>*10.5</w:t>
      </w:r>
      <w:r>
        <w:rPr>
          <w:sz w:val="20"/>
          <w:szCs w:val="20"/>
          <w:color w:val="auto"/>
        </w:rPr>
        <w:tab/>
      </w:r>
      <w:hyperlink r:id="rId52">
        <w:r>
          <w:rPr>
            <w:rFonts w:ascii="Arial" w:cs="Arial" w:eastAsia="Arial" w:hAnsi="Arial"/>
            <w:sz w:val="17"/>
            <w:szCs w:val="17"/>
            <w:u w:val="single" w:color="auto"/>
            <w:color w:val="0000EE"/>
          </w:rPr>
          <w:t>Form of Restricted Stock Award Agreement for Employees under the Citi Trends, Inc. 2012 Incentive Plan (incorporated</w:t>
        </w:r>
      </w:hyperlink>
      <w:r>
        <w:rPr>
          <w:rFonts w:ascii="Arial" w:cs="Arial" w:eastAsia="Arial" w:hAnsi="Arial"/>
          <w:sz w:val="17"/>
          <w:szCs w:val="17"/>
          <w:u w:val="single" w:color="auto"/>
          <w:color w:val="0000EE"/>
        </w:rPr>
        <w:t xml:space="preserve"> </w:t>
      </w:r>
      <w:hyperlink r:id="rId52">
        <w:r>
          <w:rPr>
            <w:rFonts w:ascii="Arial" w:cs="Arial" w:eastAsia="Arial" w:hAnsi="Arial"/>
            <w:sz w:val="17"/>
            <w:szCs w:val="17"/>
            <w:u w:val="single" w:color="auto"/>
            <w:color w:val="0000EE"/>
          </w:rPr>
          <w:t>by reference to Exhibit 10.2 to the Company’s Quarterly Report on Form 10-Q filed with the SEC on May 30, 2017</w:t>
        </w:r>
        <w:r>
          <w:rPr>
            <w:rFonts w:ascii="Arial" w:cs="Arial" w:eastAsia="Arial" w:hAnsi="Arial"/>
            <w:sz w:val="17"/>
            <w:szCs w:val="17"/>
            <w:color w:val="000000"/>
          </w:rPr>
          <w:t>)</w:t>
        </w:r>
      </w:hyperlink>
    </w:p>
    <w:p>
      <w:pPr>
        <w:spacing w:after="0" w:line="171" w:lineRule="exact"/>
        <w:rPr>
          <w:sz w:val="20"/>
          <w:szCs w:val="20"/>
          <w:color w:val="auto"/>
        </w:rPr>
      </w:pPr>
    </w:p>
    <w:p>
      <w:pPr>
        <w:jc w:val="right"/>
        <w:ind w:left="620" w:right="180"/>
        <w:spacing w:after="0" w:line="243"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*10.6  </w:t>
      </w:r>
      <w:hyperlink r:id="rId53">
        <w:r>
          <w:rPr>
            <w:rFonts w:ascii="Arial" w:cs="Arial" w:eastAsia="Arial" w:hAnsi="Arial"/>
            <w:sz w:val="17"/>
            <w:szCs w:val="17"/>
            <w:u w:val="single" w:color="auto"/>
            <w:color w:val="0000EE"/>
          </w:rPr>
          <w:t>Form of Restricted Stock Award Agreement for Directors under the Citi Trends, Inc. 2012 Incentive Plan (incorporated</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EE"/>
          </w:rPr>
          <w:t>by reference to Exhibit 10.3 to the Company’s Quarterly Report on Form 10-Q filed with the SEC on August 29, 2012)</w:t>
        </w:r>
      </w:hyperlink>
    </w:p>
    <w:p>
      <w:pPr>
        <w:spacing w:after="0" w:line="171" w:lineRule="exact"/>
        <w:rPr>
          <w:sz w:val="20"/>
          <w:szCs w:val="20"/>
          <w:color w:val="auto"/>
        </w:rPr>
      </w:pPr>
    </w:p>
    <w:p>
      <w:pPr>
        <w:ind w:left="1220" w:right="140" w:hanging="600"/>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54">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(incorporated by reference to Exhibit 10.3 to the Company’s Quarterly Report on Form 10-Q filed with the SEC on May</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30, 2017)</w:t>
        </w:r>
      </w:hyperlink>
    </w:p>
    <w:p>
      <w:pPr>
        <w:spacing w:after="0" w:line="174" w:lineRule="exact"/>
        <w:rPr>
          <w:rFonts w:ascii="Arial" w:cs="Arial" w:eastAsia="Arial" w:hAnsi="Arial"/>
          <w:sz w:val="17"/>
          <w:szCs w:val="17"/>
          <w:u w:val="single" w:color="auto"/>
          <w:color w:val="0000EE"/>
        </w:rPr>
      </w:pPr>
    </w:p>
    <w:p>
      <w:pPr>
        <w:ind w:left="1220" w:right="160" w:hanging="600"/>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r:id="rId55">
        <w:r>
          <w:rPr>
            <w:rFonts w:ascii="Arial" w:cs="Arial" w:eastAsia="Arial" w:hAnsi="Arial"/>
            <w:sz w:val="17"/>
            <w:szCs w:val="17"/>
            <w:u w:val="single" w:color="auto"/>
            <w:color w:val="0000EE"/>
          </w:rPr>
          <w:t>Amendment to the Citi Trends, Inc. 2012 Incentive Plan, effective as of February 7, 2017 (incorporated by reference to</w:t>
        </w:r>
      </w:hyperlink>
      <w:r>
        <w:rPr>
          <w:rFonts w:ascii="Arial" w:cs="Arial" w:eastAsia="Arial" w:hAnsi="Arial"/>
          <w:sz w:val="17"/>
          <w:szCs w:val="17"/>
          <w:u w:val="single" w:color="auto"/>
          <w:color w:val="0000EE"/>
        </w:rPr>
        <w:t xml:space="preserve"> </w:t>
      </w:r>
      <w:hyperlink r:id="rId55">
        <w:r>
          <w:rPr>
            <w:rFonts w:ascii="Arial" w:cs="Arial" w:eastAsia="Arial" w:hAnsi="Arial"/>
            <w:sz w:val="17"/>
            <w:szCs w:val="17"/>
            <w:u w:val="single" w:color="auto"/>
            <w:color w:val="0000EE"/>
          </w:rPr>
          <w:t>Exhibit 10.1 to the Company’s Quarterly Report on Form 10-Q filed with the SEC on May 30, 2017)</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6540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56" w:lineRule="exact"/>
        <w:rPr>
          <w:sz w:val="20"/>
          <w:szCs w:val="20"/>
          <w:color w:val="auto"/>
        </w:rPr>
      </w:pPr>
    </w:p>
    <w:p>
      <w:pPr>
        <w:ind w:left="1220" w:right="460" w:hanging="600"/>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58">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58">
        <w:r>
          <w:rPr>
            <w:rFonts w:ascii="Arial" w:cs="Arial" w:eastAsia="Arial" w:hAnsi="Arial"/>
            <w:sz w:val="17"/>
            <w:szCs w:val="17"/>
            <w:u w:val="single" w:color="auto"/>
            <w:color w:val="0000EE"/>
          </w:rPr>
          <w:t>(Performance Based Vesting – Average Stock Price) (incorporated by reference to Exhibit 10.41 to the Company’s</w:t>
        </w:r>
      </w:hyperlink>
      <w:r>
        <w:rPr>
          <w:rFonts w:ascii="Arial" w:cs="Arial" w:eastAsia="Arial" w:hAnsi="Arial"/>
          <w:sz w:val="17"/>
          <w:szCs w:val="17"/>
          <w:u w:val="single" w:color="auto"/>
          <w:color w:val="0000EE"/>
        </w:rPr>
        <w:t xml:space="preserve"> </w:t>
      </w:r>
      <w:hyperlink r:id="rId58">
        <w:r>
          <w:rPr>
            <w:rFonts w:ascii="Arial" w:cs="Arial" w:eastAsia="Arial" w:hAnsi="Arial"/>
            <w:sz w:val="17"/>
            <w:szCs w:val="17"/>
            <w:u w:val="single" w:color="auto"/>
            <w:color w:val="0000EE"/>
          </w:rPr>
          <w:t>Annual Report on Form 10-K filed with the SEC on April 17, 2019)</w:t>
        </w:r>
      </w:hyperlink>
    </w:p>
    <w:p>
      <w:pPr>
        <w:spacing w:after="0" w:line="174" w:lineRule="exact"/>
        <w:rPr>
          <w:rFonts w:ascii="Arial" w:cs="Arial" w:eastAsia="Arial" w:hAnsi="Arial"/>
          <w:sz w:val="17"/>
          <w:szCs w:val="17"/>
          <w:u w:val="single" w:color="auto"/>
          <w:color w:val="0000EE"/>
        </w:rPr>
      </w:pPr>
    </w:p>
    <w:p>
      <w:pPr>
        <w:ind w:left="1220" w:right="28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59">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59">
        <w:r>
          <w:rPr>
            <w:rFonts w:ascii="Arial" w:cs="Arial" w:eastAsia="Arial" w:hAnsi="Arial"/>
            <w:sz w:val="17"/>
            <w:szCs w:val="17"/>
            <w:u w:val="single" w:color="auto"/>
            <w:color w:val="0000EE"/>
          </w:rPr>
          <w:t>(Performance Based Vesting – EBITDA Target) (incorporated by reference to Exhibit 10.42 to the Company’s Annual</w:t>
        </w:r>
      </w:hyperlink>
      <w:r>
        <w:rPr>
          <w:rFonts w:ascii="Arial" w:cs="Arial" w:eastAsia="Arial" w:hAnsi="Arial"/>
          <w:sz w:val="17"/>
          <w:szCs w:val="17"/>
          <w:u w:val="single" w:color="auto"/>
          <w:color w:val="0000EE"/>
        </w:rPr>
        <w:t xml:space="preserve"> </w:t>
      </w:r>
      <w:hyperlink r:id="rId59">
        <w:r>
          <w:rPr>
            <w:rFonts w:ascii="Arial" w:cs="Arial" w:eastAsia="Arial" w:hAnsi="Arial"/>
            <w:sz w:val="17"/>
            <w:szCs w:val="17"/>
            <w:u w:val="single" w:color="auto"/>
            <w:color w:val="0000EE"/>
          </w:rPr>
          <w:t>Report on Form 10-K filed with the SEC on April 17, 2019)</w:t>
        </w:r>
      </w:hyperlink>
    </w:p>
    <w:p>
      <w:pPr>
        <w:spacing w:after="0" w:line="174" w:lineRule="exact"/>
        <w:rPr>
          <w:rFonts w:ascii="Arial" w:cs="Arial" w:eastAsia="Arial" w:hAnsi="Arial"/>
          <w:sz w:val="17"/>
          <w:szCs w:val="17"/>
          <w:u w:val="single" w:color="auto"/>
          <w:color w:val="0000EE"/>
        </w:rPr>
      </w:pPr>
    </w:p>
    <w:p>
      <w:pPr>
        <w:ind w:left="1220" w:right="44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60">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(Performance Based Vesting – EBIT Target) (incorporated by reference to Exhibit 10.2 to the Company’s Quarterly</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Report on Form 10-Q filed with the SEC on June 11, 2020)</w:t>
        </w:r>
      </w:hyperlink>
    </w:p>
    <w:p>
      <w:pPr>
        <w:spacing w:after="0" w:line="174" w:lineRule="exact"/>
        <w:rPr>
          <w:rFonts w:ascii="Arial" w:cs="Arial" w:eastAsia="Arial" w:hAnsi="Arial"/>
          <w:sz w:val="17"/>
          <w:szCs w:val="17"/>
          <w:u w:val="single" w:color="auto"/>
          <w:color w:val="0000EE"/>
        </w:rPr>
      </w:pPr>
    </w:p>
    <w:p>
      <w:pPr>
        <w:jc w:val="both"/>
        <w:ind w:left="1220" w:right="8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*10.12</w:t>
      </w:r>
      <w:r>
        <w:rPr>
          <w:sz w:val="20"/>
          <w:szCs w:val="20"/>
          <w:color w:val="auto"/>
        </w:rPr>
        <w:tab/>
      </w:r>
      <w:hyperlink r:id="rId61">
        <w:r>
          <w:rPr>
            <w:rFonts w:ascii="Arial" w:cs="Arial" w:eastAsia="Arial" w:hAnsi="Arial"/>
            <w:sz w:val="17"/>
            <w:szCs w:val="17"/>
            <w:u w:val="single" w:color="auto"/>
            <w:color w:val="0000EE"/>
          </w:rPr>
          <w:t>Employment Non-Compete, Non-Solicit and Confidentiality Agreement between the Company and Ivy D. Council dated</w:t>
        </w:r>
      </w:hyperlink>
      <w:r>
        <w:rPr>
          <w:rFonts w:ascii="Arial" w:cs="Arial" w:eastAsia="Arial" w:hAnsi="Arial"/>
          <w:sz w:val="17"/>
          <w:szCs w:val="17"/>
          <w:u w:val="single" w:color="auto"/>
          <w:color w:val="0000EE"/>
        </w:rPr>
        <w:t xml:space="preserve"> </w:t>
      </w:r>
      <w:hyperlink r:id="rId61">
        <w:r>
          <w:rPr>
            <w:rFonts w:ascii="Arial" w:cs="Arial" w:eastAsia="Arial" w:hAnsi="Arial"/>
            <w:sz w:val="17"/>
            <w:szCs w:val="17"/>
            <w:u w:val="single" w:color="auto"/>
            <w:color w:val="0000EE"/>
          </w:rPr>
          <w:t>March 26, 2018 (incorporated by reference to Exhibit 10.5 to Amendment No. 1 to the Company’s Quarterly Report on</w:t>
        </w:r>
      </w:hyperlink>
      <w:r>
        <w:rPr>
          <w:rFonts w:ascii="Arial" w:cs="Arial" w:eastAsia="Arial" w:hAnsi="Arial"/>
          <w:sz w:val="17"/>
          <w:szCs w:val="17"/>
          <w:u w:val="single" w:color="auto"/>
          <w:color w:val="0000EE"/>
        </w:rPr>
        <w:t xml:space="preserve"> </w:t>
      </w:r>
      <w:hyperlink r:id="rId61">
        <w:r>
          <w:rPr>
            <w:rFonts w:ascii="Arial" w:cs="Arial" w:eastAsia="Arial" w:hAnsi="Arial"/>
            <w:sz w:val="17"/>
            <w:szCs w:val="17"/>
            <w:u w:val="single" w:color="auto"/>
            <w:color w:val="0000EE"/>
          </w:rPr>
          <w:t>Form 10-Q/A filed with the SEC on March 15, 2019)</w:t>
        </w:r>
      </w:hyperlink>
    </w:p>
    <w:p>
      <w:pPr>
        <w:spacing w:after="0" w:line="174" w:lineRule="exact"/>
        <w:rPr>
          <w:rFonts w:ascii="Arial" w:cs="Arial" w:eastAsia="Arial" w:hAnsi="Arial"/>
          <w:sz w:val="17"/>
          <w:szCs w:val="17"/>
          <w:u w:val="single" w:color="auto"/>
          <w:color w:val="0000EE"/>
        </w:rPr>
      </w:pPr>
    </w:p>
    <w:p>
      <w:pPr>
        <w:jc w:val="both"/>
        <w:ind w:left="1220" w:right="16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62">
        <w:r>
          <w:rPr>
            <w:rFonts w:ascii="Arial" w:cs="Arial" w:eastAsia="Arial" w:hAnsi="Arial"/>
            <w:sz w:val="17"/>
            <w:szCs w:val="17"/>
            <w:u w:val="single" w:color="auto"/>
            <w:color w:val="0000EE"/>
          </w:rPr>
          <w:t>Severance Agreement between the Company and Ivy D. Council dated March 26, 2018 (incorporated by reference to</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Exhibit 10.6 to Amendment No. 1 to the Company’s Quarterly Report on Form 10-Q/A filed with the SEC on March 15,</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2019)</w:t>
        </w:r>
      </w:hyperlink>
    </w:p>
    <w:p>
      <w:pPr>
        <w:spacing w:after="0" w:line="174" w:lineRule="exact"/>
        <w:rPr>
          <w:rFonts w:ascii="Arial" w:cs="Arial" w:eastAsia="Arial" w:hAnsi="Arial"/>
          <w:sz w:val="17"/>
          <w:szCs w:val="17"/>
          <w:u w:val="single" w:color="auto"/>
          <w:color w:val="0000EE"/>
        </w:rPr>
      </w:pPr>
    </w:p>
    <w:p>
      <w:pPr>
        <w:jc w:val="both"/>
        <w:ind w:left="1220" w:right="44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63">
        <w:r>
          <w:rPr>
            <w:rFonts w:ascii="Arial" w:cs="Arial" w:eastAsia="Arial" w:hAnsi="Arial"/>
            <w:sz w:val="17"/>
            <w:szCs w:val="17"/>
            <w:u w:val="single" w:color="auto"/>
            <w:color w:val="0000EE"/>
          </w:rPr>
          <w:t>Employment Non-Compete, Non-Solicit and Confidentiality Agreement between the Company and James A. Dunn</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dated March 27, 2018 (incorporated by reference to Exhibit 10.7 to Amendment No. 1 to the Company’s Quarterly</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Report on Form 10-Q/A filed with the SEC on March 15, 2019)</w:t>
        </w:r>
      </w:hyperlink>
    </w:p>
    <w:p>
      <w:pPr>
        <w:spacing w:after="0" w:line="174" w:lineRule="exact"/>
        <w:rPr>
          <w:rFonts w:ascii="Arial" w:cs="Arial" w:eastAsia="Arial" w:hAnsi="Arial"/>
          <w:sz w:val="17"/>
          <w:szCs w:val="17"/>
          <w:u w:val="single" w:color="auto"/>
          <w:color w:val="0000EE"/>
        </w:rPr>
      </w:pPr>
    </w:p>
    <w:p>
      <w:pPr>
        <w:jc w:val="both"/>
        <w:ind w:left="1220" w:right="12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64">
        <w:r>
          <w:rPr>
            <w:rFonts w:ascii="Arial" w:cs="Arial" w:eastAsia="Arial" w:hAnsi="Arial"/>
            <w:sz w:val="17"/>
            <w:szCs w:val="17"/>
            <w:u w:val="single" w:color="auto"/>
            <w:color w:val="0000EE"/>
          </w:rPr>
          <w:t>Severance Agreement between the Company and James A. Dunn dated March 27, 2018 (incorporated by reference to</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Exhibit 10.8 to Amendment No. 1 to the Company’s Quarterly Report on Form 10-Q/A filed with the SEC on March 15,</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2019)</w:t>
        </w:r>
      </w:hyperlink>
    </w:p>
    <w:p>
      <w:pPr>
        <w:spacing w:after="0" w:line="174" w:lineRule="exact"/>
        <w:rPr>
          <w:rFonts w:ascii="Arial" w:cs="Arial" w:eastAsia="Arial" w:hAnsi="Arial"/>
          <w:sz w:val="17"/>
          <w:szCs w:val="17"/>
          <w:u w:val="single" w:color="auto"/>
          <w:color w:val="0000EE"/>
        </w:rPr>
      </w:pPr>
    </w:p>
    <w:p>
      <w:pPr>
        <w:ind w:left="122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65">
        <w:r>
          <w:rPr>
            <w:rFonts w:ascii="Arial" w:cs="Arial" w:eastAsia="Arial" w:hAnsi="Arial"/>
            <w:sz w:val="17"/>
            <w:szCs w:val="17"/>
            <w:u w:val="single" w:color="auto"/>
            <w:color w:val="0000EE"/>
          </w:rPr>
          <w:t>Employment Non-Compete, Non-Solicit and Confidentiality Agreement between the Company and Christina Short dated</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April 6, 2018 (incorporated by reference to Exhibit 10.13 to Amendment No. 1 to the Company’s Quarterly Report on</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Form 10-Q/A filed with the SEC on March 15, 2019)</w:t>
        </w:r>
      </w:hyperlink>
    </w:p>
    <w:p>
      <w:pPr>
        <w:spacing w:after="0" w:line="174" w:lineRule="exact"/>
        <w:rPr>
          <w:rFonts w:ascii="Arial" w:cs="Arial" w:eastAsia="Arial" w:hAnsi="Arial"/>
          <w:sz w:val="17"/>
          <w:szCs w:val="17"/>
          <w:u w:val="single" w:color="auto"/>
          <w:color w:val="0000EE"/>
        </w:rPr>
      </w:pPr>
    </w:p>
    <w:p>
      <w:pPr>
        <w:ind w:left="1220" w:right="6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66">
        <w:r>
          <w:rPr>
            <w:rFonts w:ascii="Arial" w:cs="Arial" w:eastAsia="Arial" w:hAnsi="Arial"/>
            <w:sz w:val="17"/>
            <w:szCs w:val="17"/>
            <w:u w:val="single" w:color="auto"/>
            <w:color w:val="0000EE"/>
          </w:rPr>
          <w:t>Severance Agreement between the Company and Christina Short dated April 6, 2018 (incorporated by reference to</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Exhibit 10.14 to Amendment No. 1 to the Company’s Quarterly Report on Form 10-Q/A filed with the SEC on March 15,</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2019)</w:t>
        </w:r>
      </w:hyperlink>
    </w:p>
    <w:p>
      <w:pPr>
        <w:spacing w:after="0" w:line="174" w:lineRule="exact"/>
        <w:rPr>
          <w:rFonts w:ascii="Arial" w:cs="Arial" w:eastAsia="Arial" w:hAnsi="Arial"/>
          <w:sz w:val="17"/>
          <w:szCs w:val="17"/>
          <w:u w:val="single" w:color="auto"/>
          <w:color w:val="0000EE"/>
        </w:rPr>
      </w:pPr>
    </w:p>
    <w:p>
      <w:pPr>
        <w:jc w:val="both"/>
        <w:ind w:left="1220" w:right="22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67">
        <w:r>
          <w:rPr>
            <w:rFonts w:ascii="Arial" w:cs="Arial" w:eastAsia="Arial" w:hAnsi="Arial"/>
            <w:sz w:val="17"/>
            <w:szCs w:val="17"/>
            <w:u w:val="single" w:color="auto"/>
            <w:color w:val="0000EE"/>
          </w:rPr>
          <w:t>Employment Non-Compete, Non-Solicit and Confidentiality Agreement between the Company and Lisa Powell dated</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August 16, 2019 (incorporated by reference to Exhibit 10.20 to the Company’s Annual Report on Form 10-K filed with</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the SEC on May 14, 2020)</w:t>
        </w:r>
      </w:hyperlink>
    </w:p>
    <w:p>
      <w:pPr>
        <w:spacing w:after="0" w:line="174" w:lineRule="exact"/>
        <w:rPr>
          <w:rFonts w:ascii="Arial" w:cs="Arial" w:eastAsia="Arial" w:hAnsi="Arial"/>
          <w:sz w:val="17"/>
          <w:szCs w:val="17"/>
          <w:u w:val="single" w:color="auto"/>
          <w:color w:val="0000EE"/>
        </w:rPr>
      </w:pPr>
    </w:p>
    <w:p>
      <w:pPr>
        <w:ind w:left="1220" w:right="360" w:hanging="695"/>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68">
        <w:r>
          <w:rPr>
            <w:rFonts w:ascii="Arial" w:cs="Arial" w:eastAsia="Arial" w:hAnsi="Arial"/>
            <w:sz w:val="17"/>
            <w:szCs w:val="17"/>
            <w:u w:val="single" w:color="auto"/>
            <w:color w:val="0000EE"/>
          </w:rPr>
          <w:t>Severance Agreement between the Company and Lisa Powell dated August 16, 2019 (incorporated by reference to</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Exhibit 10.21 to the Company’s Annual Report on Form 10-K filed with the SEC on May 14, 2020)</w:t>
        </w:r>
      </w:hyperlink>
    </w:p>
    <w:p>
      <w:pPr>
        <w:spacing w:after="0" w:line="171" w:lineRule="exact"/>
        <w:rPr>
          <w:sz w:val="20"/>
          <w:szCs w:val="20"/>
          <w:color w:val="auto"/>
        </w:rPr>
      </w:pPr>
    </w:p>
    <w:p>
      <w:pPr>
        <w:ind w:left="1220" w:right="2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69">
        <w:r>
          <w:rPr>
            <w:rFonts w:ascii="Arial" w:cs="Arial" w:eastAsia="Arial" w:hAnsi="Arial"/>
            <w:sz w:val="17"/>
            <w:szCs w:val="17"/>
            <w:u w:val="single" w:color="auto"/>
            <w:color w:val="0000EE"/>
          </w:rPr>
          <w:t>Employment Non-Compete, Non-Solicit and Confidentiality Agreement between the Company and Charles Hynes dated</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October 25, 2019 (incorporated by reference to Exhibit 10.22 to the Company’s Annual Report on Form 10-K filed with</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the SEC on May 14, 2020)</w:t>
        </w:r>
      </w:hyperlink>
    </w:p>
    <w:p>
      <w:pPr>
        <w:spacing w:after="0" w:line="174" w:lineRule="exact"/>
        <w:rPr>
          <w:rFonts w:ascii="Arial" w:cs="Arial" w:eastAsia="Arial" w:hAnsi="Arial"/>
          <w:sz w:val="17"/>
          <w:szCs w:val="17"/>
          <w:u w:val="single" w:color="auto"/>
          <w:color w:val="0000EE"/>
        </w:rPr>
      </w:pPr>
    </w:p>
    <w:p>
      <w:pPr>
        <w:ind w:left="1220" w:right="20" w:hanging="695"/>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70">
        <w:r>
          <w:rPr>
            <w:rFonts w:ascii="Arial" w:cs="Arial" w:eastAsia="Arial" w:hAnsi="Arial"/>
            <w:sz w:val="17"/>
            <w:szCs w:val="17"/>
            <w:u w:val="single" w:color="auto"/>
            <w:color w:val="0000EE"/>
          </w:rPr>
          <w:t>Severance Agreement between the Company and Charles Hynes dated October 25, 2019 (incorporated by reference to</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Exhibit 10.23 to the Company’s Annual Report on Form 10-K filed with the SEC on May 14, 2020)</w:t>
        </w:r>
      </w:hyperlink>
    </w:p>
    <w:p>
      <w:pPr>
        <w:spacing w:after="0" w:line="171" w:lineRule="exact"/>
        <w:rPr>
          <w:sz w:val="20"/>
          <w:szCs w:val="20"/>
          <w:color w:val="auto"/>
        </w:rPr>
      </w:pPr>
    </w:p>
    <w:p>
      <w:pPr>
        <w:ind w:left="1220" w:right="360" w:hanging="795"/>
        <w:spacing w:after="0" w:line="243"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w:anchor="page54">
        <w:r>
          <w:rPr>
            <w:rFonts w:ascii="Arial" w:cs="Arial" w:eastAsia="Arial" w:hAnsi="Arial"/>
            <w:sz w:val="17"/>
            <w:szCs w:val="17"/>
            <w:u w:val="single" w:color="auto"/>
            <w:color w:val="0000EE"/>
          </w:rPr>
          <w:t>Employment Non-Compete, Non-Solicit and Confidentiality Agreement between the Company and Jason Moschner</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dated January 13, 2020</w:t>
        </w:r>
      </w:hyperlink>
    </w:p>
    <w:p>
      <w:pPr>
        <w:spacing w:after="0" w:line="171" w:lineRule="exact"/>
        <w:rPr>
          <w:sz w:val="20"/>
          <w:szCs w:val="20"/>
          <w:color w:val="auto"/>
        </w:rPr>
      </w:pPr>
    </w:p>
    <w:p>
      <w:pPr>
        <w:ind w:left="4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w:anchor="page59">
        <w:r>
          <w:rPr>
            <w:rFonts w:ascii="Arial" w:cs="Arial" w:eastAsia="Arial" w:hAnsi="Arial"/>
            <w:sz w:val="17"/>
            <w:szCs w:val="17"/>
            <w:u w:val="single" w:color="auto"/>
            <w:color w:val="0000EE"/>
          </w:rPr>
          <w:t>Severance Agreement between the Company and Jason Moschner dated January 13, 2020</w:t>
        </w:r>
      </w:hyperlink>
    </w:p>
    <w:p>
      <w:pPr>
        <w:spacing w:after="0" w:line="183" w:lineRule="exact"/>
        <w:rPr>
          <w:sz w:val="20"/>
          <w:szCs w:val="20"/>
          <w:color w:val="auto"/>
        </w:rPr>
      </w:pPr>
    </w:p>
    <w:p>
      <w:pPr>
        <w:ind w:left="1220" w:right="100" w:hanging="695"/>
        <w:spacing w:after="0" w:line="238"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*10.24</w:t>
      </w:r>
      <w:r>
        <w:rPr>
          <w:sz w:val="20"/>
          <w:szCs w:val="20"/>
          <w:color w:val="auto"/>
        </w:rPr>
        <w:tab/>
      </w:r>
      <w:hyperlink r:id="rId71">
        <w:r>
          <w:rPr>
            <w:rFonts w:ascii="Arial" w:cs="Arial" w:eastAsia="Arial" w:hAnsi="Arial"/>
            <w:sz w:val="17"/>
            <w:szCs w:val="17"/>
            <w:u w:val="single" w:color="auto"/>
            <w:color w:val="0000EE"/>
          </w:rPr>
          <w:t>Employment Non-Compete, Non-Solicit and Confidentiality Agreement between the Company and David N. Makuen</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dated February 17, 2020 (incorporated by reference to Exhibit 10.1 to the Company’s Current Report on Form 8-K filed</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with the SEC on February 21, 2020)</w:t>
        </w:r>
      </w:hyperlink>
    </w:p>
    <w:p>
      <w:pPr>
        <w:spacing w:after="0" w:line="200" w:lineRule="exact"/>
        <w:rPr>
          <w:rFonts w:ascii="Arial" w:cs="Arial" w:eastAsia="Arial" w:hAnsi="Arial"/>
          <w:sz w:val="17"/>
          <w:szCs w:val="17"/>
          <w:u w:val="single" w:color="auto"/>
          <w:color w:val="0000EE"/>
        </w:rPr>
      </w:pPr>
    </w:p>
    <w:p>
      <w:pPr>
        <w:spacing w:after="0" w:line="398"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2" w:name="page33"/>
    <w:bookmarkEnd w:id="32"/>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3"/>
        <w:spacing w:after="0"/>
        <w:tabs>
          <w:tab w:leader="none" w:pos="5263"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6540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56" w:lineRule="exact"/>
        <w:rPr>
          <w:sz w:val="20"/>
          <w:szCs w:val="20"/>
          <w:color w:val="auto"/>
        </w:rPr>
      </w:pPr>
    </w:p>
    <w:p>
      <w:pPr>
        <w:ind w:left="1223" w:right="400" w:hanging="695"/>
        <w:spacing w:after="0" w:line="243"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*10.25</w:t>
      </w:r>
      <w:r>
        <w:rPr>
          <w:sz w:val="20"/>
          <w:szCs w:val="20"/>
          <w:color w:val="auto"/>
        </w:rPr>
        <w:tab/>
      </w:r>
      <w:hyperlink r:id="rId74">
        <w:r>
          <w:rPr>
            <w:rFonts w:ascii="Arial" w:cs="Arial" w:eastAsia="Arial" w:hAnsi="Arial"/>
            <w:sz w:val="17"/>
            <w:szCs w:val="17"/>
            <w:u w:val="single" w:color="auto"/>
            <w:color w:val="0000EE"/>
          </w:rPr>
          <w:t>Severance Agreement between the Company and David N. Makuen dated February 17, 2020 (incorporated by</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reference to Exhibit 10.2 to the Company’s Current Report on Form 8-K filed with the SEC on February 21, 2020)</w:t>
        </w:r>
      </w:hyperlink>
    </w:p>
    <w:p>
      <w:pPr>
        <w:spacing w:after="0" w:line="171" w:lineRule="exact"/>
        <w:rPr>
          <w:sz w:val="20"/>
          <w:szCs w:val="20"/>
          <w:color w:val="auto"/>
        </w:rPr>
      </w:pPr>
    </w:p>
    <w:p>
      <w:pPr>
        <w:jc w:val="both"/>
        <w:ind w:left="1223" w:hanging="695"/>
        <w:spacing w:after="0" w:line="238"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*10.26</w:t>
      </w:r>
      <w:r>
        <w:rPr>
          <w:sz w:val="20"/>
          <w:szCs w:val="20"/>
          <w:color w:val="auto"/>
        </w:rPr>
        <w:tab/>
      </w:r>
      <w:hyperlink r:id="rId75">
        <w:r>
          <w:rPr>
            <w:rFonts w:ascii="Arial" w:cs="Arial" w:eastAsia="Arial" w:hAnsi="Arial"/>
            <w:sz w:val="17"/>
            <w:szCs w:val="17"/>
            <w:u w:val="single" w:color="auto"/>
            <w:color w:val="0000EE"/>
          </w:rPr>
          <w:t>Employment Non-Compete, Non-Solicit and Confidentiality Agreement between the Company and Pamela J. Edwards</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dated October 26, 2020 (incorporated by reference to Exhibit 10.1 to the Company’s Current Report on Form 8-K filed</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with the SEC on October 28, 2020)</w:t>
        </w:r>
      </w:hyperlink>
    </w:p>
    <w:p>
      <w:pPr>
        <w:spacing w:after="0" w:line="174" w:lineRule="exact"/>
        <w:rPr>
          <w:rFonts w:ascii="Arial" w:cs="Arial" w:eastAsia="Arial" w:hAnsi="Arial"/>
          <w:sz w:val="17"/>
          <w:szCs w:val="17"/>
          <w:u w:val="single" w:color="auto"/>
          <w:color w:val="0000EE"/>
        </w:rPr>
      </w:pPr>
    </w:p>
    <w:p>
      <w:pPr>
        <w:jc w:val="right"/>
        <w:ind w:left="523" w:right="460"/>
        <w:spacing w:after="0" w:line="243"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*10.27  </w:t>
      </w:r>
      <w:hyperlink r:id="rId76">
        <w:r>
          <w:rPr>
            <w:rFonts w:ascii="Arial" w:cs="Arial" w:eastAsia="Arial" w:hAnsi="Arial"/>
            <w:sz w:val="17"/>
            <w:szCs w:val="17"/>
            <w:u w:val="single" w:color="auto"/>
            <w:color w:val="0000EE"/>
          </w:rPr>
          <w:t>Severance Agreement between the Company and Pamela J. Edwards dated October 26, 2020 (incorporated by</w:t>
        </w:r>
      </w:hyperlink>
      <w:r>
        <w:rPr>
          <w:rFonts w:ascii="Arial" w:cs="Arial" w:eastAsia="Arial" w:hAnsi="Arial"/>
          <w:sz w:val="17"/>
          <w:szCs w:val="17"/>
          <w:color w:val="auto"/>
        </w:rPr>
        <w:t xml:space="preserve"> </w:t>
      </w:r>
      <w:hyperlink r:id="rId76">
        <w:r>
          <w:rPr>
            <w:rFonts w:ascii="Arial" w:cs="Arial" w:eastAsia="Arial" w:hAnsi="Arial"/>
            <w:sz w:val="17"/>
            <w:szCs w:val="17"/>
            <w:u w:val="single" w:color="auto"/>
            <w:color w:val="0000EE"/>
          </w:rPr>
          <w:t>reference to Exhibit 10.2 to the Company’s Current Report on Form 8-K filed with the SEC on October 28, 2020)</w:t>
        </w:r>
      </w:hyperlink>
    </w:p>
    <w:p>
      <w:pPr>
        <w:spacing w:after="0" w:line="171"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+21.1</w:t>
      </w:r>
      <w:r>
        <w:rPr>
          <w:sz w:val="20"/>
          <w:szCs w:val="20"/>
          <w:color w:val="auto"/>
        </w:rPr>
        <w:tab/>
      </w:r>
      <w:hyperlink w:anchor="page63">
        <w:r>
          <w:rPr>
            <w:rFonts w:ascii="Arial" w:cs="Arial" w:eastAsia="Arial" w:hAnsi="Arial"/>
            <w:sz w:val="17"/>
            <w:szCs w:val="17"/>
            <w:u w:val="single" w:color="auto"/>
            <w:color w:val="0000EE"/>
          </w:rPr>
          <w:t>Subsidiary of the Registrant</w:t>
        </w:r>
      </w:hyperlink>
    </w:p>
    <w:p>
      <w:pPr>
        <w:spacing w:after="0" w:line="183" w:lineRule="exact"/>
        <w:rPr>
          <w:sz w:val="20"/>
          <w:szCs w:val="20"/>
          <w:color w:val="auto"/>
        </w:rPr>
      </w:pPr>
    </w:p>
    <w:p>
      <w:pPr>
        <w:ind w:left="583"/>
        <w:spacing w:after="0"/>
        <w:tabs>
          <w:tab w:leader="none" w:pos="1203" w:val="left"/>
        </w:tabs>
        <w:rPr>
          <w:rFonts w:ascii="Arial" w:cs="Arial" w:eastAsia="Arial" w:hAnsi="Arial"/>
          <w:sz w:val="16"/>
          <w:szCs w:val="16"/>
          <w:u w:val="single" w:color="auto"/>
          <w:color w:val="0000EE"/>
        </w:rPr>
      </w:pPr>
      <w:r>
        <w:rPr>
          <w:rFonts w:ascii="Arial" w:cs="Arial" w:eastAsia="Arial" w:hAnsi="Arial"/>
          <w:sz w:val="17"/>
          <w:szCs w:val="17"/>
          <w:color w:val="auto"/>
        </w:rPr>
        <w:t>+23.1</w:t>
      </w:r>
      <w:r>
        <w:rPr>
          <w:sz w:val="20"/>
          <w:szCs w:val="20"/>
          <w:color w:val="auto"/>
        </w:rPr>
        <w:tab/>
      </w:r>
      <w:hyperlink w:anchor="page64">
        <w:r>
          <w:rPr>
            <w:rFonts w:ascii="Arial" w:cs="Arial" w:eastAsia="Arial" w:hAnsi="Arial"/>
            <w:sz w:val="16"/>
            <w:szCs w:val="16"/>
            <w:u w:val="single" w:color="auto"/>
            <w:color w:val="0000EE"/>
          </w:rPr>
          <w:t>Consent of KPMG LLP</w:t>
        </w:r>
      </w:hyperlink>
    </w:p>
    <w:p>
      <w:pPr>
        <w:spacing w:after="0" w:line="183"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+31.1</w:t>
      </w:r>
      <w:r>
        <w:rPr>
          <w:sz w:val="20"/>
          <w:szCs w:val="20"/>
          <w:color w:val="auto"/>
        </w:rPr>
        <w:tab/>
      </w:r>
      <w:hyperlink w:anchor="page65">
        <w:r>
          <w:rPr>
            <w:rFonts w:ascii="Arial" w:cs="Arial" w:eastAsia="Arial" w:hAnsi="Arial"/>
            <w:sz w:val="17"/>
            <w:szCs w:val="17"/>
            <w:u w:val="single" w:color="auto"/>
            <w:color w:val="0000EE"/>
          </w:rPr>
          <w:t>Certification of Principal Executive Officer, as adopted pursuant to Section 302 of the Sarbanes-Oxley Act of 2002</w:t>
        </w:r>
      </w:hyperlink>
    </w:p>
    <w:p>
      <w:pPr>
        <w:spacing w:after="0" w:line="183"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+31.2</w:t>
      </w:r>
      <w:r>
        <w:rPr>
          <w:sz w:val="20"/>
          <w:szCs w:val="20"/>
          <w:color w:val="auto"/>
        </w:rPr>
        <w:tab/>
      </w:r>
      <w:hyperlink w:anchor="page66">
        <w:r>
          <w:rPr>
            <w:rFonts w:ascii="Arial" w:cs="Arial" w:eastAsia="Arial" w:hAnsi="Arial"/>
            <w:sz w:val="17"/>
            <w:szCs w:val="17"/>
            <w:u w:val="single" w:color="auto"/>
            <w:color w:val="0000EE"/>
          </w:rPr>
          <w:t>Certification of Principal Financial Officer, as adopted pursuant to Section 302 of the Sarbanes-Oxley Act of 2002</w:t>
        </w:r>
      </w:hyperlink>
    </w:p>
    <w:p>
      <w:pPr>
        <w:spacing w:after="0" w:line="183" w:lineRule="exact"/>
        <w:rPr>
          <w:sz w:val="20"/>
          <w:szCs w:val="20"/>
          <w:color w:val="auto"/>
        </w:rPr>
      </w:pPr>
    </w:p>
    <w:p>
      <w:pPr>
        <w:ind w:left="1223" w:right="40" w:hanging="634"/>
        <w:spacing w:after="0" w:line="243"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+32.1</w:t>
      </w:r>
      <w:r>
        <w:rPr>
          <w:sz w:val="20"/>
          <w:szCs w:val="20"/>
          <w:color w:val="auto"/>
        </w:rPr>
        <w:tab/>
      </w:r>
      <w:hyperlink w:anchor="page67">
        <w:r>
          <w:rPr>
            <w:rFonts w:ascii="Arial" w:cs="Arial" w:eastAsia="Arial" w:hAnsi="Arial"/>
            <w:sz w:val="17"/>
            <w:szCs w:val="17"/>
            <w:u w:val="single" w:color="auto"/>
            <w:color w:val="0000EE"/>
          </w:rPr>
          <w:t>Certification of Principal Executive Officer, pursuant to 18 U.S.C. Section 1350, as adopted pursuant to Section 906 of</w:t>
        </w:r>
      </w:hyperlink>
      <w:r>
        <w:rPr>
          <w:rFonts w:ascii="Arial" w:cs="Arial" w:eastAsia="Arial" w:hAnsi="Arial"/>
          <w:sz w:val="17"/>
          <w:szCs w:val="17"/>
          <w:u w:val="single" w:color="auto"/>
          <w:color w:val="0000EE"/>
        </w:rPr>
        <w:t xml:space="preserve"> </w:t>
      </w:r>
      <w:hyperlink w:anchor="page67">
        <w:r>
          <w:rPr>
            <w:rFonts w:ascii="Arial" w:cs="Arial" w:eastAsia="Arial" w:hAnsi="Arial"/>
            <w:sz w:val="17"/>
            <w:szCs w:val="17"/>
            <w:u w:val="single" w:color="auto"/>
            <w:color w:val="0000EE"/>
          </w:rPr>
          <w:t>the Sarbanes-Oxley Act of 2002</w:t>
        </w:r>
      </w:hyperlink>
    </w:p>
    <w:p>
      <w:pPr>
        <w:spacing w:after="0" w:line="171" w:lineRule="exact"/>
        <w:rPr>
          <w:sz w:val="20"/>
          <w:szCs w:val="20"/>
          <w:color w:val="auto"/>
        </w:rPr>
      </w:pPr>
    </w:p>
    <w:p>
      <w:pPr>
        <w:ind w:left="1223" w:right="100" w:hanging="634"/>
        <w:spacing w:after="0" w:line="243"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+32.2</w:t>
      </w:r>
      <w:r>
        <w:rPr>
          <w:sz w:val="20"/>
          <w:szCs w:val="20"/>
          <w:color w:val="auto"/>
        </w:rPr>
        <w:tab/>
      </w:r>
      <w:hyperlink w:anchor="page68">
        <w:r>
          <w:rPr>
            <w:rFonts w:ascii="Arial" w:cs="Arial" w:eastAsia="Arial" w:hAnsi="Arial"/>
            <w:sz w:val="17"/>
            <w:szCs w:val="17"/>
            <w:u w:val="single" w:color="auto"/>
            <w:color w:val="0000EE"/>
          </w:rPr>
          <w:t>Certification of Principal Financial Officer, pursuant to 18 U.S.C. Section 1350, as adopted pursuant to Section 906 of</w:t>
        </w:r>
      </w:hyperlink>
      <w:r>
        <w:rPr>
          <w:rFonts w:ascii="Arial" w:cs="Arial" w:eastAsia="Arial" w:hAnsi="Arial"/>
          <w:sz w:val="17"/>
          <w:szCs w:val="17"/>
          <w:u w:val="single" w:color="auto"/>
          <w:color w:val="0000EE"/>
        </w:rPr>
        <w:t xml:space="preserve"> </w:t>
      </w:r>
      <w:hyperlink w:anchor="page68">
        <w:r>
          <w:rPr>
            <w:rFonts w:ascii="Arial" w:cs="Arial" w:eastAsia="Arial" w:hAnsi="Arial"/>
            <w:sz w:val="17"/>
            <w:szCs w:val="17"/>
            <w:u w:val="single" w:color="auto"/>
            <w:color w:val="0000EE"/>
          </w:rPr>
          <w:t>the Sarbanes-Oxley Act of 2002</w:t>
        </w:r>
      </w:hyperlink>
    </w:p>
    <w:p>
      <w:pPr>
        <w:spacing w:after="0" w:line="171" w:lineRule="exact"/>
        <w:rPr>
          <w:sz w:val="20"/>
          <w:szCs w:val="20"/>
          <w:color w:val="auto"/>
        </w:rPr>
      </w:pPr>
    </w:p>
    <w:p>
      <w:pPr>
        <w:ind w:left="1223" w:right="560" w:hanging="599"/>
        <w:spacing w:after="0" w:line="243" w:lineRule="auto"/>
        <w:tabs>
          <w:tab w:leader="none" w:pos="1203" w:val="left"/>
        </w:tabs>
        <w:rPr>
          <w:sz w:val="20"/>
          <w:szCs w:val="20"/>
          <w:color w:val="auto"/>
        </w:rPr>
      </w:pPr>
      <w:r>
        <w:rPr>
          <w:rFonts w:ascii="Arial" w:cs="Arial" w:eastAsia="Arial" w:hAnsi="Arial"/>
          <w:sz w:val="17"/>
          <w:szCs w:val="17"/>
          <w:color w:val="auto"/>
        </w:rPr>
        <w:t>+101</w:t>
        <w:tab/>
        <w:t>Inline XBRL Document Set for the consolidated financial statements and accompanying notes in Part II, Item 8, “Financial Statements and Supplementary Data” of this Annual Report on Form 10-K</w:t>
      </w:r>
    </w:p>
    <w:p>
      <w:pPr>
        <w:spacing w:after="0" w:line="171" w:lineRule="exact"/>
        <w:rPr>
          <w:sz w:val="20"/>
          <w:szCs w:val="20"/>
          <w:color w:val="auto"/>
        </w:rPr>
      </w:pPr>
    </w:p>
    <w:p>
      <w:pPr>
        <w:ind w:left="1223" w:hanging="599"/>
        <w:spacing w:after="0" w:line="243" w:lineRule="auto"/>
        <w:tabs>
          <w:tab w:leader="none" w:pos="1203" w:val="left"/>
        </w:tabs>
        <w:rPr>
          <w:sz w:val="20"/>
          <w:szCs w:val="20"/>
          <w:color w:val="auto"/>
        </w:rPr>
      </w:pPr>
      <w:r>
        <w:rPr>
          <w:rFonts w:ascii="Arial" w:cs="Arial" w:eastAsia="Arial" w:hAnsi="Arial"/>
          <w:sz w:val="17"/>
          <w:szCs w:val="17"/>
          <w:color w:val="auto"/>
        </w:rPr>
        <w:t>+104</w:t>
        <w:tab/>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1637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3" w:hanging="383"/>
        <w:spacing w:after="0"/>
        <w:tabs>
          <w:tab w:leader="none" w:pos="3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sz w:val="20"/>
          <w:szCs w:val="20"/>
          <w:color w:val="auto"/>
        </w:rPr>
      </w:pPr>
    </w:p>
    <w:p>
      <w:pPr>
        <w:ind w:left="383" w:hanging="383"/>
        <w:spacing w:after="0"/>
        <w:tabs>
          <w:tab w:leader="none" w:pos="3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122" w:lineRule="exact"/>
        <w:rPr>
          <w:sz w:val="20"/>
          <w:szCs w:val="20"/>
          <w:color w:val="auto"/>
        </w:rPr>
      </w:pPr>
    </w:p>
    <w:p>
      <w:pPr>
        <w:ind w:left="3"/>
        <w:spacing w:after="0"/>
        <w:tabs>
          <w:tab w:leader="none" w:pos="943"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u w:val="single" w:color="auto"/>
          <w:color w:val="auto"/>
        </w:rPr>
        <w:t>FORM 10-K SUMMARY</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62"/>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143"/>
          </w:cols>
          <w:pgMar w:left="857" w:top="517"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4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CITI TRENDS, INC.</w:t>
      </w:r>
    </w:p>
    <w:p>
      <w:pPr>
        <w:jc w:val="center"/>
        <w:spacing w:after="0"/>
        <w:rPr>
          <w:sz w:val="20"/>
          <w:szCs w:val="20"/>
          <w:color w:val="auto"/>
        </w:rPr>
      </w:pPr>
      <w:r>
        <w:rPr>
          <w:rFonts w:ascii="Arial" w:cs="Arial" w:eastAsia="Arial" w:hAnsi="Arial"/>
          <w:sz w:val="17"/>
          <w:szCs w:val="17"/>
          <w:color w:val="auto"/>
        </w:rPr>
        <w:t>(Registrant)</w:t>
      </w:r>
    </w:p>
    <w:p>
      <w:pPr>
        <w:spacing w:after="0" w:line="196" w:lineRule="exact"/>
        <w:rPr>
          <w:sz w:val="20"/>
          <w:szCs w:val="20"/>
          <w:color w:val="auto"/>
        </w:rPr>
      </w:pPr>
    </w:p>
    <w:p>
      <w:pPr>
        <w:spacing w:after="0"/>
        <w:tabs>
          <w:tab w:leader="none" w:pos="6520" w:val="left"/>
        </w:tabs>
        <w:rPr>
          <w:sz w:val="20"/>
          <w:szCs w:val="20"/>
          <w:color w:val="auto"/>
        </w:rPr>
      </w:pPr>
      <w:r>
        <w:rPr>
          <w:rFonts w:ascii="Arial" w:cs="Arial" w:eastAsia="Arial" w:hAnsi="Arial"/>
          <w:sz w:val="17"/>
          <w:szCs w:val="17"/>
          <w:color w:val="auto"/>
        </w:rPr>
        <w:t>Date: April 14, 2021</w:t>
      </w:r>
      <w:r>
        <w:rPr>
          <w:sz w:val="20"/>
          <w:szCs w:val="20"/>
          <w:color w:val="auto"/>
        </w:rPr>
        <w:tab/>
      </w:r>
      <w:r>
        <w:rPr>
          <w:rFonts w:ascii="Arial" w:cs="Arial" w:eastAsia="Arial" w:hAnsi="Arial"/>
          <w:sz w:val="17"/>
          <w:szCs w:val="17"/>
          <w:color w:val="auto"/>
        </w:rPr>
        <w:t>By  /s/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0</wp:posOffset>
            </wp:positionV>
            <wp:extent cx="2117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7"/>
          <w:szCs w:val="17"/>
          <w:color w:val="auto"/>
        </w:rPr>
        <w:t>David N. Makuen</w:t>
      </w:r>
    </w:p>
    <w:p>
      <w:pPr>
        <w:ind w:left="6880"/>
        <w:spacing w:after="0" w:line="232" w:lineRule="auto"/>
        <w:rPr>
          <w:sz w:val="20"/>
          <w:szCs w:val="20"/>
          <w:color w:val="auto"/>
        </w:rPr>
      </w:pPr>
      <w:r>
        <w:rPr>
          <w:rFonts w:ascii="Arial" w:cs="Arial" w:eastAsia="Arial" w:hAnsi="Arial"/>
          <w:sz w:val="17"/>
          <w:szCs w:val="17"/>
          <w:color w:val="auto"/>
        </w:rPr>
        <w:t>Chief Executive Officer</w:t>
      </w:r>
    </w:p>
    <w:p>
      <w:pPr>
        <w:ind w:left="6880"/>
        <w:spacing w:after="0"/>
        <w:rPr>
          <w:sz w:val="20"/>
          <w:szCs w:val="20"/>
          <w:color w:val="auto"/>
        </w:rPr>
      </w:pPr>
      <w:r>
        <w:rPr>
          <w:rFonts w:ascii="Arial" w:cs="Arial" w:eastAsia="Arial" w:hAnsi="Arial"/>
          <w:sz w:val="17"/>
          <w:szCs w:val="17"/>
          <w:color w:val="auto"/>
        </w:rPr>
        <w:t>(Principal Executive Officer)</w:t>
      </w:r>
    </w:p>
    <w:p>
      <w:pPr>
        <w:spacing w:after="0" w:line="183"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Signature</w:t>
            </w:r>
          </w:p>
        </w:tc>
        <w:tc>
          <w:tcPr>
            <w:tcW w:w="200" w:type="dxa"/>
            <w:vAlign w:val="bottom"/>
          </w:tcPr>
          <w:p>
            <w:pPr>
              <w:spacing w:after="0"/>
              <w:rPr>
                <w:sz w:val="18"/>
                <w:szCs w:val="18"/>
                <w:color w:val="auto"/>
              </w:rPr>
            </w:pPr>
          </w:p>
        </w:tc>
        <w:tc>
          <w:tcPr>
            <w:tcW w:w="4440" w:type="dxa"/>
            <w:vAlign w:val="bottom"/>
            <w:tcBorders>
              <w:bottom w:val="single" w:sz="8" w:color="auto"/>
            </w:tcBorders>
          </w:tcPr>
          <w:p>
            <w:pPr>
              <w:ind w:left="2040"/>
              <w:spacing w:after="0"/>
              <w:rPr>
                <w:sz w:val="20"/>
                <w:szCs w:val="20"/>
                <w:color w:val="auto"/>
              </w:rPr>
            </w:pPr>
            <w:r>
              <w:rPr>
                <w:rFonts w:ascii="Arial" w:cs="Arial" w:eastAsia="Arial" w:hAnsi="Arial"/>
                <w:sz w:val="17"/>
                <w:szCs w:val="17"/>
                <w:b w:val="1"/>
                <w:bCs w:val="1"/>
                <w:color w:val="auto"/>
              </w:rPr>
              <w:t>Title</w:t>
            </w:r>
          </w:p>
        </w:tc>
        <w:tc>
          <w:tcPr>
            <w:tcW w:w="2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r>
      <w:tr>
        <w:trPr>
          <w:trHeight w:val="365"/>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N. Makuen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204"/>
        </w:trPr>
        <w:tc>
          <w:tcPr>
            <w:tcW w:w="2760" w:type="dxa"/>
            <w:vAlign w:val="bottom"/>
          </w:tcPr>
          <w:p>
            <w:pPr>
              <w:spacing w:after="0"/>
              <w:rPr>
                <w:sz w:val="20"/>
                <w:szCs w:val="20"/>
                <w:color w:val="auto"/>
              </w:rPr>
            </w:pPr>
            <w:r>
              <w:rPr>
                <w:rFonts w:ascii="Arial" w:cs="Arial" w:eastAsia="Arial" w:hAnsi="Arial"/>
                <w:sz w:val="17"/>
                <w:szCs w:val="17"/>
                <w:color w:val="auto"/>
              </w:rPr>
              <w:t>David N. Makuen</w:t>
            </w:r>
          </w:p>
        </w:tc>
        <w:tc>
          <w:tcPr>
            <w:tcW w:w="200" w:type="dxa"/>
            <w:vAlign w:val="bottom"/>
          </w:tcPr>
          <w:p>
            <w:pPr>
              <w:spacing w:after="0"/>
              <w:rPr>
                <w:sz w:val="17"/>
                <w:szCs w:val="17"/>
                <w:color w:val="auto"/>
              </w:rPr>
            </w:pPr>
          </w:p>
        </w:tc>
        <w:tc>
          <w:tcPr>
            <w:tcW w:w="4640" w:type="dxa"/>
            <w:vAlign w:val="bottom"/>
            <w:gridSpan w:val="2"/>
          </w:tcPr>
          <w:p>
            <w:pPr>
              <w:spacing w:after="0" w:line="185" w:lineRule="exact"/>
              <w:rPr>
                <w:sz w:val="20"/>
                <w:szCs w:val="20"/>
                <w:color w:val="auto"/>
              </w:rPr>
            </w:pPr>
            <w:r>
              <w:rPr>
                <w:rFonts w:ascii="Arial" w:cs="Arial" w:eastAsia="Arial" w:hAnsi="Arial"/>
                <w:sz w:val="17"/>
                <w:szCs w:val="17"/>
                <w:color w:val="auto"/>
              </w:rPr>
              <w:t>(Principal Executive Officer) and Director</w:t>
            </w:r>
          </w:p>
        </w:tc>
        <w:tc>
          <w:tcPr>
            <w:tcW w:w="2700" w:type="dxa"/>
            <w:vAlign w:val="bottom"/>
          </w:tcPr>
          <w:p>
            <w:pPr>
              <w:spacing w:after="0"/>
              <w:rPr>
                <w:sz w:val="17"/>
                <w:szCs w:val="17"/>
                <w:color w:val="auto"/>
              </w:rPr>
            </w:pPr>
          </w:p>
        </w:tc>
      </w:tr>
      <w:tr>
        <w:trPr>
          <w:trHeight w:val="356"/>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Pamela J. Edwards</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204"/>
        </w:trPr>
        <w:tc>
          <w:tcPr>
            <w:tcW w:w="2760" w:type="dxa"/>
            <w:vAlign w:val="bottom"/>
          </w:tcPr>
          <w:p>
            <w:pPr>
              <w:spacing w:after="0"/>
              <w:rPr>
                <w:sz w:val="20"/>
                <w:szCs w:val="20"/>
                <w:color w:val="auto"/>
              </w:rPr>
            </w:pPr>
            <w:r>
              <w:rPr>
                <w:rFonts w:ascii="Arial" w:cs="Arial" w:eastAsia="Arial" w:hAnsi="Arial"/>
                <w:sz w:val="17"/>
                <w:szCs w:val="17"/>
                <w:color w:val="auto"/>
              </w:rPr>
              <w:t>Pamela J. Edwards</w:t>
            </w:r>
          </w:p>
        </w:tc>
        <w:tc>
          <w:tcPr>
            <w:tcW w:w="200" w:type="dxa"/>
            <w:vAlign w:val="bottom"/>
          </w:tcPr>
          <w:p>
            <w:pPr>
              <w:spacing w:after="0"/>
              <w:rPr>
                <w:sz w:val="17"/>
                <w:szCs w:val="17"/>
                <w:color w:val="auto"/>
              </w:rPr>
            </w:pPr>
          </w:p>
        </w:tc>
        <w:tc>
          <w:tcPr>
            <w:tcW w:w="4640" w:type="dxa"/>
            <w:vAlign w:val="bottom"/>
            <w:gridSpan w:val="2"/>
          </w:tcPr>
          <w:p>
            <w:pPr>
              <w:spacing w:after="0" w:line="185" w:lineRule="exact"/>
              <w:rPr>
                <w:sz w:val="20"/>
                <w:szCs w:val="20"/>
                <w:color w:val="auto"/>
              </w:rPr>
            </w:pPr>
            <w:r>
              <w:rPr>
                <w:rFonts w:ascii="Arial" w:cs="Arial" w:eastAsia="Arial" w:hAnsi="Arial"/>
                <w:sz w:val="17"/>
                <w:szCs w:val="17"/>
                <w:color w:val="auto"/>
              </w:rPr>
              <w:t>(Principal Financial Officer)</w:t>
            </w:r>
          </w:p>
        </w:tc>
        <w:tc>
          <w:tcPr>
            <w:tcW w:w="2700" w:type="dxa"/>
            <w:vAlign w:val="bottom"/>
          </w:tcPr>
          <w:p>
            <w:pPr>
              <w:spacing w:after="0"/>
              <w:rPr>
                <w:sz w:val="17"/>
                <w:szCs w:val="17"/>
                <w:color w:val="auto"/>
              </w:rPr>
            </w:pPr>
          </w:p>
        </w:tc>
      </w:tr>
      <w:tr>
        <w:trPr>
          <w:trHeight w:val="356"/>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Jason B. Moschner</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Vice President, Finance</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204"/>
        </w:trPr>
        <w:tc>
          <w:tcPr>
            <w:tcW w:w="2760" w:type="dxa"/>
            <w:vAlign w:val="bottom"/>
          </w:tcPr>
          <w:p>
            <w:pPr>
              <w:spacing w:after="0"/>
              <w:rPr>
                <w:sz w:val="20"/>
                <w:szCs w:val="20"/>
                <w:color w:val="auto"/>
              </w:rPr>
            </w:pPr>
            <w:r>
              <w:rPr>
                <w:rFonts w:ascii="Arial" w:cs="Arial" w:eastAsia="Arial" w:hAnsi="Arial"/>
                <w:sz w:val="17"/>
                <w:szCs w:val="17"/>
                <w:color w:val="auto"/>
              </w:rPr>
              <w:t>Jason B. Moschner</w:t>
            </w:r>
          </w:p>
        </w:tc>
        <w:tc>
          <w:tcPr>
            <w:tcW w:w="200" w:type="dxa"/>
            <w:vAlign w:val="bottom"/>
          </w:tcPr>
          <w:p>
            <w:pPr>
              <w:spacing w:after="0"/>
              <w:rPr>
                <w:sz w:val="17"/>
                <w:szCs w:val="17"/>
                <w:color w:val="auto"/>
              </w:rPr>
            </w:pPr>
          </w:p>
        </w:tc>
        <w:tc>
          <w:tcPr>
            <w:tcW w:w="4640" w:type="dxa"/>
            <w:vAlign w:val="bottom"/>
            <w:gridSpan w:val="2"/>
          </w:tcPr>
          <w:p>
            <w:pPr>
              <w:spacing w:after="0" w:line="185" w:lineRule="exact"/>
              <w:rPr>
                <w:sz w:val="20"/>
                <w:szCs w:val="20"/>
                <w:color w:val="auto"/>
              </w:rPr>
            </w:pPr>
            <w:r>
              <w:rPr>
                <w:rFonts w:ascii="Arial" w:cs="Arial" w:eastAsia="Arial" w:hAnsi="Arial"/>
                <w:sz w:val="17"/>
                <w:szCs w:val="17"/>
                <w:color w:val="auto"/>
              </w:rPr>
              <w:t>(Principal Accounting Officer)</w:t>
            </w: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R. Sachse</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Executive Chairman of the Board of Directors</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Peter R. Sachse</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P. Carney</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Brian P. Carney</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Duskin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Jonathan Duskin</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Laurens M. Goff</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Laurens M. Goff</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Margaret L. Jenkins</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Margaret L. Jenkins</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62"/>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Kenneth D. Seipel</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2021</w:t>
            </w:r>
          </w:p>
        </w:tc>
      </w:tr>
      <w:tr>
        <w:trPr>
          <w:trHeight w:val="198"/>
        </w:trPr>
        <w:tc>
          <w:tcPr>
            <w:tcW w:w="2760" w:type="dxa"/>
            <w:vAlign w:val="bottom"/>
          </w:tcPr>
          <w:p>
            <w:pPr>
              <w:spacing w:after="0"/>
              <w:rPr>
                <w:sz w:val="20"/>
                <w:szCs w:val="20"/>
                <w:color w:val="auto"/>
              </w:rPr>
            </w:pPr>
            <w:r>
              <w:rPr>
                <w:rFonts w:ascii="Arial" w:cs="Arial" w:eastAsia="Arial" w:hAnsi="Arial"/>
                <w:sz w:val="17"/>
                <w:szCs w:val="17"/>
                <w:color w:val="auto"/>
              </w:rPr>
              <w:t>Kenneth D. Seipel</w:t>
            </w:r>
          </w:p>
        </w:tc>
        <w:tc>
          <w:tcPr>
            <w:tcW w:w="2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Citi Trends, Inc.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gridSpan w:val="8"/>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Management’s Annual Report on Internal Control Over Financial Reporting</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358"/>
        </w:trPr>
        <w:tc>
          <w:tcPr>
            <w:tcW w:w="4460" w:type="dxa"/>
            <w:vAlign w:val="bottom"/>
            <w:tcBorders>
              <w:top w:val="single" w:sz="8" w:color="0000EE"/>
              <w:bottom w:val="single" w:sz="8" w:color="0000EE"/>
            </w:tcBorders>
            <w:gridSpan w:val="6"/>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Reports of Independent Registered Public Accounting Firm</w:t>
              </w:r>
            </w:hyperlink>
          </w:p>
        </w:tc>
        <w:tc>
          <w:tcPr>
            <w:tcW w:w="11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358"/>
        </w:trPr>
        <w:tc>
          <w:tcPr>
            <w:tcW w:w="2240" w:type="dxa"/>
            <w:vAlign w:val="bottom"/>
            <w:tcBorders>
              <w:bottom w:val="single" w:sz="8" w:color="0000EE"/>
            </w:tcBorders>
          </w:tcPr>
          <w:p>
            <w:pPr>
              <w:spacing w:after="0"/>
              <w:rPr>
                <w:rFonts w:ascii="Arial" w:cs="Arial" w:eastAsia="Arial" w:hAnsi="Arial"/>
                <w:sz w:val="17"/>
                <w:szCs w:val="17"/>
                <w:color w:val="0000EE"/>
                <w:w w:val="99"/>
              </w:rPr>
            </w:pPr>
            <w:hyperlink w:anchor="page40">
              <w:r>
                <w:rPr>
                  <w:rFonts w:ascii="Arial" w:cs="Arial" w:eastAsia="Arial" w:hAnsi="Arial"/>
                  <w:sz w:val="17"/>
                  <w:szCs w:val="17"/>
                  <w:color w:val="0000EE"/>
                  <w:w w:val="99"/>
                </w:rPr>
                <w:t>Consolidated Balance Sheets</w:t>
              </w:r>
            </w:hyperlink>
          </w:p>
        </w:tc>
        <w:tc>
          <w:tcPr>
            <w:tcW w:w="556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358"/>
        </w:trPr>
        <w:tc>
          <w:tcPr>
            <w:tcW w:w="2980" w:type="dxa"/>
            <w:vAlign w:val="bottom"/>
            <w:tcBorders>
              <w:bottom w:val="single" w:sz="8" w:color="0000EE"/>
            </w:tcBorders>
            <w:gridSpan w:val="2"/>
          </w:tcPr>
          <w:p>
            <w:pPr>
              <w:spacing w:after="0"/>
              <w:rPr>
                <w:rFonts w:ascii="Arial" w:cs="Arial" w:eastAsia="Arial" w:hAnsi="Arial"/>
                <w:sz w:val="17"/>
                <w:szCs w:val="17"/>
                <w:color w:val="0000EE"/>
                <w:w w:val="99"/>
              </w:rPr>
            </w:pPr>
            <w:hyperlink w:anchor="page41">
              <w:r>
                <w:rPr>
                  <w:rFonts w:ascii="Arial" w:cs="Arial" w:eastAsia="Arial" w:hAnsi="Arial"/>
                  <w:sz w:val="17"/>
                  <w:szCs w:val="17"/>
                  <w:color w:val="0000EE"/>
                  <w:w w:val="99"/>
                </w:rPr>
                <w:t>Consolidated Statements of Operations</w:t>
              </w:r>
            </w:hyperlink>
          </w:p>
        </w:tc>
        <w:tc>
          <w:tcPr>
            <w:tcW w:w="482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358"/>
        </w:trPr>
        <w:tc>
          <w:tcPr>
            <w:tcW w:w="3040" w:type="dxa"/>
            <w:vAlign w:val="bottom"/>
            <w:tcBorders>
              <w:bottom w:val="single" w:sz="8" w:color="0000EE"/>
            </w:tcBorders>
            <w:gridSpan w:val="3"/>
          </w:tcPr>
          <w:p>
            <w:pPr>
              <w:spacing w:after="0"/>
              <w:rPr>
                <w:rFonts w:ascii="Arial" w:cs="Arial" w:eastAsia="Arial" w:hAnsi="Arial"/>
                <w:sz w:val="17"/>
                <w:szCs w:val="17"/>
                <w:color w:val="0000EE"/>
                <w:w w:val="99"/>
              </w:rPr>
            </w:pPr>
            <w:hyperlink w:anchor="page42">
              <w:r>
                <w:rPr>
                  <w:rFonts w:ascii="Arial" w:cs="Arial" w:eastAsia="Arial" w:hAnsi="Arial"/>
                  <w:sz w:val="17"/>
                  <w:szCs w:val="17"/>
                  <w:color w:val="0000EE"/>
                  <w:w w:val="99"/>
                </w:rPr>
                <w:t>Consolidated Statements of Cash Flows</w:t>
              </w:r>
            </w:hyperlink>
          </w:p>
        </w:tc>
        <w:tc>
          <w:tcPr>
            <w:tcW w:w="476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F-8</w:t>
            </w:r>
          </w:p>
        </w:tc>
      </w:tr>
      <w:tr>
        <w:trPr>
          <w:trHeight w:val="358"/>
        </w:trPr>
        <w:tc>
          <w:tcPr>
            <w:tcW w:w="3700" w:type="dxa"/>
            <w:vAlign w:val="bottom"/>
            <w:tcBorders>
              <w:bottom w:val="single" w:sz="8" w:color="0000EE"/>
            </w:tcBorders>
            <w:gridSpan w:val="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Consolidated Statements of Stockholders’ Equity</w:t>
              </w:r>
            </w:hyperlink>
          </w:p>
        </w:tc>
        <w:tc>
          <w:tcPr>
            <w:tcW w:w="410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358"/>
        </w:trPr>
        <w:tc>
          <w:tcPr>
            <w:tcW w:w="7800" w:type="dxa"/>
            <w:vAlign w:val="bottom"/>
            <w:gridSpan w:val="8"/>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Notes to Consolidated Financial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
        </w:trPr>
        <w:tc>
          <w:tcPr>
            <w:tcW w:w="2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w:t>
      </w:r>
    </w:p>
    <w:p>
      <w:pPr>
        <w:ind w:right="20"/>
        <w:spacing w:after="0" w:line="236" w:lineRule="auto"/>
        <w:rPr>
          <w:sz w:val="20"/>
          <w:szCs w:val="20"/>
          <w:color w:val="auto"/>
        </w:rPr>
      </w:pPr>
      <w:r>
        <w:rPr>
          <w:rFonts w:ascii="Arial" w:cs="Arial" w:eastAsia="Arial" w:hAnsi="Arial"/>
          <w:sz w:val="17"/>
          <w:szCs w:val="17"/>
          <w:color w:val="auto"/>
        </w:rPr>
        <w:t>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36" w:lineRule="exact"/>
        <w:rPr>
          <w:sz w:val="20"/>
          <w:szCs w:val="20"/>
          <w:color w:val="auto"/>
        </w:rPr>
      </w:pPr>
    </w:p>
    <w:p>
      <w:pPr>
        <w:ind w:left="1020" w:right="20" w:hanging="321"/>
        <w:spacing w:after="0" w:line="243"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pertain to maintenance of records that in reasonable detail accurately and fairly reflect the transactions and dispositions of the assets of the Company;</w:t>
      </w:r>
    </w:p>
    <w:p>
      <w:pPr>
        <w:spacing w:after="0" w:line="130" w:lineRule="exact"/>
        <w:rPr>
          <w:rFonts w:ascii="Arial" w:cs="Arial" w:eastAsia="Arial" w:hAnsi="Arial"/>
          <w:sz w:val="17"/>
          <w:szCs w:val="17"/>
          <w:color w:val="auto"/>
        </w:rPr>
      </w:pPr>
    </w:p>
    <w:p>
      <w:pPr>
        <w:ind w:left="1020" w:hanging="321"/>
        <w:spacing w:after="0" w:line="23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spacing w:after="0" w:line="120" w:lineRule="exact"/>
        <w:rPr>
          <w:rFonts w:ascii="Arial" w:cs="Arial" w:eastAsia="Arial" w:hAnsi="Arial"/>
          <w:sz w:val="17"/>
          <w:szCs w:val="17"/>
          <w:color w:val="auto"/>
        </w:rPr>
      </w:pPr>
    </w:p>
    <w:p>
      <w:pPr>
        <w:ind w:left="1020" w:right="140" w:hanging="321"/>
        <w:spacing w:after="0" w:line="243"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officer and principal financial officer, we assessed the effectiveness of our internal control over financial reporting as of January 30, 2021, based on the criteria described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(“COSO”). Based on this assessment, our management concluded that our internal control over financial reporting was effective based on those criteria as of January 30, 2021.</w:t>
      </w:r>
    </w:p>
    <w:p>
      <w:pPr>
        <w:spacing w:after="0" w:line="123"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Our independent registered public accounting firm, KPMG LLP, audited the effectiveness of our internal control over financial reporting as of January 30, 2021,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40"/>
          </w:cols>
          <w:pgMar w:left="860" w:top="517" w:right="7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rPr>
          <w:sz w:val="20"/>
          <w:szCs w:val="20"/>
          <w:color w:val="auto"/>
        </w:rPr>
      </w:pPr>
      <w:r>
        <w:rPr>
          <w:rFonts w:ascii="Arial" w:cs="Arial" w:eastAsia="Arial" w:hAnsi="Arial"/>
          <w:sz w:val="17"/>
          <w:szCs w:val="17"/>
          <w:color w:val="auto"/>
        </w:rPr>
        <w:t>Citi Trends, Inc.: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Citi Trends, Inc. and subsidiary (the Company) as of</w:t>
      </w:r>
    </w:p>
    <w:p>
      <w:pPr>
        <w:spacing w:after="0" w:line="235" w:lineRule="auto"/>
        <w:rPr>
          <w:sz w:val="20"/>
          <w:szCs w:val="20"/>
          <w:color w:val="auto"/>
        </w:rPr>
      </w:pPr>
      <w:r>
        <w:rPr>
          <w:rFonts w:ascii="Arial" w:cs="Arial" w:eastAsia="Arial" w:hAnsi="Arial"/>
          <w:sz w:val="17"/>
          <w:szCs w:val="17"/>
          <w:color w:val="auto"/>
        </w:rPr>
        <w:t>January 30, 2021 and February 1, 2020, the related consolidated statements of operations, stockholders’ equity, and cash flows for each of the years ended January 30, 2021, February 1, 2020, and February 2, 2019, and the related notes (collectively, the consolidated financial statements). In our opinion, the consolidated financial statements present fairly, in all material respects, the financial position of the Company as of January 30, 2021 and February 1, 2020, and the results of its operations and its cash flows for each of the years ended January 30, 2021, February 1, 2020, and February 2, 2019, in conformity with U.S. generally accepted accounting principles.</w:t>
      </w:r>
    </w:p>
    <w:p>
      <w:pPr>
        <w:spacing w:after="0" w:line="12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January 30, 2021,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April 14, 2021 expressed an unqualified opinion on the effectiveness of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6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As discussed in Note 2 to the consolidated financial statements, the Company has changed its method of accounting for leases as of February 3, 2019 due to the adoption of Accounting Standards Update No. 2016-02, Leases (Topic 842), as amended.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Identification and recording of operating lease renewals and lease modifications</w:t>
      </w:r>
    </w:p>
    <w:p>
      <w:pPr>
        <w:spacing w:after="0" w:line="147" w:lineRule="exact"/>
        <w:rPr>
          <w:sz w:val="20"/>
          <w:szCs w:val="20"/>
          <w:color w:val="auto"/>
        </w:rPr>
      </w:pPr>
    </w:p>
    <w:p>
      <w:pPr>
        <w:ind w:left="320" w:right="140"/>
        <w:spacing w:after="0" w:line="235" w:lineRule="auto"/>
        <w:rPr>
          <w:sz w:val="20"/>
          <w:szCs w:val="20"/>
          <w:color w:val="auto"/>
        </w:rPr>
      </w:pPr>
      <w:r>
        <w:rPr>
          <w:rFonts w:ascii="Arial" w:cs="Arial" w:eastAsia="Arial" w:hAnsi="Arial"/>
          <w:sz w:val="17"/>
          <w:szCs w:val="17"/>
          <w:color w:val="auto"/>
        </w:rPr>
        <w:t>As discussed in Note 8 to the consolidated financial statements, the Company’s operating lease right of use assets and operating lease liabilities as of January 30, 2021 totaled $179,673,000 and $192,811,000, respectively. The Company routinely exercises lease renewals and negotiates modifications to existing leases. The volume of lease modifications increased in fiscal 2020 as a result of periods of store closures during the pandemic. The typical Company store lease has a five-year lease term with options to extend the lease term for one or more five-year periods.</w:t>
      </w:r>
    </w:p>
    <w:p>
      <w:pPr>
        <w:spacing w:after="0" w:line="136" w:lineRule="exact"/>
        <w:rPr>
          <w:sz w:val="20"/>
          <w:szCs w:val="20"/>
          <w:color w:val="auto"/>
        </w:rPr>
      </w:pPr>
    </w:p>
    <w:p>
      <w:pPr>
        <w:jc w:val="both"/>
        <w:ind w:left="320" w:right="40"/>
        <w:spacing w:after="0" w:line="238" w:lineRule="auto"/>
        <w:rPr>
          <w:sz w:val="20"/>
          <w:szCs w:val="20"/>
          <w:color w:val="auto"/>
        </w:rPr>
      </w:pPr>
      <w:r>
        <w:rPr>
          <w:rFonts w:ascii="Arial" w:cs="Arial" w:eastAsia="Arial" w:hAnsi="Arial"/>
          <w:sz w:val="17"/>
          <w:szCs w:val="17"/>
          <w:color w:val="auto"/>
        </w:rPr>
        <w:t>We identified the evaluation of the Company’s identification and recording of operating lease renewals and lease modifications as a critical audit matter. A higher degree of auditor judgment was required to assess the accounting for these lease modifications due to the extent of management judgment and complexity of the process.</w:t>
      </w:r>
    </w:p>
    <w:p>
      <w:pPr>
        <w:spacing w:after="0" w:line="134" w:lineRule="exact"/>
        <w:rPr>
          <w:sz w:val="20"/>
          <w:szCs w:val="20"/>
          <w:color w:val="auto"/>
        </w:rPr>
      </w:pPr>
    </w:p>
    <w:p>
      <w:pPr>
        <w:ind w:left="320" w:right="40"/>
        <w:spacing w:after="0" w:line="233"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lease process, including controls related to the identification and recording of operating lease renewals and lease modifications. We obtained underlying documentation for lease renewals and lease modifications during the year and compared to those recorded in the accounting system. For a selection of lease renewals and lease modifications during the year, we (1) inspected the approval of the lease renewal or lease modification,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65493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320" w:firstLine="1"/>
        <w:spacing w:after="0" w:line="235" w:lineRule="auto"/>
        <w:tabs>
          <w:tab w:leader="none" w:pos="5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compared the relevant terms in the underlying renewed or modified lease contract to the information in the Company’s lease accounting system, and (3) recalculated the Company's operating lease right-of-use asset and operating lease liability for the renewed or modified lease based on the information in the Company’s lease accounting system. We obtained a rollforward of lease activity subsequent to the fiscal year-end and, for a selection of lease modifications recorded in that period, we inspected underlying documentation and evaluated the timing of recognition.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Citi Trends, Inc.: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We have audited Citi Trends, Inc. and subsidiary’s (the Company) internal control over financial reporting as of January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January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January 30, 2021 and February 1, 2020, the related consolidated statements of operations, stockholders’ equity, and cash flows for each of the years ended January 30, 2021, February 1, 2020, and February 2, 2019, and the related notes (collectively, the consolidated financial statements), and our report dated April 14, 2021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4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rPr>
          <w:sz w:val="20"/>
          <w:szCs w:val="20"/>
          <w:color w:val="auto"/>
        </w:rPr>
      </w:pPr>
      <w:r>
        <w:rPr>
          <w:rFonts w:ascii="Arial" w:cs="Arial" w:eastAsia="Arial" w:hAnsi="Arial"/>
          <w:sz w:val="17"/>
          <w:szCs w:val="17"/>
          <w:color w:val="auto"/>
        </w:rPr>
        <w:t>April 14, 2021</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Citi Trends,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30,</w:t>
            </w:r>
          </w:p>
        </w:tc>
        <w:tc>
          <w:tcPr>
            <w:tcW w:w="1040" w:type="dxa"/>
            <w:vAlign w:val="bottom"/>
            <w:gridSpan w:val="3"/>
          </w:tcPr>
          <w:p>
            <w:pPr>
              <w:ind w:left="40"/>
              <w:spacing w:after="0"/>
              <w:rPr>
                <w:sz w:val="20"/>
                <w:szCs w:val="20"/>
                <w:color w:val="auto"/>
              </w:rPr>
            </w:pPr>
            <w:r>
              <w:rPr>
                <w:rFonts w:ascii="Arial" w:cs="Arial" w:eastAsia="Arial" w:hAnsi="Arial"/>
                <w:sz w:val="17"/>
                <w:szCs w:val="17"/>
                <w:b w:val="1"/>
                <w:bCs w:val="1"/>
                <w:color w:val="auto"/>
              </w:rPr>
              <w:t>February 1,</w:t>
            </w:r>
          </w:p>
        </w:tc>
      </w:tr>
      <w:tr>
        <w:trPr>
          <w:trHeight w:val="215"/>
        </w:trPr>
        <w:tc>
          <w:tcPr>
            <w:tcW w:w="8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r>
      <w:tr>
        <w:trPr>
          <w:trHeight w:val="183"/>
        </w:trPr>
        <w:tc>
          <w:tcPr>
            <w:tcW w:w="8080" w:type="dxa"/>
            <w:vAlign w:val="bottom"/>
            <w:shd w:val="clear" w:color="auto" w:fill="CCEEFF"/>
          </w:tcPr>
          <w:p>
            <w:pPr>
              <w:ind w:left="3660"/>
              <w:spacing w:after="0" w:line="183"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123,177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19,923</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Short-term investment securities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27,562</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103,845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138,258</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Prepaid and other current assets</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17,420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14,278</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Income tax receivable</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1,186</w:t>
            </w:r>
          </w:p>
        </w:tc>
        <w:tc>
          <w:tcPr>
            <w:tcW w:w="80" w:type="dxa"/>
            <w:vAlign w:val="bottom"/>
            <w:shd w:val="clear" w:color="auto" w:fill="CCEEFF"/>
          </w:tcPr>
          <w:p>
            <w:pPr>
              <w:spacing w:after="0"/>
              <w:rPr>
                <w:sz w:val="16"/>
                <w:szCs w:val="16"/>
                <w:color w:val="auto"/>
              </w:rPr>
            </w:pPr>
          </w:p>
        </w:tc>
      </w:tr>
      <w:tr>
        <w:trPr>
          <w:trHeight w:val="183"/>
        </w:trPr>
        <w:tc>
          <w:tcPr>
            <w:tcW w:w="8080" w:type="dxa"/>
            <w:vAlign w:val="bottom"/>
          </w:tcPr>
          <w:p>
            <w:pPr>
              <w:ind w:left="320"/>
              <w:spacing w:after="0" w:line="183" w:lineRule="exact"/>
              <w:rPr>
                <w:sz w:val="20"/>
                <w:szCs w:val="20"/>
                <w:color w:val="auto"/>
              </w:rPr>
            </w:pPr>
            <w:r>
              <w:rPr>
                <w:rFonts w:ascii="Arial" w:cs="Arial" w:eastAsia="Arial" w:hAnsi="Arial"/>
                <w:sz w:val="17"/>
                <w:szCs w:val="17"/>
                <w:color w:val="auto"/>
              </w:rPr>
              <w:t>Total current assets</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244,442</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201,207</w:t>
            </w:r>
          </w:p>
        </w:tc>
        <w:tc>
          <w:tcPr>
            <w:tcW w:w="80" w:type="dxa"/>
            <w:vAlign w:val="bottom"/>
          </w:tcPr>
          <w:p>
            <w:pPr>
              <w:spacing w:after="0"/>
              <w:rPr>
                <w:sz w:val="15"/>
                <w:szCs w:val="15"/>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Property and equipment, net of accumulated depreciation</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63,514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64,985</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Operating lease right of use assets</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179,673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169,854</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Long-term investment securities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15,675</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6,195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6,669</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769</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755</w:t>
            </w:r>
          </w:p>
        </w:tc>
        <w:tc>
          <w:tcPr>
            <w:tcW w:w="80" w:type="dxa"/>
            <w:vAlign w:val="bottom"/>
            <w:shd w:val="clear" w:color="auto" w:fill="CCEEFF"/>
          </w:tcPr>
          <w:p>
            <w:pPr>
              <w:spacing w:after="0"/>
              <w:rPr>
                <w:sz w:val="16"/>
                <w:szCs w:val="16"/>
                <w:color w:val="auto"/>
              </w:rPr>
            </w:pPr>
          </w:p>
        </w:tc>
      </w:tr>
      <w:tr>
        <w:trPr>
          <w:trHeight w:val="223"/>
        </w:trPr>
        <w:tc>
          <w:tcPr>
            <w:tcW w:w="80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494,593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459,145</w:t>
            </w:r>
          </w:p>
        </w:tc>
        <w:tc>
          <w:tcPr>
            <w:tcW w:w="80" w:type="dxa"/>
            <w:vAlign w:val="bottom"/>
            <w:tcBorders>
              <w:bottom w:val="single" w:sz="8" w:color="CCEEFF"/>
            </w:tcBorders>
          </w:tcPr>
          <w:p>
            <w:pPr>
              <w:spacing w:after="0"/>
              <w:rPr>
                <w:sz w:val="19"/>
                <w:szCs w:val="19"/>
                <w:color w:val="auto"/>
              </w:rPr>
            </w:pPr>
          </w:p>
        </w:tc>
      </w:tr>
      <w:tr>
        <w:trPr>
          <w:trHeight w:val="169"/>
        </w:trPr>
        <w:tc>
          <w:tcPr>
            <w:tcW w:w="8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8080" w:type="dxa"/>
            <w:vAlign w:val="bottom"/>
          </w:tcPr>
          <w:p>
            <w:pPr>
              <w:ind w:left="250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Accounts payable</w:t>
            </w:r>
          </w:p>
        </w:tc>
        <w:tc>
          <w:tcPr>
            <w:tcW w:w="1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84,832</w:t>
            </w:r>
          </w:p>
        </w:tc>
        <w:tc>
          <w:tcPr>
            <w:tcW w:w="200" w:type="dxa"/>
            <w:vAlign w:val="bottom"/>
          </w:tcPr>
          <w:p>
            <w:pPr>
              <w:spacing w:after="0"/>
              <w:rPr>
                <w:sz w:val="16"/>
                <w:szCs w:val="16"/>
                <w:color w:val="auto"/>
              </w:rPr>
            </w:pPr>
          </w:p>
        </w:tc>
        <w:tc>
          <w:tcPr>
            <w:tcW w:w="18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79,596</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46,983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42,944</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16,592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14,755</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Accrued compensation</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29,315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13,013</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Income tax payable</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4,623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Layaway deposits</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500</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554</w:t>
            </w:r>
          </w:p>
        </w:tc>
        <w:tc>
          <w:tcPr>
            <w:tcW w:w="80" w:type="dxa"/>
            <w:vAlign w:val="bottom"/>
            <w:shd w:val="clear" w:color="auto" w:fill="CCEEFF"/>
          </w:tcPr>
          <w:p>
            <w:pPr>
              <w:spacing w:after="0"/>
              <w:rPr>
                <w:sz w:val="16"/>
                <w:szCs w:val="16"/>
                <w:color w:val="auto"/>
              </w:rPr>
            </w:pPr>
          </w:p>
        </w:tc>
      </w:tr>
      <w:tr>
        <w:trPr>
          <w:trHeight w:val="183"/>
        </w:trPr>
        <w:tc>
          <w:tcPr>
            <w:tcW w:w="8080" w:type="dxa"/>
            <w:vAlign w:val="bottom"/>
          </w:tcPr>
          <w:p>
            <w:pPr>
              <w:ind w:left="320"/>
              <w:spacing w:after="0" w:line="183" w:lineRule="exact"/>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182,845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150,862</w:t>
            </w:r>
          </w:p>
        </w:tc>
        <w:tc>
          <w:tcPr>
            <w:tcW w:w="80" w:type="dxa"/>
            <w:vAlign w:val="bottom"/>
          </w:tcPr>
          <w:p>
            <w:pPr>
              <w:spacing w:after="0"/>
              <w:rPr>
                <w:sz w:val="15"/>
                <w:szCs w:val="15"/>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Noncurrent operating lease liabilities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145,828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135,316</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2,286</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1,923</w:t>
            </w:r>
          </w:p>
        </w:tc>
        <w:tc>
          <w:tcPr>
            <w:tcW w:w="80" w:type="dxa"/>
            <w:vAlign w:val="bottom"/>
            <w:tcBorders>
              <w:bottom w:val="single" w:sz="8" w:color="CCEEFF"/>
            </w:tcBorders>
          </w:tcPr>
          <w:p>
            <w:pPr>
              <w:spacing w:after="0"/>
              <w:rPr>
                <w:sz w:val="16"/>
                <w:szCs w:val="16"/>
                <w:color w:val="auto"/>
              </w:rPr>
            </w:pPr>
          </w:p>
        </w:tc>
      </w:tr>
      <w:tr>
        <w:trPr>
          <w:trHeight w:val="183"/>
        </w:trPr>
        <w:tc>
          <w:tcPr>
            <w:tcW w:w="8080" w:type="dxa"/>
            <w:vAlign w:val="bottom"/>
            <w:shd w:val="clear" w:color="auto" w:fill="CCEEFF"/>
          </w:tcPr>
          <w:p>
            <w:pPr>
              <w:ind w:left="320"/>
              <w:spacing w:after="0" w:line="183" w:lineRule="exact"/>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330,959</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288,101</w:t>
            </w:r>
          </w:p>
        </w:tc>
        <w:tc>
          <w:tcPr>
            <w:tcW w:w="80" w:type="dxa"/>
            <w:vAlign w:val="bottom"/>
            <w:shd w:val="clear" w:color="auto" w:fill="CCEEFF"/>
          </w:tcPr>
          <w:p>
            <w:pPr>
              <w:spacing w:after="0"/>
              <w:rPr>
                <w:sz w:val="15"/>
                <w:szCs w:val="15"/>
                <w:color w:val="auto"/>
              </w:rPr>
            </w:pPr>
          </w:p>
        </w:tc>
      </w:tr>
      <w:tr>
        <w:trPr>
          <w:trHeight w:val="183"/>
        </w:trPr>
        <w:tc>
          <w:tcPr>
            <w:tcW w:w="8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3"/>
        </w:trPr>
        <w:tc>
          <w:tcPr>
            <w:tcW w:w="8080" w:type="dxa"/>
            <w:vAlign w:val="bottom"/>
          </w:tcPr>
          <w:p>
            <w:pPr>
              <w:ind w:left="220"/>
              <w:spacing w:after="0" w:line="183" w:lineRule="exact"/>
              <w:rPr>
                <w:sz w:val="20"/>
                <w:szCs w:val="20"/>
                <w:color w:val="auto"/>
              </w:rPr>
            </w:pPr>
            <w:r>
              <w:rPr>
                <w:rFonts w:ascii="Arial" w:cs="Arial" w:eastAsia="Arial" w:hAnsi="Arial"/>
                <w:sz w:val="17"/>
                <w:szCs w:val="17"/>
                <w:color w:val="auto"/>
              </w:rPr>
              <w:t>Common stock, $0.01 par value. Authorized 32,000,000 shares; 15,981,394 shares issued as of</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January 30, 2021 and 15,907,666 shares issued as of February 1, 2020; 9,876,901 shares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8080" w:type="dxa"/>
            <w:vAlign w:val="bottom"/>
          </w:tcPr>
          <w:p>
            <w:pPr>
              <w:ind w:left="220"/>
              <w:spacing w:after="0"/>
              <w:rPr>
                <w:sz w:val="20"/>
                <w:szCs w:val="20"/>
                <w:color w:val="auto"/>
              </w:rPr>
            </w:pPr>
            <w:r>
              <w:rPr>
                <w:rFonts w:ascii="Arial" w:cs="Arial" w:eastAsia="Arial" w:hAnsi="Arial"/>
                <w:sz w:val="17"/>
                <w:szCs w:val="17"/>
                <w:color w:val="auto"/>
              </w:rPr>
              <w:t>outstanding as of January 30, 2021 and 10,834,134 shares outstanding as of February 1, 2020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6"/>
                <w:szCs w:val="16"/>
                <w:color w:val="auto"/>
              </w:rPr>
            </w:pPr>
          </w:p>
        </w:tc>
      </w:tr>
      <w:tr>
        <w:trPr>
          <w:trHeight w:val="189"/>
        </w:trPr>
        <w:tc>
          <w:tcPr>
            <w:tcW w:w="8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Paid in capital</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95,484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93,180</w:t>
            </w:r>
          </w:p>
        </w:tc>
        <w:tc>
          <w:tcPr>
            <w:tcW w:w="80" w:type="dxa"/>
            <w:vAlign w:val="bottom"/>
            <w:shd w:val="clear" w:color="auto" w:fill="CCEEFF"/>
          </w:tcPr>
          <w:p>
            <w:pPr>
              <w:spacing w:after="0"/>
              <w:rPr>
                <w:sz w:val="16"/>
                <w:szCs w:val="16"/>
                <w:color w:val="auto"/>
              </w:rPr>
            </w:pPr>
          </w:p>
        </w:tc>
      </w:tr>
      <w:tr>
        <w:trPr>
          <w:trHeight w:val="189"/>
        </w:trPr>
        <w:tc>
          <w:tcPr>
            <w:tcW w:w="8080" w:type="dxa"/>
            <w:vAlign w:val="bottom"/>
          </w:tcPr>
          <w:p>
            <w:pPr>
              <w:ind w:left="220"/>
              <w:spacing w:after="0" w:line="189" w:lineRule="exact"/>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209,918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186,772</w:t>
            </w:r>
          </w:p>
        </w:tc>
        <w:tc>
          <w:tcPr>
            <w:tcW w:w="80" w:type="dxa"/>
            <w:vAlign w:val="bottom"/>
          </w:tcPr>
          <w:p>
            <w:pPr>
              <w:spacing w:after="0"/>
              <w:rPr>
                <w:sz w:val="16"/>
                <w:szCs w:val="16"/>
                <w:color w:val="auto"/>
              </w:rPr>
            </w:pPr>
          </w:p>
        </w:tc>
      </w:tr>
      <w:tr>
        <w:trPr>
          <w:trHeight w:val="183"/>
        </w:trPr>
        <w:tc>
          <w:tcPr>
            <w:tcW w:w="80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Treasury stock, at cost; 6,104,493 shares held as of January 30, 2021 and 5,073,532 shares held as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5"/>
        </w:trPr>
        <w:tc>
          <w:tcPr>
            <w:tcW w:w="8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of February 1, 2020</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(141,926)</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(109,065)</w:t>
            </w:r>
          </w:p>
        </w:tc>
      </w:tr>
      <w:tr>
        <w:trPr>
          <w:trHeight w:val="183"/>
        </w:trPr>
        <w:tc>
          <w:tcPr>
            <w:tcW w:w="80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163,634</w:t>
            </w: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171,044</w:t>
            </w:r>
          </w:p>
        </w:tc>
        <w:tc>
          <w:tcPr>
            <w:tcW w:w="80" w:type="dxa"/>
            <w:vAlign w:val="bottom"/>
            <w:tcBorders>
              <w:bottom w:val="single" w:sz="8" w:color="CCEEFF"/>
            </w:tcBorders>
          </w:tcPr>
          <w:p>
            <w:pPr>
              <w:spacing w:after="0"/>
              <w:rPr>
                <w:sz w:val="15"/>
                <w:szCs w:val="15"/>
                <w:color w:val="auto"/>
              </w:rPr>
            </w:pPr>
          </w:p>
        </w:tc>
      </w:tr>
      <w:tr>
        <w:trPr>
          <w:trHeight w:val="183"/>
        </w:trPr>
        <w:tc>
          <w:tcPr>
            <w:tcW w:w="8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Commitments and contingencies (Note 7)</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808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494,593</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459,145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Citi Trends,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Operations</w:t>
      </w: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w w:val="97"/>
              </w:rPr>
              <w:t>Fiscal Year</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sales</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783,294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781,925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769,553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 (exclusive of depreciation shown separately below)</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(471,618)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(484,740)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(476,326)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(260,198)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(259,629)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(247,938)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(19,259)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(18,535)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(18,886)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7"/>
                <w:szCs w:val="17"/>
                <w:color w:val="auto"/>
              </w:rPr>
              <w:t>Asset impairment</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(472)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(1,274)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ind w:left="180"/>
              <w:spacing w:after="0" w:line="183" w:lineRule="exact"/>
              <w:rPr>
                <w:sz w:val="20"/>
                <w:szCs w:val="20"/>
                <w:color w:val="auto"/>
              </w:rPr>
            </w:pPr>
            <w:r>
              <w:rPr>
                <w:rFonts w:ascii="Arial" w:cs="Arial" w:eastAsia="Arial" w:hAnsi="Arial"/>
                <w:sz w:val="17"/>
                <w:szCs w:val="17"/>
                <w:color w:val="auto"/>
              </w:rPr>
              <w:t>Income from operations</w:t>
            </w:r>
          </w:p>
        </w:tc>
        <w:tc>
          <w:tcPr>
            <w:tcW w:w="1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31,933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18,549</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25,129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7"/>
                <w:szCs w:val="17"/>
                <w:color w:val="auto"/>
              </w:rPr>
              <w:t>Interest income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1,577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1,353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1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(158)</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ind w:left="180"/>
              <w:spacing w:after="0" w:line="183" w:lineRule="exact"/>
              <w:rPr>
                <w:sz w:val="20"/>
                <w:szCs w:val="20"/>
                <w:color w:val="auto"/>
              </w:rPr>
            </w:pPr>
            <w:r>
              <w:rPr>
                <w:rFonts w:ascii="Arial" w:cs="Arial" w:eastAsia="Arial" w:hAnsi="Arial"/>
                <w:sz w:val="17"/>
                <w:szCs w:val="17"/>
                <w:color w:val="auto"/>
              </w:rPr>
              <w:t>Income before income taxes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31,395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19,968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26,328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expense</w:t>
            </w:r>
          </w:p>
        </w:tc>
        <w:tc>
          <w:tcPr>
            <w:tcW w:w="1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(3,465)</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ind w:left="180"/>
              <w:spacing w:after="0" w:line="183" w:lineRule="exact"/>
              <w:rPr>
                <w:sz w:val="20"/>
                <w:szCs w:val="20"/>
                <w:color w:val="auto"/>
              </w:rPr>
            </w:pPr>
            <w:r>
              <w:rPr>
                <w:rFonts w:ascii="Arial" w:cs="Arial" w:eastAsia="Arial" w:hAnsi="Arial"/>
                <w:sz w:val="17"/>
                <w:szCs w:val="17"/>
                <w:color w:val="auto"/>
              </w:rPr>
              <w:t>Net income</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23,978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16,503</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21,374</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Basic net income per common share</w:t>
            </w:r>
          </w:p>
        </w:tc>
        <w:tc>
          <w:tcPr>
            <w:tcW w:w="1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1.41</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7"/>
                <w:szCs w:val="17"/>
                <w:color w:val="auto"/>
              </w:rPr>
              <w:t>Diluted net income per common share</w:t>
            </w: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2.32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7"/>
                <w:szCs w:val="17"/>
                <w:color w:val="auto"/>
              </w:rPr>
              <w:t>1.41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1.64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number of shares outstanding</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6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7"/>
                <w:szCs w:val="17"/>
                <w:color w:val="auto"/>
              </w:rPr>
              <w:t>Basic</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10,283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11,674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13,030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60" w:type="dxa"/>
            <w:vAlign w:val="bottom"/>
            <w:tcBorders>
              <w:bottom w:val="single" w:sz="8" w:color="CCEEFF"/>
            </w:tcBorders>
            <w:shd w:val="clear" w:color="auto" w:fill="CCEEFF"/>
          </w:tcPr>
          <w:p>
            <w:pPr>
              <w:ind w:left="180"/>
              <w:spacing w:after="0" w:line="170" w:lineRule="exact"/>
              <w:rPr>
                <w:sz w:val="20"/>
                <w:szCs w:val="20"/>
                <w:color w:val="auto"/>
              </w:rPr>
            </w:pPr>
            <w:r>
              <w:rPr>
                <w:rFonts w:ascii="Arial" w:cs="Arial" w:eastAsia="Arial" w:hAnsi="Arial"/>
                <w:sz w:val="17"/>
                <w:szCs w:val="17"/>
                <w:color w:val="auto"/>
              </w:rPr>
              <w:t>Diluted</w:t>
            </w: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10,325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7"/>
                <w:szCs w:val="17"/>
                <w:color w:val="auto"/>
              </w:rPr>
              <w:t>11,699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13,070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Citi Trends,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Operating activities: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23,978</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16,503</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21,374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19,259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operating lease costs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45,463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300" w:type="dxa"/>
            <w:vAlign w:val="bottom"/>
          </w:tcPr>
          <w:p>
            <w:pPr>
              <w:ind w:left="320"/>
              <w:spacing w:after="0"/>
              <w:rPr>
                <w:sz w:val="20"/>
                <w:szCs w:val="20"/>
                <w:color w:val="auto"/>
              </w:rPr>
            </w:pPr>
            <w:r>
              <w:rPr>
                <w:rFonts w:ascii="Arial" w:cs="Arial" w:eastAsia="Arial" w:hAnsi="Arial"/>
                <w:sz w:val="17"/>
                <w:szCs w:val="17"/>
                <w:color w:val="auto"/>
              </w:rPr>
              <w:t>Asset impairment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disposal of property and equipment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2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Insurance proceeds related to operating activities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320"/>
              <w:spacing w:after="0"/>
              <w:rPr>
                <w:sz w:val="20"/>
                <w:szCs w:val="20"/>
                <w:color w:val="auto"/>
              </w:rPr>
            </w:pPr>
            <w:r>
              <w:rPr>
                <w:rFonts w:ascii="Arial" w:cs="Arial" w:eastAsia="Arial" w:hAnsi="Arial"/>
                <w:sz w:val="17"/>
                <w:szCs w:val="17"/>
                <w:color w:val="auto"/>
              </w:rPr>
              <w:t>Non-cash stock-based compensation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assets and liabilities: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44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33,564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(2,330)</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and other current assets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(7,718)</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03"/>
        </w:trPr>
        <w:tc>
          <w:tcPr>
            <w:tcW w:w="730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(2,844)</w:t>
            </w:r>
          </w:p>
        </w:tc>
        <w:tc>
          <w:tcPr>
            <w:tcW w:w="0" w:type="dxa"/>
            <w:vAlign w:val="bottom"/>
          </w:tcPr>
          <w:p>
            <w:pPr>
              <w:spacing w:after="0"/>
              <w:rPr>
                <w:sz w:val="1"/>
                <w:szCs w:val="1"/>
                <w:color w:val="auto"/>
              </w:rPr>
            </w:pPr>
          </w:p>
        </w:tc>
      </w:tr>
      <w:tr>
        <w:trPr>
          <w:trHeight w:val="203"/>
        </w:trPr>
        <w:tc>
          <w:tcPr>
            <w:tcW w:w="7300" w:type="dxa"/>
            <w:vAlign w:val="bottom"/>
          </w:tcPr>
          <w:p>
            <w:pPr>
              <w:ind w:left="440"/>
              <w:spacing w:after="0"/>
              <w:rPr>
                <w:sz w:val="20"/>
                <w:szCs w:val="20"/>
                <w:color w:val="auto"/>
              </w:rPr>
            </w:pPr>
            <w:r>
              <w:rPr>
                <w:rFonts w:ascii="Arial" w:cs="Arial" w:eastAsia="Arial" w:hAnsi="Arial"/>
                <w:sz w:val="17"/>
                <w:szCs w:val="17"/>
                <w:color w:val="auto"/>
              </w:rPr>
              <w:t>Accrued expenses and other long-term liabilities</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(38,346)</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(45,282)</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compensation</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(4,267)</w:t>
            </w:r>
          </w:p>
        </w:tc>
        <w:tc>
          <w:tcPr>
            <w:tcW w:w="0" w:type="dxa"/>
            <w:vAlign w:val="bottom"/>
          </w:tcPr>
          <w:p>
            <w:pPr>
              <w:spacing w:after="0"/>
              <w:rPr>
                <w:sz w:val="1"/>
                <w:szCs w:val="1"/>
                <w:color w:val="auto"/>
              </w:rPr>
            </w:pPr>
          </w:p>
        </w:tc>
      </w:tr>
      <w:tr>
        <w:trPr>
          <w:trHeight w:val="203"/>
        </w:trPr>
        <w:tc>
          <w:tcPr>
            <w:tcW w:w="7300" w:type="dxa"/>
            <w:vAlign w:val="bottom"/>
          </w:tcPr>
          <w:p>
            <w:pPr>
              <w:ind w:left="440"/>
              <w:spacing w:after="0"/>
              <w:rPr>
                <w:sz w:val="20"/>
                <w:szCs w:val="20"/>
                <w:color w:val="auto"/>
              </w:rPr>
            </w:pPr>
            <w:r>
              <w:rPr>
                <w:rFonts w:ascii="Arial" w:cs="Arial" w:eastAsia="Arial" w:hAnsi="Arial"/>
                <w:sz w:val="17"/>
                <w:szCs w:val="17"/>
                <w:color w:val="auto"/>
              </w:rPr>
              <w:t>Income tax payable/receivable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(1,581)</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Layaway deposits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730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110,858</w:t>
            </w: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42,609</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30,410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7"/>
                <w:szCs w:val="17"/>
                <w:color w:val="auto"/>
              </w:rPr>
              <w:t>Investing activities: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Sales/redemptions of investment securities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rPr>
                <w:sz w:val="20"/>
                <w:szCs w:val="20"/>
                <w:color w:val="auto"/>
              </w:rPr>
            </w:pPr>
            <w:r>
              <w:rPr>
                <w:rFonts w:ascii="Arial" w:cs="Arial" w:eastAsia="Arial" w:hAnsi="Arial"/>
                <w:sz w:val="17"/>
                <w:szCs w:val="17"/>
                <w:color w:val="auto"/>
              </w:rPr>
              <w:t>Purchases of investment securities</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(522)</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(43,840)</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(43,882)</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(16,956)</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(24,175)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(13,256)</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Insurance proceeds related to investing activities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640"/>
              <w:spacing w:after="0" w:line="183" w:lineRule="exact"/>
              <w:rPr>
                <w:sz w:val="20"/>
                <w:szCs w:val="20"/>
                <w:color w:val="auto"/>
              </w:rPr>
            </w:pPr>
            <w:r>
              <w:rPr>
                <w:rFonts w:ascii="Arial" w:cs="Arial" w:eastAsia="Arial" w:hAnsi="Arial"/>
                <w:sz w:val="17"/>
                <w:szCs w:val="17"/>
                <w:color w:val="auto"/>
              </w:rPr>
              <w:t>Net cash provided by (used in)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26,697</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(7,606)</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(15,343)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rPr>
                <w:sz w:val="20"/>
                <w:szCs w:val="20"/>
                <w:color w:val="auto"/>
              </w:rPr>
            </w:pPr>
            <w:r>
              <w:rPr>
                <w:rFonts w:ascii="Arial" w:cs="Arial" w:eastAsia="Arial" w:hAnsi="Arial"/>
                <w:sz w:val="17"/>
                <w:szCs w:val="17"/>
                <w:color w:val="auto"/>
              </w:rPr>
              <w:t>Borrowings under revolving credit facility</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43,700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revolving credit facility</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(43,700)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rPr>
                <w:sz w:val="20"/>
                <w:szCs w:val="20"/>
                <w:color w:val="auto"/>
              </w:rPr>
            </w:pPr>
            <w:r>
              <w:rPr>
                <w:rFonts w:ascii="Arial" w:cs="Arial" w:eastAsia="Arial" w:hAnsi="Arial"/>
                <w:sz w:val="17"/>
                <w:szCs w:val="17"/>
                <w:color w:val="auto"/>
              </w:rPr>
              <w:t>Cash used to settle withholding taxes on the vesting of nonvested restricted stock</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(608)</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(733)</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paid to stockholders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(4,207)</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rPr>
                <w:sz w:val="20"/>
                <w:szCs w:val="20"/>
                <w:color w:val="auto"/>
              </w:rPr>
            </w:pPr>
            <w:r>
              <w:rPr>
                <w:rFonts w:ascii="Arial" w:cs="Arial" w:eastAsia="Arial" w:hAnsi="Arial"/>
                <w:sz w:val="17"/>
                <w:szCs w:val="17"/>
                <w:color w:val="auto"/>
              </w:rPr>
              <w:t>Repurchase of common stock</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(32,861)</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(28,445)</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(40,400)</w:t>
            </w:r>
          </w:p>
        </w:tc>
        <w:tc>
          <w:tcPr>
            <w:tcW w:w="0" w:type="dxa"/>
            <w:vAlign w:val="bottom"/>
          </w:tcPr>
          <w:p>
            <w:pPr>
              <w:spacing w:after="0"/>
              <w:rPr>
                <w:sz w:val="1"/>
                <w:szCs w:val="1"/>
                <w:color w:val="auto"/>
              </w:rPr>
            </w:pPr>
          </w:p>
        </w:tc>
      </w:tr>
      <w:tr>
        <w:trPr>
          <w:trHeight w:val="183"/>
        </w:trPr>
        <w:tc>
          <w:tcPr>
            <w:tcW w:w="730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7"/>
                <w:szCs w:val="17"/>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(34,301)</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(32,943)</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(45,655)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00" w:type="dxa"/>
            <w:vAlign w:val="bottom"/>
          </w:tcPr>
          <w:p>
            <w:pPr>
              <w:ind w:left="640"/>
              <w:spacing w:after="0" w:line="183" w:lineRule="exact"/>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103,254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7"/>
                <w:szCs w:val="17"/>
                <w:color w:val="auto"/>
              </w:rPr>
              <w:t>2,060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7"/>
                <w:szCs w:val="17"/>
                <w:color w:val="auto"/>
              </w:rPr>
              <w:t>(30,588)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Beginning of year</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19,923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17,863</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7"/>
                <w:szCs w:val="17"/>
                <w:color w:val="auto"/>
              </w:rPr>
              <w:t>End of year</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123,177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19,923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17,863</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7"/>
                <w:szCs w:val="17"/>
                <w:color w:val="auto"/>
              </w:rPr>
              <w:t>Supplemental disclosures of cash flow information: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Cash paid for interest</w:t>
            </w: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731</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127</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127</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220"/>
              <w:spacing w:after="0"/>
              <w:rPr>
                <w:sz w:val="20"/>
                <w:szCs w:val="20"/>
                <w:color w:val="auto"/>
              </w:rPr>
            </w:pPr>
            <w:r>
              <w:rPr>
                <w:rFonts w:ascii="Arial" w:cs="Arial" w:eastAsia="Arial" w:hAnsi="Arial"/>
                <w:sz w:val="17"/>
                <w:szCs w:val="17"/>
                <w:color w:val="auto"/>
              </w:rPr>
              <w:t>Cash payments of income taxes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1,134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4,477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7,237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30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rPr>
              <w:t>Supplemental disclosures of non-cash investing activities: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220"/>
              <w:spacing w:after="0" w:line="189" w:lineRule="exact"/>
              <w:rPr>
                <w:sz w:val="20"/>
                <w:szCs w:val="20"/>
                <w:color w:val="auto"/>
              </w:rPr>
            </w:pPr>
            <w:r>
              <w:rPr>
                <w:rFonts w:ascii="Arial" w:cs="Arial" w:eastAsia="Arial" w:hAnsi="Arial"/>
                <w:sz w:val="17"/>
                <w:szCs w:val="17"/>
                <w:color w:val="auto"/>
              </w:rPr>
              <w:t>Accrual for purchases of property and equipment</w:t>
            </w: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1,392</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4,000</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Citi Trends,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 in</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2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3"/>
                <w:szCs w:val="13"/>
                <w:color w:val="auto"/>
              </w:rPr>
            </w:pPr>
          </w:p>
        </w:tc>
      </w:tr>
      <w:tr>
        <w:trPr>
          <w:trHeight w:val="155"/>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 February 3, 2018</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15,777,946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$ 90,605</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$ 158,927</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2,034,170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(40,220)</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209,468</w:t>
            </w:r>
          </w:p>
        </w:tc>
        <w:tc>
          <w:tcPr>
            <w:tcW w:w="60" w:type="dxa"/>
            <w:vAlign w:val="bottom"/>
            <w:shd w:val="clear" w:color="auto" w:fill="CCEEFF"/>
          </w:tcPr>
          <w:p>
            <w:pPr>
              <w:spacing w:after="0"/>
              <w:rPr>
                <w:sz w:val="13"/>
                <w:szCs w:val="13"/>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Vesting of nonvested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10,663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2,238</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2,238</w:t>
            </w:r>
          </w:p>
        </w:tc>
        <w:tc>
          <w:tcPr>
            <w:tcW w:w="60" w:type="dxa"/>
            <w:vAlign w:val="bottom"/>
          </w:tcPr>
          <w:p>
            <w:pPr>
              <w:spacing w:after="0"/>
              <w:rPr>
                <w:sz w:val="14"/>
                <w:szCs w:val="14"/>
                <w:color w:val="auto"/>
              </w:rPr>
            </w:pPr>
          </w:p>
        </w:tc>
      </w:tr>
      <w:tr>
        <w:trPr>
          <w:trHeight w:val="167"/>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 and restricted stock</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4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units</w:t>
            </w:r>
          </w:p>
        </w:tc>
        <w:tc>
          <w:tcPr>
            <w:tcW w:w="10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(40,941)</w:t>
            </w:r>
          </w:p>
        </w:tc>
        <w:tc>
          <w:tcPr>
            <w:tcW w:w="2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(1,049)</w:t>
            </w: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(1,049)</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1,635,306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(40,400)</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(40,400)</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to stockholders ($0.08 per common share)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(4,207)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(4,207)</w:t>
            </w:r>
          </w:p>
        </w:tc>
      </w:tr>
      <w:tr>
        <w:trPr>
          <w:trHeight w:val="162"/>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21,374</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21,374</w:t>
            </w:r>
          </w:p>
        </w:tc>
        <w:tc>
          <w:tcPr>
            <w:tcW w:w="60" w:type="dxa"/>
            <w:vAlign w:val="bottom"/>
            <w:tcBorders>
              <w:bottom w:val="single" w:sz="8" w:color="CCEEFF"/>
            </w:tcBorders>
          </w:tcPr>
          <w:p>
            <w:pPr>
              <w:spacing w:after="0"/>
              <w:rPr>
                <w:sz w:val="14"/>
                <w:szCs w:val="14"/>
                <w:color w:val="auto"/>
              </w:rPr>
            </w:pPr>
          </w:p>
        </w:tc>
      </w:tr>
      <w:tr>
        <w:trPr>
          <w:trHeight w:val="156"/>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 February 2, 2019</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15,827,713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91,794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176,094</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3,669,476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(80,620)</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187,425</w:t>
            </w:r>
          </w:p>
        </w:tc>
        <w:tc>
          <w:tcPr>
            <w:tcW w:w="60" w:type="dxa"/>
            <w:vAlign w:val="bottom"/>
            <w:shd w:val="clear" w:color="auto" w:fill="CCEEFF"/>
          </w:tcPr>
          <w:p>
            <w:pPr>
              <w:spacing w:after="0"/>
              <w:rPr>
                <w:sz w:val="13"/>
                <w:szCs w:val="13"/>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Adoption of lease accounting standard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(2,060)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(2,060)</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tcPr>
          <w:p>
            <w:pPr>
              <w:jc w:val="right"/>
              <w:spacing w:after="0"/>
              <w:rPr>
                <w:sz w:val="20"/>
                <w:szCs w:val="20"/>
                <w:color w:val="auto"/>
              </w:rPr>
            </w:pPr>
            <w:r>
              <w:rPr>
                <w:rFonts w:ascii="Arial" w:cs="Arial" w:eastAsia="Arial" w:hAnsi="Arial"/>
                <w:sz w:val="14"/>
                <w:szCs w:val="14"/>
                <w:color w:val="auto"/>
              </w:rPr>
              <w:t>122,816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(24,359)</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2,121</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2,121</w:t>
            </w:r>
          </w:p>
        </w:tc>
        <w:tc>
          <w:tcPr>
            <w:tcW w:w="60" w:type="dxa"/>
            <w:vAlign w:val="bottom"/>
          </w:tcPr>
          <w:p>
            <w:pPr>
              <w:spacing w:after="0"/>
              <w:rPr>
                <w:sz w:val="14"/>
                <w:szCs w:val="14"/>
                <w:color w:val="auto"/>
              </w:rPr>
            </w:pPr>
          </w:p>
        </w:tc>
      </w:tr>
      <w:tr>
        <w:trPr>
          <w:trHeight w:val="167"/>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 and restricted stock</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4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units</w:t>
            </w:r>
          </w:p>
        </w:tc>
        <w:tc>
          <w:tcPr>
            <w:tcW w:w="10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(37,355)</w:t>
            </w:r>
          </w:p>
        </w:tc>
        <w:tc>
          <w:tcPr>
            <w:tcW w:w="2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(735)</w:t>
            </w:r>
          </w:p>
        </w:tc>
        <w:tc>
          <w:tcPr>
            <w:tcW w:w="86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(736)</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1,404,056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(28,445)</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(28,445)</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to stockholders ($0.08 per common share)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(3,765)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(3,765)</w:t>
            </w:r>
          </w:p>
        </w:tc>
      </w:tr>
      <w:tr>
        <w:trPr>
          <w:trHeight w:val="162"/>
        </w:trPr>
        <w:tc>
          <w:tcPr>
            <w:tcW w:w="4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16,503</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16,503</w:t>
            </w:r>
          </w:p>
        </w:tc>
        <w:tc>
          <w:tcPr>
            <w:tcW w:w="60" w:type="dxa"/>
            <w:vAlign w:val="bottom"/>
            <w:tcBorders>
              <w:bottom w:val="single" w:sz="8" w:color="CCEEFF"/>
            </w:tcBorders>
          </w:tcPr>
          <w:p>
            <w:pPr>
              <w:spacing w:after="0"/>
              <w:rPr>
                <w:sz w:val="14"/>
                <w:szCs w:val="14"/>
                <w:color w:val="auto"/>
              </w:rPr>
            </w:pPr>
          </w:p>
        </w:tc>
      </w:tr>
      <w:tr>
        <w:trPr>
          <w:trHeight w:val="156"/>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 February 1, 2020</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15,907,666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93,180</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186,772</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5,073,532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(109,065)</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171,044</w:t>
            </w:r>
          </w:p>
        </w:tc>
        <w:tc>
          <w:tcPr>
            <w:tcW w:w="60" w:type="dxa"/>
            <w:vAlign w:val="bottom"/>
            <w:shd w:val="clear" w:color="auto" w:fill="CCEEFF"/>
          </w:tcPr>
          <w:p>
            <w:pPr>
              <w:spacing w:after="0"/>
              <w:rPr>
                <w:sz w:val="13"/>
                <w:szCs w:val="13"/>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Vesting of nonvested restricted stock units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(15,218)</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60" w:type="dxa"/>
            <w:vAlign w:val="bottom"/>
            <w:shd w:val="clear" w:color="auto" w:fill="CCEEFF"/>
          </w:tcPr>
          <w:p>
            <w:pPr>
              <w:spacing w:after="0"/>
              <w:rPr>
                <w:sz w:val="14"/>
                <w:szCs w:val="14"/>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(38,934)</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(608)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(608)</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1,030,961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(32,861)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(32,861)</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Dividends paid to stockholders ($0.08 per common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(832)</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(832)</w:t>
            </w:r>
          </w:p>
        </w:tc>
      </w:tr>
      <w:tr>
        <w:trPr>
          <w:trHeight w:val="162"/>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16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60" w:type="dxa"/>
            <w:vAlign w:val="bottom"/>
            <w:shd w:val="clear" w:color="auto" w:fill="CCEEFF"/>
          </w:tcPr>
          <w:p>
            <w:pPr>
              <w:spacing w:after="0"/>
              <w:rPr>
                <w:sz w:val="14"/>
                <w:szCs w:val="14"/>
                <w:color w:val="auto"/>
              </w:rPr>
            </w:pPr>
          </w:p>
        </w:tc>
      </w:tr>
      <w:tr>
        <w:trPr>
          <w:trHeight w:val="155"/>
        </w:trPr>
        <w:tc>
          <w:tcPr>
            <w:tcW w:w="422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 January 30, 2021</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15,981,394</w:t>
            </w:r>
          </w:p>
        </w:tc>
        <w:tc>
          <w:tcPr>
            <w:tcW w:w="18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158</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$ 95,484</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$ 209,918</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6,104,493</w:t>
            </w: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(141,926)</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163,634</w:t>
            </w:r>
          </w:p>
        </w:tc>
        <w:tc>
          <w:tcPr>
            <w:tcW w:w="60" w:type="dxa"/>
            <w:vAlign w:val="bottom"/>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3" w:name="page44"/>
    <w:bookmarkEnd w:id="43"/>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color w:val="auto"/>
        </w:rPr>
        <w:t>Citi Trends, Inc.</w:t>
      </w:r>
    </w:p>
    <w:p>
      <w:pPr>
        <w:spacing w:after="0" w:line="14" w:lineRule="exact"/>
        <w:rPr>
          <w:sz w:val="20"/>
          <w:szCs w:val="20"/>
          <w:color w:val="auto"/>
        </w:rPr>
      </w:pPr>
    </w:p>
    <w:p>
      <w:pPr>
        <w:jc w:val="center"/>
        <w:ind w:right="-2"/>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63" w:lineRule="exact"/>
        <w:rPr>
          <w:sz w:val="20"/>
          <w:szCs w:val="20"/>
          <w:color w:val="auto"/>
        </w:rPr>
      </w:pPr>
    </w:p>
    <w:p>
      <w:pPr>
        <w:ind w:left="523" w:hanging="523"/>
        <w:spacing w:after="0"/>
        <w:tabs>
          <w:tab w:leader="none" w:pos="52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Business</w:t>
      </w:r>
    </w:p>
    <w:p>
      <w:pPr>
        <w:spacing w:after="0" w:line="149" w:lineRule="exact"/>
        <w:rPr>
          <w:sz w:val="20"/>
          <w:szCs w:val="20"/>
          <w:color w:val="auto"/>
        </w:rPr>
      </w:pPr>
    </w:p>
    <w:p>
      <w:pPr>
        <w:ind w:left="3" w:right="260"/>
        <w:spacing w:after="0" w:line="238" w:lineRule="auto"/>
        <w:rPr>
          <w:sz w:val="20"/>
          <w:szCs w:val="20"/>
          <w:color w:val="auto"/>
        </w:rPr>
      </w:pPr>
      <w:r>
        <w:rPr>
          <w:rFonts w:ascii="Arial" w:cs="Arial" w:eastAsia="Arial" w:hAnsi="Arial"/>
          <w:sz w:val="17"/>
          <w:szCs w:val="17"/>
          <w:color w:val="auto"/>
        </w:rPr>
        <w:t>Citi Trends, Inc. and its subsidiary (the “Company”) is a growing specialty value retailer of apparel, accessories and home trends primarily for African American and Latinx families. As of January 30, 2021, the Company operated 585 stores in urban, suburban and rural markets in 33 states.</w:t>
      </w:r>
    </w:p>
    <w:p>
      <w:pPr>
        <w:spacing w:after="0" w:line="134" w:lineRule="exact"/>
        <w:rPr>
          <w:sz w:val="20"/>
          <w:szCs w:val="20"/>
          <w:color w:val="auto"/>
        </w:rPr>
      </w:pPr>
    </w:p>
    <w:p>
      <w:pPr>
        <w:ind w:left="3"/>
        <w:spacing w:after="0"/>
        <w:rPr>
          <w:sz w:val="20"/>
          <w:szCs w:val="20"/>
          <w:color w:val="auto"/>
        </w:rPr>
      </w:pPr>
      <w:r>
        <w:rPr>
          <w:rFonts w:ascii="Arial" w:cs="Arial" w:eastAsia="Arial" w:hAnsi="Arial"/>
          <w:sz w:val="17"/>
          <w:szCs w:val="17"/>
          <w:color w:val="auto"/>
        </w:rPr>
        <w:t>In March 2020, the World Health Organization declared the spread of the coronavirus (“COVID-19”) a global pandemic. As a result, the Company temporarily closed all of its retail store locations and distribution centers effective March 20, 2020. At the end of April 2020, the Company started to reopen stores in select states in accordance with government guidelines. As of July 18, 2020, the Company safely reopened all of its stores. The Company took numerous actions beginning in the first quarter of fiscal 2020 in light of the uncertainties resulting from the pandemic, including: (i) the drawdown of $43.7 million in principal amount under the revolving credit facility on March 20, 2020, which was fully repaid on September 11, 2020; (ii) an amendment to the revolving credit facility to extend the term to August 2021; (iii) temporary furloughs of substantially all store and distribution center personnel and a significant portion of the corporate staff, with employee benefits for eligible employees continued through the temporary furloughs; (iv) temporary tiered salary reductions for management level corporate employees and a reduction to the cash portion of non-employee director fees; (v) extensions of payment terms with vendors and suppliers; (vi) the suspension of share repurchases; (vii) negotiations of rent concessions with landlords, some of which are ongoing; and (viii) a substantial reduction in operating expenses, store occupancy costs, capital expenditures and other costs.</w:t>
      </w:r>
    </w:p>
    <w:p>
      <w:pPr>
        <w:spacing w:after="0" w:line="266" w:lineRule="exact"/>
        <w:rPr>
          <w:sz w:val="20"/>
          <w:szCs w:val="20"/>
          <w:color w:val="auto"/>
        </w:rPr>
      </w:pPr>
    </w:p>
    <w:p>
      <w:pPr>
        <w:ind w:left="3" w:right="180"/>
        <w:spacing w:after="0" w:line="238" w:lineRule="auto"/>
        <w:rPr>
          <w:sz w:val="20"/>
          <w:szCs w:val="20"/>
          <w:color w:val="auto"/>
        </w:rPr>
      </w:pPr>
      <w:r>
        <w:rPr>
          <w:rFonts w:ascii="Arial" w:cs="Arial" w:eastAsia="Arial" w:hAnsi="Arial"/>
          <w:sz w:val="17"/>
          <w:szCs w:val="17"/>
          <w:color w:val="auto"/>
        </w:rPr>
        <w:t>The COVID-19 pandemic has resulted in a period of disruption, including the temporary closure of stores and limited store operating hours, reduced customer traffic and consumer spending, and delays in the manufacturing and shipping of products. During this period, the Company continues to prioritize the health of its associates, customers and communities it serves.</w:t>
      </w:r>
    </w:p>
    <w:p>
      <w:pPr>
        <w:spacing w:after="0" w:line="120" w:lineRule="exact"/>
        <w:rPr>
          <w:sz w:val="20"/>
          <w:szCs w:val="20"/>
          <w:color w:val="auto"/>
        </w:rPr>
      </w:pPr>
    </w:p>
    <w:p>
      <w:pPr>
        <w:ind w:left="3" w:right="40" w:firstLine="47"/>
        <w:spacing w:after="0" w:line="236" w:lineRule="auto"/>
        <w:rPr>
          <w:sz w:val="20"/>
          <w:szCs w:val="20"/>
          <w:color w:val="auto"/>
        </w:rPr>
      </w:pPr>
      <w:r>
        <w:rPr>
          <w:rFonts w:ascii="Arial" w:cs="Arial" w:eastAsia="Arial" w:hAnsi="Arial"/>
          <w:sz w:val="17"/>
          <w:szCs w:val="17"/>
          <w:color w:val="auto"/>
        </w:rPr>
        <w:t>The impacts of the pandemic have had, and may continue to have, an adverse impact on the Company’s financial condition, results of operations and liquidity. The Company expects continued uncertainty in its business and the global economy due to the duration and intensity of the COVID-19 pandemic, the duration and extent of economic stimulus, timing and effectiveness of vaccines, and volatility in employment trends and consumer confidence.</w:t>
      </w:r>
    </w:p>
    <w:p>
      <w:pPr>
        <w:spacing w:after="0" w:line="116" w:lineRule="exact"/>
        <w:rPr>
          <w:sz w:val="20"/>
          <w:szCs w:val="20"/>
          <w:color w:val="auto"/>
        </w:rPr>
      </w:pPr>
    </w:p>
    <w:p>
      <w:pPr>
        <w:ind w:left="523" w:hanging="522"/>
        <w:spacing w:after="0"/>
        <w:tabs>
          <w:tab w:leader="none" w:pos="523"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9" w:lineRule="exact"/>
        <w:rPr>
          <w:sz w:val="20"/>
          <w:szCs w:val="20"/>
          <w:color w:val="auto"/>
        </w:rPr>
      </w:pPr>
    </w:p>
    <w:p>
      <w:pPr>
        <w:ind w:left="3" w:right="800"/>
        <w:spacing w:after="0" w:line="243"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All intercompany transactions and balances have been eliminated in consolidation.</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Fiscal Year</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7"/>
          <w:szCs w:val="17"/>
          <w:color w:val="auto"/>
        </w:rPr>
        <w:t>The Company’s fiscal year ends on the Saturday closest to January 31 of each year. The years ended January 30, 2021,</w:t>
      </w:r>
    </w:p>
    <w:p>
      <w:pPr>
        <w:ind w:left="3" w:right="340"/>
        <w:spacing w:after="0" w:line="243" w:lineRule="auto"/>
        <w:rPr>
          <w:sz w:val="20"/>
          <w:szCs w:val="20"/>
          <w:color w:val="auto"/>
        </w:rPr>
      </w:pPr>
      <w:r>
        <w:rPr>
          <w:rFonts w:ascii="Arial" w:cs="Arial" w:eastAsia="Arial" w:hAnsi="Arial"/>
          <w:sz w:val="17"/>
          <w:szCs w:val="17"/>
          <w:color w:val="auto"/>
        </w:rPr>
        <w:t>February 1, 2020 and February 2, 2019 are referred to as fiscal 2020, fiscal 2019 and fiscal 2018, respectively, in the accompanying consolidated financial statements. Fiscal 2020, 2019 and 2018 are all comprised of 52 weeks.</w:t>
      </w:r>
    </w:p>
    <w:p>
      <w:pPr>
        <w:spacing w:after="0" w:line="97"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2" w:lineRule="exact"/>
        <w:rPr>
          <w:sz w:val="20"/>
          <w:szCs w:val="20"/>
          <w:color w:val="auto"/>
        </w:rPr>
      </w:pPr>
    </w:p>
    <w:p>
      <w:pPr>
        <w:ind w:left="3" w:right="200"/>
        <w:spacing w:after="0" w:line="23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6" w:lineRule="exact"/>
        <w:rPr>
          <w:sz w:val="20"/>
          <w:szCs w:val="20"/>
          <w:color w:val="auto"/>
        </w:rPr>
      </w:pPr>
    </w:p>
    <w:p>
      <w:pPr>
        <w:ind w:left="3" w:right="20"/>
        <w:spacing w:after="0" w:line="236" w:lineRule="auto"/>
        <w:rPr>
          <w:sz w:val="20"/>
          <w:szCs w:val="20"/>
          <w:color w:val="auto"/>
        </w:rPr>
      </w:pPr>
      <w:r>
        <w:rPr>
          <w:rFonts w:ascii="Arial" w:cs="Arial" w:eastAsia="Arial" w:hAnsi="Arial"/>
          <w:sz w:val="17"/>
          <w:szCs w:val="17"/>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Cash and Cash Equivalents/Concentration of Credit Risk</w:t>
      </w:r>
    </w:p>
    <w:p>
      <w:pPr>
        <w:spacing w:after="0" w:line="162" w:lineRule="exact"/>
        <w:rPr>
          <w:sz w:val="20"/>
          <w:szCs w:val="20"/>
          <w:color w:val="auto"/>
        </w:rPr>
      </w:pPr>
    </w:p>
    <w:p>
      <w:pPr>
        <w:ind w:left="3" w:right="20"/>
        <w:spacing w:after="0" w:line="235"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2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 and other assumptions for shrinkage activity.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2"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$0.3 million, $0.5 million and $1.3 million in fiscal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is largely self-insured for workers’ compensation costs, general liability claims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recognizes compensation expense associated with all nonvested restricted stock and restricted stock units based on an estimate of the grant-date fair value of each equity award. Grants of time-based and earnings target-based nonvested restricted stock are valued based on the closing stock price on the grant date, while grants of stock price performance-based restricted stock units are valued at an estimate of fair market value using a lattice model. See Note 6 for additional information on the Company’s stock-based compensation plans.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w:t>
      </w:r>
    </w:p>
    <w:p>
      <w:pPr>
        <w:spacing w:after="0" w:line="147"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included in the line item “Accrued expenses” on the consolidated balance sheet and totaled $0.3 million as of both January 30, 2021 and February 1, 2020. The corresponding asset for the recoverable cost of expected refunds is included in “Prepaid and other current assets” and totaled $0.1 million as of both January 30, 2021 and February 1, 2020.</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20"/>
          </w:cols>
          <w:pgMar w:left="860" w:top="517" w:right="8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4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the following table, the Company’s revenue is disaggregated by “Citi” or major category. The following table provides the percentage of net sales for each Citi within the merchandise assortment:</w:t>
      </w:r>
    </w:p>
    <w:p>
      <w:pPr>
        <w:spacing w:after="0" w:line="137" w:lineRule="exact"/>
        <w:rPr>
          <w:sz w:val="20"/>
          <w:szCs w:val="20"/>
          <w:color w:val="auto"/>
        </w:rPr>
      </w:pPr>
    </w:p>
    <w:tbl>
      <w:tblPr>
        <w:tblLayout w:type="fixed"/>
        <w:tblInd w:w="1280" w:type="dxa"/>
        <w:tblCellMar>
          <w:top w:w="0" w:type="dxa"/>
          <w:left w:w="0" w:type="dxa"/>
          <w:bottom w:w="0" w:type="dxa"/>
          <w:right w:w="0" w:type="dxa"/>
        </w:tblCellMar>
      </w:tblPr>
      <w:tr>
        <w:trPr>
          <w:trHeight w:val="175"/>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Citis</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00" w:type="dxa"/>
            <w:vAlign w:val="bottom"/>
            <w:gridSpan w:val="3"/>
            <w:vMerge w:val="continue"/>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79"/>
              </w:rPr>
              <w:t>%</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92"/>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7"/>
                <w:szCs w:val="17"/>
                <w:color w:val="auto"/>
              </w:rPr>
              <w:t>Kids</w:t>
            </w:r>
          </w:p>
        </w:tc>
        <w:tc>
          <w:tcPr>
            <w:tcW w:w="600" w:type="dxa"/>
            <w:vAlign w:val="bottom"/>
            <w:gridSpan w:val="2"/>
          </w:tcPr>
          <w:p>
            <w:pPr>
              <w:jc w:val="right"/>
              <w:ind w:right="41"/>
              <w:spacing w:after="0" w:line="189" w:lineRule="exact"/>
              <w:rPr>
                <w:sz w:val="20"/>
                <w:szCs w:val="20"/>
                <w:color w:val="auto"/>
              </w:rPr>
            </w:pPr>
            <w:r>
              <w:rPr>
                <w:rFonts w:ascii="Arial" w:cs="Arial" w:eastAsia="Arial" w:hAnsi="Arial"/>
                <w:sz w:val="17"/>
                <w:szCs w:val="17"/>
                <w:color w:val="auto"/>
              </w:rPr>
              <w:t>23 %</w:t>
            </w:r>
          </w:p>
        </w:tc>
        <w:tc>
          <w:tcPr>
            <w:tcW w:w="58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23 %</w:t>
            </w:r>
          </w:p>
        </w:tc>
        <w:tc>
          <w:tcPr>
            <w:tcW w:w="66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Mens</w:t>
            </w:r>
          </w:p>
        </w:tc>
        <w:tc>
          <w:tcPr>
            <w:tcW w:w="600" w:type="dxa"/>
            <w:vAlign w:val="bottom"/>
            <w:gridSpan w:val="2"/>
            <w:shd w:val="clear" w:color="auto" w:fill="CCEEFF"/>
          </w:tcPr>
          <w:p>
            <w:pPr>
              <w:jc w:val="right"/>
              <w:ind w:right="41"/>
              <w:spacing w:after="0" w:line="189" w:lineRule="exact"/>
              <w:rPr>
                <w:sz w:val="20"/>
                <w:szCs w:val="20"/>
                <w:color w:val="auto"/>
              </w:rPr>
            </w:pPr>
            <w:r>
              <w:rPr>
                <w:rFonts w:ascii="Arial" w:cs="Arial" w:eastAsia="Arial" w:hAnsi="Arial"/>
                <w:sz w:val="17"/>
                <w:szCs w:val="17"/>
                <w:color w:val="auto"/>
              </w:rPr>
              <w:t>18 %</w:t>
            </w:r>
          </w:p>
        </w:tc>
        <w:tc>
          <w:tcPr>
            <w:tcW w:w="5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16 %</w:t>
            </w:r>
          </w:p>
        </w:tc>
        <w:tc>
          <w:tcPr>
            <w:tcW w:w="66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Arial" w:cs="Arial" w:eastAsia="Arial" w:hAnsi="Arial"/>
                <w:sz w:val="17"/>
                <w:szCs w:val="17"/>
                <w:color w:val="auto"/>
              </w:rPr>
              <w:t>Accessories &amp; Beauty</w:t>
            </w:r>
          </w:p>
        </w:tc>
        <w:tc>
          <w:tcPr>
            <w:tcW w:w="600" w:type="dxa"/>
            <w:vAlign w:val="bottom"/>
            <w:gridSpan w:val="2"/>
          </w:tcPr>
          <w:p>
            <w:pPr>
              <w:jc w:val="right"/>
              <w:ind w:right="41"/>
              <w:spacing w:after="0" w:line="189" w:lineRule="exact"/>
              <w:rPr>
                <w:sz w:val="20"/>
                <w:szCs w:val="20"/>
                <w:color w:val="auto"/>
              </w:rPr>
            </w:pPr>
            <w:r>
              <w:rPr>
                <w:rFonts w:ascii="Arial" w:cs="Arial" w:eastAsia="Arial" w:hAnsi="Arial"/>
                <w:sz w:val="17"/>
                <w:szCs w:val="17"/>
                <w:color w:val="auto"/>
              </w:rPr>
              <w:t>16 %</w:t>
            </w:r>
          </w:p>
        </w:tc>
        <w:tc>
          <w:tcPr>
            <w:tcW w:w="58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17 %</w:t>
            </w:r>
          </w:p>
        </w:tc>
        <w:tc>
          <w:tcPr>
            <w:tcW w:w="66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00" w:type="dxa"/>
            <w:vAlign w:val="bottom"/>
            <w:gridSpan w:val="2"/>
            <w:shd w:val="clear" w:color="auto" w:fill="CCEEFF"/>
          </w:tcPr>
          <w:p>
            <w:pPr>
              <w:jc w:val="right"/>
              <w:ind w:right="41"/>
              <w:spacing w:after="0" w:line="189" w:lineRule="exact"/>
              <w:rPr>
                <w:sz w:val="20"/>
                <w:szCs w:val="20"/>
                <w:color w:val="auto"/>
              </w:rPr>
            </w:pPr>
            <w:r>
              <w:rPr>
                <w:rFonts w:ascii="Arial" w:cs="Arial" w:eastAsia="Arial" w:hAnsi="Arial"/>
                <w:sz w:val="17"/>
                <w:szCs w:val="17"/>
                <w:color w:val="auto"/>
              </w:rPr>
              <w:t>9 %</w:t>
            </w:r>
          </w:p>
        </w:tc>
        <w:tc>
          <w:tcPr>
            <w:tcW w:w="58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7 %</w:t>
            </w:r>
          </w:p>
        </w:tc>
        <w:tc>
          <w:tcPr>
            <w:tcW w:w="66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600" w:type="dxa"/>
            <w:vAlign w:val="bottom"/>
            <w:gridSpan w:val="2"/>
          </w:tcPr>
          <w:p>
            <w:pPr>
              <w:jc w:val="right"/>
              <w:ind w:right="41"/>
              <w:spacing w:after="0"/>
              <w:rPr>
                <w:sz w:val="20"/>
                <w:szCs w:val="20"/>
                <w:color w:val="auto"/>
              </w:rPr>
            </w:pPr>
            <w:r>
              <w:rPr>
                <w:rFonts w:ascii="Arial" w:cs="Arial" w:eastAsia="Arial" w:hAnsi="Arial"/>
                <w:sz w:val="17"/>
                <w:szCs w:val="17"/>
                <w:color w:val="auto"/>
              </w:rPr>
              <w:t>8 %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11 %</w:t>
            </w:r>
          </w:p>
        </w:tc>
        <w:tc>
          <w:tcPr>
            <w:tcW w:w="660" w:type="dxa"/>
            <w:vAlign w:val="bottom"/>
            <w:gridSpan w:val="2"/>
          </w:tcPr>
          <w:p>
            <w:pPr>
              <w:jc w:val="right"/>
              <w:ind w:right="35"/>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2020, 2019 and 2018 were $20.3 million, $20.8 million and $17.6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36"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5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r>
      <w:tr>
        <w:trPr>
          <w:trHeight w:val="183"/>
        </w:trPr>
        <w:tc>
          <w:tcPr>
            <w:tcW w:w="6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common shares outstanding</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10,282,718</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11,673,887</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13,030,063</w:t>
            </w:r>
          </w:p>
        </w:tc>
        <w:tc>
          <w:tcPr>
            <w:tcW w:w="100" w:type="dxa"/>
            <w:vAlign w:val="bottom"/>
            <w:shd w:val="clear" w:color="auto" w:fill="CCEEFF"/>
          </w:tcPr>
          <w:p>
            <w:pPr>
              <w:spacing w:after="0"/>
              <w:rPr>
                <w:sz w:val="15"/>
                <w:szCs w:val="15"/>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Incremental shares from assumed vesting of nonvested restricted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42,521</w:t>
            </w:r>
          </w:p>
        </w:tc>
        <w:tc>
          <w:tcPr>
            <w:tcW w:w="2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25,113</w:t>
            </w: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39,631</w:t>
            </w:r>
          </w:p>
        </w:tc>
        <w:tc>
          <w:tcPr>
            <w:tcW w:w="100" w:type="dxa"/>
            <w:vAlign w:val="bottom"/>
            <w:tcBorders>
              <w:bottom w:val="single" w:sz="8" w:color="CCEEFF"/>
            </w:tcBorders>
          </w:tcPr>
          <w:p>
            <w:pPr>
              <w:spacing w:after="0"/>
              <w:rPr>
                <w:sz w:val="17"/>
                <w:szCs w:val="17"/>
                <w:color w:val="auto"/>
              </w:rPr>
            </w:pPr>
          </w:p>
        </w:tc>
      </w:tr>
      <w:tr>
        <w:trPr>
          <w:trHeight w:val="183"/>
        </w:trPr>
        <w:tc>
          <w:tcPr>
            <w:tcW w:w="65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Average number of common shares and common stock equivalents outstanding</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10,325,239</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11,699,000</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13,069,694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The Company includes as assumed proceeds the amount of compensation costs attributed to future services and not yet recognized. For fiscal 2020, 2019 and 2018, respectively, there were 131,000, 128,000 and 124,000 shares of nonvested restricted stock excluded from the calculation of diluted earnings per share because of antidilution.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4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Company expenses advertising as incurred. Advertising expense for fiscal 2020, 2019 and 2018 was $1.6 million, $1.8 million and $1.7 million,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Company leases all of its retail store locations and certain office space and equipment. All leases are classified as operating leases. The Company records right-of-use assets and lease liabilities based on the present value of future minimum lease payments over the lease term. In determining the present value of lease payments, the Company uses an incremental borrowing rate that approximates the rate of interest the Company would have to pay to borrow on a collateralized basis over a similar term. The Company’s lessors do not provide an implicit rate, nor is one readily available, therefore the incremental borrowing rate is determined based on a buildup approach which utilizes rates and terms from the Company’s existing borrowing facility with adjustments to bridge for impacts to the rate due to differences in collateral, terms and payments. The Company records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Operating Segment</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is a specialty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49"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Changes to U.S. GAAP are established by the Financial Accounting Standards Board (“FASB”) in the form of accounting standards updates (“ASUs”) to the FASB’s Accounting Standards Codification (ASC).</w:t>
      </w:r>
    </w:p>
    <w:p>
      <w:pPr>
        <w:spacing w:after="0" w:line="1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Company considers the applicability and impact of all ASUs. ASUs not listed below were assessed and determined to be either not applicable or are expected to have an immaterial impact on the Company’s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7" w:name="page48"/>
    <w:bookmarkEnd w:id="47"/>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Recently Adopted</w:t>
      </w:r>
    </w:p>
    <w:p>
      <w:pPr>
        <w:spacing w:after="0" w:line="147" w:lineRule="exact"/>
        <w:rPr>
          <w:sz w:val="20"/>
          <w:szCs w:val="20"/>
          <w:color w:val="auto"/>
        </w:rPr>
      </w:pPr>
    </w:p>
    <w:p>
      <w:pPr>
        <w:ind w:left="2" w:right="60"/>
        <w:spacing w:after="0" w:line="233" w:lineRule="auto"/>
        <w:rPr>
          <w:sz w:val="20"/>
          <w:szCs w:val="20"/>
          <w:color w:val="auto"/>
        </w:rPr>
      </w:pPr>
      <w:r>
        <w:rPr>
          <w:rFonts w:ascii="Arial" w:cs="Arial" w:eastAsia="Arial" w:hAnsi="Arial"/>
          <w:sz w:val="17"/>
          <w:szCs w:val="17"/>
          <w:color w:val="auto"/>
        </w:rPr>
        <w:t>In February 2016, the FASB issued ASU No. 2016-02, Leases (Topic 842), as amended. The new standard established a right-of-use model that requires a lessee to record a right-of-use asset and a lease liability on the balance sheet for all leases with terms longer than 12 months. The Company adopted ASU 2016-02 on February 3, 2019 using the optional transition method, which allows for the prospective application of the standard. In addition, the Company elected the package of practical expedients for transition, which permitted it to not reassess prior conclusions regarding lease classification, identification or initial direct costs. Further, the Company elected a short-term lease exception policy which permitted it to not apply the recognition requirements of the new standard to short-term leases (leases with terms of 12 months or less). The Company also elected an accounting policy to account for lease and non-lease components as a single component for certain classes of assets. The Company did not elect an optional hindsight practical expedient. Operating lease ROU assets and lease liabilities are recognized based on the present value of lease payments over the lease term. The present value of lease payments was determined using the Company’s incremental borrowing rate. Our lessors do not provide an implicit rate, nor is one readily available, therefore we determined an incremental borrowing rate based on a buildup approach which utilizes rates and terms from the Company’s existing borrowing facility with adjustments to bridge for impacts to the rate due to differences in collateral, terms and payments. Adoption of the new standard resulted in the recording of operating lease right-of-use assets and operating lease liabilities of approximately $133.6 million and $141.0 million, respectively, as of February 3, 2019. The difference between the lease assets and lease liabilities was primarily due to reclassification of lease incentives, as well as impairment of operating lease right-of-use assets for stores previously impaired as of the effective date. Lease impairment, net of the related deferred taxes, totaled approximately $2.1 million as of February 3, 2019 and is reflected as an adjustment to retained earnings at the transition date.</w:t>
      </w:r>
    </w:p>
    <w:p>
      <w:pPr>
        <w:spacing w:after="0" w:line="115" w:lineRule="exact"/>
        <w:rPr>
          <w:sz w:val="20"/>
          <w:szCs w:val="20"/>
          <w:color w:val="auto"/>
        </w:rPr>
      </w:pPr>
    </w:p>
    <w:tbl>
      <w:tblPr>
        <w:tblLayout w:type="fixed"/>
        <w:tblInd w:w="2" w:type="dxa"/>
        <w:tblCellMar>
          <w:top w:w="0" w:type="dxa"/>
          <w:left w:w="0" w:type="dxa"/>
          <w:bottom w:w="0" w:type="dxa"/>
          <w:right w:w="0" w:type="dxa"/>
        </w:tblCellMar>
      </w:tblPr>
      <w:tr>
        <w:trPr>
          <w:trHeight w:val="225"/>
        </w:trPr>
        <w:tc>
          <w:tcPr>
            <w:tcW w:w="320" w:type="dxa"/>
            <w:vAlign w:val="bottom"/>
          </w:tcPr>
          <w:p>
            <w:pPr>
              <w:spacing w:after="0"/>
              <w:rPr>
                <w:sz w:val="20"/>
                <w:szCs w:val="20"/>
                <w:color w:val="auto"/>
              </w:rPr>
            </w:pPr>
            <w:r>
              <w:rPr>
                <w:rFonts w:ascii="Arial" w:cs="Arial" w:eastAsia="Arial" w:hAnsi="Arial"/>
                <w:sz w:val="17"/>
                <w:szCs w:val="17"/>
                <w:b w:val="1"/>
                <w:bCs w:val="1"/>
                <w:color w:val="auto"/>
              </w:rPr>
              <w:t>3.</w:t>
            </w:r>
          </w:p>
        </w:tc>
        <w:tc>
          <w:tcPr>
            <w:tcW w:w="5840" w:type="dxa"/>
            <w:vAlign w:val="bottom"/>
            <w:gridSpan w:val="2"/>
          </w:tcPr>
          <w:p>
            <w:pPr>
              <w:ind w:left="200"/>
              <w:spacing w:after="0"/>
              <w:rPr>
                <w:sz w:val="20"/>
                <w:szCs w:val="20"/>
                <w:color w:val="auto"/>
              </w:rPr>
            </w:pPr>
            <w:r>
              <w:rPr>
                <w:rFonts w:ascii="Arial" w:cs="Arial" w:eastAsia="Arial" w:hAnsi="Arial"/>
                <w:sz w:val="17"/>
                <w:szCs w:val="17"/>
                <w:b w:val="1"/>
                <w:bCs w:val="1"/>
                <w:color w:val="auto"/>
              </w:rPr>
              <w:t>Property and Equipment, net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8"/>
        </w:trPr>
        <w:tc>
          <w:tcPr>
            <w:tcW w:w="6160" w:type="dxa"/>
            <w:vAlign w:val="bottom"/>
            <w:gridSpan w:val="3"/>
          </w:tcPr>
          <w:p>
            <w:pPr>
              <w:spacing w:after="0"/>
              <w:rPr>
                <w:sz w:val="20"/>
                <w:szCs w:val="20"/>
                <w:color w:val="auto"/>
              </w:rPr>
            </w:pPr>
            <w:r>
              <w:rPr>
                <w:rFonts w:ascii="Arial" w:cs="Arial" w:eastAsia="Arial" w:hAnsi="Arial"/>
                <w:sz w:val="17"/>
                <w:szCs w:val="17"/>
                <w:color w:val="auto"/>
              </w:rPr>
              <w:t>Property and equipment, net, consists of the following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January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February 1,</w:t>
            </w:r>
          </w:p>
        </w:tc>
      </w:tr>
      <w:tr>
        <w:trPr>
          <w:trHeight w:val="175"/>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Land</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w:t>
            </w:r>
          </w:p>
        </w:tc>
        <w:tc>
          <w:tcPr>
            <w:tcW w:w="40" w:type="dxa"/>
            <w:vAlign w:val="bottom"/>
            <w:shd w:val="clear" w:color="auto" w:fill="CCEEFF"/>
          </w:tcPr>
          <w:p>
            <w:pPr>
              <w:spacing w:after="0"/>
              <w:rPr>
                <w:sz w:val="15"/>
                <w:szCs w:val="15"/>
                <w:color w:val="auto"/>
              </w:rPr>
            </w:pPr>
          </w:p>
        </w:tc>
      </w:tr>
      <w:tr>
        <w:trPr>
          <w:trHeight w:val="203"/>
        </w:trPr>
        <w:tc>
          <w:tcPr>
            <w:tcW w:w="320" w:type="dxa"/>
            <w:vAlign w:val="bottom"/>
          </w:tcPr>
          <w:p>
            <w:pPr>
              <w:spacing w:after="0"/>
              <w:rPr>
                <w:sz w:val="17"/>
                <w:szCs w:val="17"/>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color w:val="auto"/>
              </w:rPr>
              <w:t>Buildings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31,642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31,158</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103,919</w:t>
            </w:r>
          </w:p>
        </w:tc>
        <w:tc>
          <w:tcPr>
            <w:tcW w:w="40" w:type="dxa"/>
            <w:vAlign w:val="bottom"/>
            <w:shd w:val="clear" w:color="auto" w:fill="CCEEFF"/>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color w:val="auto"/>
              </w:rPr>
              <w:t>Furniture, fixtures and equipment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148,332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142,953</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40,096</w:t>
            </w:r>
          </w:p>
        </w:tc>
        <w:tc>
          <w:tcPr>
            <w:tcW w:w="40" w:type="dxa"/>
            <w:vAlign w:val="bottom"/>
            <w:shd w:val="clear" w:color="auto" w:fill="CCEEFF"/>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color w:val="auto"/>
              </w:rPr>
              <w:t>Construction in progress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8,950</w:t>
            </w:r>
          </w:p>
        </w:tc>
        <w:tc>
          <w:tcPr>
            <w:tcW w:w="40" w:type="dxa"/>
            <w:vAlign w:val="bottom"/>
          </w:tcPr>
          <w:p>
            <w:pPr>
              <w:spacing w:after="0"/>
              <w:rPr>
                <w:sz w:val="17"/>
                <w:szCs w:val="17"/>
                <w:color w:val="auto"/>
              </w:rPr>
            </w:pPr>
          </w:p>
        </w:tc>
      </w:tr>
      <w:tr>
        <w:trPr>
          <w:trHeight w:val="183"/>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342,594</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327,555</w:t>
            </w: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320" w:type="dxa"/>
            <w:vAlign w:val="bottom"/>
          </w:tcPr>
          <w:p>
            <w:pPr>
              <w:spacing w:after="0"/>
              <w:rPr>
                <w:sz w:val="17"/>
                <w:szCs w:val="17"/>
                <w:color w:val="auto"/>
              </w:rPr>
            </w:pPr>
          </w:p>
        </w:tc>
        <w:tc>
          <w:tcPr>
            <w:tcW w:w="5840" w:type="dxa"/>
            <w:vAlign w:val="bottom"/>
            <w:gridSpan w:val="2"/>
          </w:tcPr>
          <w:p>
            <w:pPr>
              <w:ind w:left="720"/>
              <w:spacing w:after="0"/>
              <w:rPr>
                <w:sz w:val="20"/>
                <w:szCs w:val="20"/>
                <w:color w:val="auto"/>
              </w:rPr>
            </w:pPr>
            <w:r>
              <w:rPr>
                <w:rFonts w:ascii="Arial" w:cs="Arial" w:eastAsia="Arial" w:hAnsi="Arial"/>
                <w:sz w:val="17"/>
                <w:szCs w:val="17"/>
                <w:color w:val="auto"/>
              </w:rPr>
              <w:t>Accumulated depreciation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(279,080)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(262,570)</w:t>
            </w:r>
          </w:p>
        </w:tc>
        <w:tc>
          <w:tcPr>
            <w:tcW w:w="40" w:type="dxa"/>
            <w:vAlign w:val="bottom"/>
          </w:tcPr>
          <w:p>
            <w:pPr>
              <w:spacing w:after="0"/>
              <w:rPr>
                <w:sz w:val="17"/>
                <w:szCs w:val="17"/>
                <w:color w:val="auto"/>
              </w:rPr>
            </w:pPr>
          </w:p>
        </w:tc>
      </w:tr>
      <w:tr>
        <w:trPr>
          <w:trHeight w:val="183"/>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63,514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64,985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1" w:lineRule="exact"/>
        <w:rPr>
          <w:sz w:val="20"/>
          <w:szCs w:val="20"/>
          <w:color w:val="auto"/>
        </w:rPr>
      </w:pPr>
    </w:p>
    <w:p>
      <w:pPr>
        <w:ind w:left="522" w:hanging="522"/>
        <w:spacing w:after="0"/>
        <w:tabs>
          <w:tab w:leader="none" w:pos="52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Revolving Line of Credit</w:t>
      </w:r>
    </w:p>
    <w:p>
      <w:pPr>
        <w:spacing w:after="0" w:line="149" w:lineRule="exact"/>
        <w:rPr>
          <w:sz w:val="20"/>
          <w:szCs w:val="20"/>
          <w:color w:val="auto"/>
        </w:rPr>
      </w:pPr>
    </w:p>
    <w:p>
      <w:pPr>
        <w:jc w:val="both"/>
        <w:ind w:left="2" w:right="220"/>
        <w:spacing w:after="0" w:line="238"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facility was amended again on May 12, 2020, extending the maturity date to August 18, 2021.</w:t>
      </w:r>
    </w:p>
    <w:p>
      <w:pPr>
        <w:spacing w:after="0" w:line="134" w:lineRule="exact"/>
        <w:rPr>
          <w:sz w:val="20"/>
          <w:szCs w:val="20"/>
          <w:color w:val="auto"/>
        </w:rPr>
      </w:pPr>
    </w:p>
    <w:p>
      <w:pPr>
        <w:ind w:left="2" w:right="80" w:firstLine="48"/>
        <w:spacing w:after="0" w:line="235" w:lineRule="auto"/>
        <w:rPr>
          <w:sz w:val="20"/>
          <w:szCs w:val="20"/>
          <w:color w:val="auto"/>
        </w:rPr>
      </w:pPr>
      <w:r>
        <w:rPr>
          <w:rFonts w:ascii="Arial" w:cs="Arial" w:eastAsia="Arial" w:hAnsi="Arial"/>
          <w:sz w:val="17"/>
          <w:szCs w:val="17"/>
          <w:color w:val="auto"/>
        </w:rPr>
        <w:t>The facility provides a $50 million credit commitment and a $25 million uncommitted “accordion” feature that under certain circumstances could allow the Company to increase the size of the facility to $75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136" w:lineRule="exact"/>
        <w:rPr>
          <w:sz w:val="20"/>
          <w:szCs w:val="20"/>
          <w:color w:val="auto"/>
        </w:rPr>
      </w:pPr>
    </w:p>
    <w:p>
      <w:pPr>
        <w:ind w:left="2"/>
        <w:spacing w:after="0" w:line="236" w:lineRule="auto"/>
        <w:rPr>
          <w:sz w:val="20"/>
          <w:szCs w:val="20"/>
          <w:color w:val="auto"/>
        </w:rPr>
      </w:pPr>
      <w:r>
        <w:rPr>
          <w:rFonts w:ascii="Arial" w:cs="Arial" w:eastAsia="Arial" w:hAnsi="Arial"/>
          <w:sz w:val="17"/>
          <w:szCs w:val="17"/>
          <w:color w:val="auto"/>
        </w:rPr>
        <w:t>Borrowings under the facility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w:t>
      </w:r>
    </w:p>
    <w:p>
      <w:pPr>
        <w:spacing w:after="0" w:line="122" w:lineRule="exact"/>
        <w:rPr>
          <w:sz w:val="20"/>
          <w:szCs w:val="20"/>
          <w:color w:val="auto"/>
        </w:rPr>
      </w:pPr>
    </w:p>
    <w:p>
      <w:pPr>
        <w:jc w:val="both"/>
        <w:ind w:left="2" w:right="260"/>
        <w:spacing w:after="0" w:line="238" w:lineRule="auto"/>
        <w:rPr>
          <w:sz w:val="20"/>
          <w:szCs w:val="20"/>
          <w:color w:val="auto"/>
        </w:rPr>
      </w:pPr>
      <w:r>
        <w:rPr>
          <w:rFonts w:ascii="Arial" w:cs="Arial" w:eastAsia="Arial" w:hAnsi="Arial"/>
          <w:sz w:val="17"/>
          <w:szCs w:val="17"/>
          <w:color w:val="auto"/>
        </w:rPr>
        <w:t>On March 20, 2020, in response to the COVID-19 pandemic, the Company borrowed $43.7 million on the credit facility to enhance its liquidity position. On September 11, 2020, the Company repaid the full amount outstanding under the credit facility. Such borrowings accrued interest ranging from 1.625% to 3.5%.</w:t>
      </w:r>
    </w:p>
    <w:p>
      <w:pPr>
        <w:spacing w:after="0" w:line="200" w:lineRule="exact"/>
        <w:rPr>
          <w:sz w:val="20"/>
          <w:szCs w:val="20"/>
          <w:color w:val="auto"/>
        </w:rPr>
      </w:pPr>
    </w:p>
    <w:p>
      <w:pPr>
        <w:spacing w:after="0" w:line="27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5493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2"/>
          </w:cols>
          <w:pgMar w:left="858" w:top="517" w:right="7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 w:type="dxa"/>
            <w:vAlign w:val="bottom"/>
          </w:tcPr>
          <w:p>
            <w:pPr>
              <w:spacing w:after="0"/>
              <w:rPr>
                <w:sz w:val="20"/>
                <w:szCs w:val="20"/>
                <w:color w:val="auto"/>
              </w:rPr>
            </w:pPr>
            <w:r>
              <w:rPr>
                <w:rFonts w:ascii="Arial" w:cs="Arial" w:eastAsia="Arial" w:hAnsi="Arial"/>
                <w:sz w:val="17"/>
                <w:szCs w:val="17"/>
                <w:b w:val="1"/>
                <w:bCs w:val="1"/>
                <w:color w:val="auto"/>
              </w:rPr>
              <w:t>5.</w:t>
            </w:r>
          </w:p>
        </w:tc>
        <w:tc>
          <w:tcPr>
            <w:tcW w:w="5180" w:type="dxa"/>
            <w:vAlign w:val="bottom"/>
            <w:gridSpan w:val="2"/>
          </w:tcPr>
          <w:p>
            <w:pPr>
              <w:ind w:left="240"/>
              <w:spacing w:after="0"/>
              <w:rPr>
                <w:sz w:val="20"/>
                <w:szCs w:val="20"/>
                <w:color w:val="auto"/>
              </w:rPr>
            </w:pPr>
            <w:r>
              <w:rPr>
                <w:rFonts w:ascii="Arial" w:cs="Arial" w:eastAsia="Arial" w:hAnsi="Arial"/>
                <w:sz w:val="17"/>
                <w:szCs w:val="17"/>
                <w:b w:val="1"/>
                <w:bCs w:val="1"/>
                <w:color w:val="auto"/>
              </w:rPr>
              <w:t>Income Taxes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7"/>
                <w:szCs w:val="17"/>
                <w:color w:val="auto"/>
              </w:rPr>
              <w:t>Income tax expense consists of the following (in thousands):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169"/>
        </w:trPr>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60" w:type="dxa"/>
            <w:vAlign w:val="bottom"/>
            <w:shd w:val="clear" w:color="auto" w:fill="CCEEFF"/>
          </w:tcPr>
          <w:p>
            <w:pPr>
              <w:spacing w:after="0"/>
              <w:rPr>
                <w:sz w:val="14"/>
                <w:szCs w:val="14"/>
                <w:color w:val="auto"/>
              </w:rPr>
            </w:pPr>
          </w:p>
        </w:tc>
      </w:tr>
      <w:tr>
        <w:trPr>
          <w:trHeight w:val="183"/>
        </w:trPr>
        <w:tc>
          <w:tcPr>
            <w:tcW w:w="400" w:type="dxa"/>
            <w:vAlign w:val="bottom"/>
          </w:tcPr>
          <w:p>
            <w:pPr>
              <w:spacing w:after="0"/>
              <w:rPr>
                <w:sz w:val="15"/>
                <w:szCs w:val="15"/>
                <w:color w:val="auto"/>
              </w:rPr>
            </w:pPr>
          </w:p>
        </w:tc>
        <w:tc>
          <w:tcPr>
            <w:tcW w:w="5180" w:type="dxa"/>
            <w:vAlign w:val="bottom"/>
            <w:gridSpan w:val="2"/>
          </w:tcPr>
          <w:p>
            <w:pPr>
              <w:ind w:left="640"/>
              <w:spacing w:after="0" w:line="183" w:lineRule="exact"/>
              <w:rPr>
                <w:sz w:val="20"/>
                <w:szCs w:val="20"/>
                <w:color w:val="auto"/>
              </w:rPr>
            </w:pPr>
            <w:r>
              <w:rPr>
                <w:rFonts w:ascii="Arial" w:cs="Arial" w:eastAsia="Arial" w:hAnsi="Arial"/>
                <w:sz w:val="17"/>
                <w:szCs w:val="17"/>
                <w:color w:val="auto"/>
              </w:rPr>
              <w:t>Current: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Federal</w:t>
            </w:r>
          </w:p>
        </w:tc>
        <w:tc>
          <w:tcPr>
            <w:tcW w:w="1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(5,538)</w:t>
            </w:r>
          </w:p>
        </w:tc>
        <w:tc>
          <w:tcPr>
            <w:tcW w:w="3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(2,650)</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(4,326)</w:t>
            </w:r>
          </w:p>
        </w:tc>
        <w:tc>
          <w:tcPr>
            <w:tcW w:w="60" w:type="dxa"/>
            <w:vAlign w:val="bottom"/>
            <w:shd w:val="clear" w:color="auto" w:fill="CCEEFF"/>
          </w:tcPr>
          <w:p>
            <w:pPr>
              <w:spacing w:after="0"/>
              <w:rPr>
                <w:sz w:val="16"/>
                <w:szCs w:val="16"/>
                <w:color w:val="auto"/>
              </w:rPr>
            </w:pPr>
          </w:p>
        </w:tc>
      </w:tr>
      <w:tr>
        <w:trPr>
          <w:trHeight w:val="189"/>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Borders>
              <w:bottom w:val="single" w:sz="8" w:color="CCEEFF"/>
            </w:tcBorders>
          </w:tcPr>
          <w:p>
            <w:pPr>
              <w:ind w:left="200"/>
              <w:spacing w:after="0" w:line="189" w:lineRule="exact"/>
              <w:rPr>
                <w:sz w:val="20"/>
                <w:szCs w:val="20"/>
                <w:color w:val="auto"/>
              </w:rPr>
            </w:pPr>
            <w:r>
              <w:rPr>
                <w:rFonts w:ascii="Arial" w:cs="Arial" w:eastAsia="Arial" w:hAnsi="Arial"/>
                <w:sz w:val="17"/>
                <w:szCs w:val="17"/>
                <w:color w:val="auto"/>
              </w:rPr>
              <w:t>State</w:t>
            </w: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(1,405)</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(945)</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(1,390)</w:t>
            </w:r>
          </w:p>
        </w:tc>
        <w:tc>
          <w:tcPr>
            <w:tcW w:w="60" w:type="dxa"/>
            <w:vAlign w:val="bottom"/>
            <w:tcBorders>
              <w:bottom w:val="single" w:sz="8" w:color="CCEEFF"/>
            </w:tcBorders>
          </w:tcPr>
          <w:p>
            <w:pPr>
              <w:spacing w:after="0"/>
              <w:rPr>
                <w:sz w:val="16"/>
                <w:szCs w:val="16"/>
                <w:color w:val="auto"/>
              </w:rPr>
            </w:pPr>
          </w:p>
        </w:tc>
      </w:tr>
      <w:tr>
        <w:trPr>
          <w:trHeight w:val="18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540" w:type="dxa"/>
            <w:vAlign w:val="bottom"/>
            <w:shd w:val="clear" w:color="auto" w:fill="CCEEFF"/>
          </w:tcPr>
          <w:p>
            <w:pPr>
              <w:ind w:left="320"/>
              <w:spacing w:after="0" w:line="183" w:lineRule="exact"/>
              <w:rPr>
                <w:sz w:val="20"/>
                <w:szCs w:val="20"/>
                <w:color w:val="auto"/>
              </w:rPr>
            </w:pPr>
            <w:r>
              <w:rPr>
                <w:rFonts w:ascii="Arial" w:cs="Arial" w:eastAsia="Arial" w:hAnsi="Arial"/>
                <w:sz w:val="17"/>
                <w:szCs w:val="17"/>
                <w:color w:val="auto"/>
              </w:rPr>
              <w:t>Total current</w:t>
            </w:r>
          </w:p>
        </w:tc>
        <w:tc>
          <w:tcPr>
            <w:tcW w:w="10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(6,943)</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(3,595)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(5,716)</w:t>
            </w:r>
          </w:p>
        </w:tc>
        <w:tc>
          <w:tcPr>
            <w:tcW w:w="60" w:type="dxa"/>
            <w:vAlign w:val="bottom"/>
            <w:shd w:val="clear" w:color="auto" w:fill="CCEEFF"/>
          </w:tcPr>
          <w:p>
            <w:pPr>
              <w:spacing w:after="0"/>
              <w:rPr>
                <w:sz w:val="15"/>
                <w:szCs w:val="15"/>
                <w:color w:val="auto"/>
              </w:rPr>
            </w:pPr>
          </w:p>
        </w:tc>
      </w:tr>
      <w:tr>
        <w:trPr>
          <w:trHeight w:val="183"/>
        </w:trPr>
        <w:tc>
          <w:tcPr>
            <w:tcW w:w="400" w:type="dxa"/>
            <w:vAlign w:val="bottom"/>
          </w:tcPr>
          <w:p>
            <w:pPr>
              <w:spacing w:after="0"/>
              <w:rPr>
                <w:sz w:val="15"/>
                <w:szCs w:val="15"/>
                <w:color w:val="auto"/>
              </w:rPr>
            </w:pPr>
          </w:p>
        </w:tc>
        <w:tc>
          <w:tcPr>
            <w:tcW w:w="5180" w:type="dxa"/>
            <w:vAlign w:val="bottom"/>
            <w:gridSpan w:val="2"/>
          </w:tcPr>
          <w:p>
            <w:pPr>
              <w:ind w:left="640"/>
              <w:spacing w:after="0" w:line="183" w:lineRule="exact"/>
              <w:rPr>
                <w:sz w:val="20"/>
                <w:szCs w:val="20"/>
                <w:color w:val="auto"/>
              </w:rPr>
            </w:pPr>
            <w:r>
              <w:rPr>
                <w:rFonts w:ascii="Arial" w:cs="Arial" w:eastAsia="Arial" w:hAnsi="Arial"/>
                <w:sz w:val="17"/>
                <w:szCs w:val="17"/>
                <w:color w:val="auto"/>
              </w:rPr>
              <w:t>Deferred:</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Federal</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619</w:t>
            </w:r>
          </w:p>
        </w:tc>
        <w:tc>
          <w:tcPr>
            <w:tcW w:w="60" w:type="dxa"/>
            <w:vAlign w:val="bottom"/>
            <w:shd w:val="clear" w:color="auto" w:fill="CCEEFF"/>
          </w:tcPr>
          <w:p>
            <w:pPr>
              <w:spacing w:after="0"/>
              <w:rPr>
                <w:sz w:val="16"/>
                <w:szCs w:val="16"/>
                <w:color w:val="auto"/>
              </w:rPr>
            </w:pPr>
          </w:p>
        </w:tc>
      </w:tr>
      <w:tr>
        <w:trPr>
          <w:trHeight w:val="189"/>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Borders>
              <w:bottom w:val="single" w:sz="8" w:color="CCEEFF"/>
            </w:tcBorders>
          </w:tcPr>
          <w:p>
            <w:pPr>
              <w:ind w:left="200"/>
              <w:spacing w:after="0" w:line="189" w:lineRule="exact"/>
              <w:rPr>
                <w:sz w:val="20"/>
                <w:szCs w:val="20"/>
                <w:color w:val="auto"/>
              </w:rPr>
            </w:pPr>
            <w:r>
              <w:rPr>
                <w:rFonts w:ascii="Arial" w:cs="Arial" w:eastAsia="Arial" w:hAnsi="Arial"/>
                <w:sz w:val="17"/>
                <w:szCs w:val="17"/>
                <w:color w:val="auto"/>
              </w:rPr>
              <w:t>State</w:t>
            </w: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114</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143</w:t>
            </w:r>
          </w:p>
        </w:tc>
        <w:tc>
          <w:tcPr>
            <w:tcW w:w="60" w:type="dxa"/>
            <w:vAlign w:val="bottom"/>
            <w:tcBorders>
              <w:bottom w:val="single" w:sz="8" w:color="CCEEFF"/>
            </w:tcBorders>
          </w:tcPr>
          <w:p>
            <w:pPr>
              <w:spacing w:after="0"/>
              <w:rPr>
                <w:sz w:val="16"/>
                <w:szCs w:val="16"/>
                <w:color w:val="auto"/>
              </w:rPr>
            </w:pPr>
          </w:p>
        </w:tc>
      </w:tr>
      <w:tr>
        <w:trPr>
          <w:trHeight w:val="18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540" w:type="dxa"/>
            <w:vAlign w:val="bottom"/>
            <w:shd w:val="clear" w:color="auto" w:fill="CCEEFF"/>
          </w:tcPr>
          <w:p>
            <w:pPr>
              <w:ind w:left="320"/>
              <w:spacing w:after="0" w:line="183" w:lineRule="exact"/>
              <w:rPr>
                <w:sz w:val="20"/>
                <w:szCs w:val="20"/>
                <w:color w:val="auto"/>
              </w:rPr>
            </w:pPr>
            <w:r>
              <w:rPr>
                <w:rFonts w:ascii="Arial" w:cs="Arial" w:eastAsia="Arial" w:hAnsi="Arial"/>
                <w:sz w:val="17"/>
                <w:szCs w:val="17"/>
                <w:color w:val="auto"/>
              </w:rPr>
              <w:t>Total deferred</w:t>
            </w:r>
          </w:p>
        </w:tc>
        <w:tc>
          <w:tcPr>
            <w:tcW w:w="10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(474)</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762</w:t>
            </w:r>
          </w:p>
        </w:tc>
        <w:tc>
          <w:tcPr>
            <w:tcW w:w="60" w:type="dxa"/>
            <w:vAlign w:val="bottom"/>
            <w:shd w:val="clear" w:color="auto" w:fill="CCEEFF"/>
          </w:tcPr>
          <w:p>
            <w:pPr>
              <w:spacing w:after="0"/>
              <w:rPr>
                <w:sz w:val="15"/>
                <w:szCs w:val="15"/>
                <w:color w:val="auto"/>
              </w:rPr>
            </w:pPr>
          </w:p>
        </w:tc>
      </w:tr>
      <w:tr>
        <w:trPr>
          <w:trHeight w:val="18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540" w:type="dxa"/>
            <w:vAlign w:val="bottom"/>
          </w:tcPr>
          <w:p>
            <w:pPr>
              <w:ind w:left="320"/>
              <w:spacing w:after="0" w:line="183" w:lineRule="exact"/>
              <w:rPr>
                <w:sz w:val="20"/>
                <w:szCs w:val="20"/>
                <w:color w:val="auto"/>
              </w:rPr>
            </w:pPr>
            <w:r>
              <w:rPr>
                <w:rFonts w:ascii="Arial" w:cs="Arial" w:eastAsia="Arial" w:hAnsi="Arial"/>
                <w:sz w:val="17"/>
                <w:szCs w:val="17"/>
                <w:color w:val="auto"/>
              </w:rPr>
              <w:t>Total income tax expense</w:t>
            </w:r>
          </w:p>
        </w:tc>
        <w:tc>
          <w:tcPr>
            <w:tcW w:w="10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(7,417)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(3,465)</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(4,954)</w:t>
            </w:r>
          </w:p>
        </w:tc>
        <w:tc>
          <w:tcPr>
            <w:tcW w:w="60" w:type="dxa"/>
            <w:vAlign w:val="bottom"/>
          </w:tcPr>
          <w:p>
            <w:pPr>
              <w:spacing w:after="0"/>
              <w:rPr>
                <w:sz w:val="15"/>
                <w:szCs w:val="15"/>
                <w:color w:val="auto"/>
              </w:rPr>
            </w:pPr>
          </w:p>
        </w:tc>
      </w:tr>
      <w:tr>
        <w:trPr>
          <w:trHeight w:val="20"/>
        </w:trPr>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Income tax expense computed using the federal statutory rate is reconciled to the reported income tax expense as follows (in thousands):</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83"/>
        </w:trPr>
        <w:tc>
          <w:tcPr>
            <w:tcW w:w="6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Statutory rate applied to income before income taxes</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(6,593)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(4,193)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(5,529)</w:t>
            </w:r>
          </w:p>
        </w:tc>
        <w:tc>
          <w:tcPr>
            <w:tcW w:w="60" w:type="dxa"/>
            <w:vAlign w:val="bottom"/>
            <w:shd w:val="clear" w:color="auto" w:fill="CCEEFF"/>
          </w:tcPr>
          <w:p>
            <w:pPr>
              <w:spacing w:after="0"/>
              <w:rPr>
                <w:sz w:val="15"/>
                <w:szCs w:val="15"/>
                <w:color w:val="auto"/>
              </w:rPr>
            </w:pPr>
          </w:p>
        </w:tc>
      </w:tr>
      <w:tr>
        <w:trPr>
          <w:trHeight w:val="189"/>
        </w:trPr>
        <w:tc>
          <w:tcPr>
            <w:tcW w:w="6520" w:type="dxa"/>
            <w:vAlign w:val="bottom"/>
          </w:tcPr>
          <w:p>
            <w:pPr>
              <w:spacing w:after="0" w:line="189" w:lineRule="exact"/>
              <w:rPr>
                <w:sz w:val="20"/>
                <w:szCs w:val="20"/>
                <w:color w:val="auto"/>
              </w:rPr>
            </w:pPr>
            <w:r>
              <w:rPr>
                <w:rFonts w:ascii="Arial" w:cs="Arial" w:eastAsia="Arial" w:hAnsi="Arial"/>
                <w:sz w:val="17"/>
                <w:szCs w:val="17"/>
                <w:color w:val="auto"/>
              </w:rPr>
              <w:t>State income taxes, net of federal benefit</w:t>
            </w: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(1,777)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(1,250)</w:t>
            </w:r>
          </w:p>
        </w:tc>
        <w:tc>
          <w:tcPr>
            <w:tcW w:w="60" w:type="dxa"/>
            <w:vAlign w:val="bottom"/>
          </w:tcPr>
          <w:p>
            <w:pPr>
              <w:spacing w:after="0"/>
              <w:rPr>
                <w:sz w:val="16"/>
                <w:szCs w:val="16"/>
                <w:color w:val="auto"/>
              </w:rPr>
            </w:pPr>
          </w:p>
        </w:tc>
      </w:tr>
      <w:tr>
        <w:trPr>
          <w:trHeight w:val="189"/>
        </w:trPr>
        <w:tc>
          <w:tcPr>
            <w:tcW w:w="6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tax credits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276</w:t>
            </w:r>
          </w:p>
        </w:tc>
        <w:tc>
          <w:tcPr>
            <w:tcW w:w="60" w:type="dxa"/>
            <w:vAlign w:val="bottom"/>
            <w:shd w:val="clear" w:color="auto" w:fill="CCEEFF"/>
          </w:tcPr>
          <w:p>
            <w:pPr>
              <w:spacing w:after="0"/>
              <w:rPr>
                <w:sz w:val="16"/>
                <w:szCs w:val="16"/>
                <w:color w:val="auto"/>
              </w:rPr>
            </w:pPr>
          </w:p>
        </w:tc>
      </w:tr>
      <w:tr>
        <w:trPr>
          <w:trHeight w:val="189"/>
        </w:trPr>
        <w:tc>
          <w:tcPr>
            <w:tcW w:w="6520" w:type="dxa"/>
            <w:vAlign w:val="bottom"/>
          </w:tcPr>
          <w:p>
            <w:pPr>
              <w:spacing w:after="0" w:line="189" w:lineRule="exact"/>
              <w:rPr>
                <w:sz w:val="20"/>
                <w:szCs w:val="20"/>
                <w:color w:val="auto"/>
              </w:rPr>
            </w:pPr>
            <w:r>
              <w:rPr>
                <w:rFonts w:ascii="Arial" w:cs="Arial" w:eastAsia="Arial" w:hAnsi="Arial"/>
                <w:sz w:val="17"/>
                <w:szCs w:val="17"/>
                <w:color w:val="auto"/>
              </w:rPr>
              <w:t>State tax credits - valuation allowance (net of federal benefit)</w:t>
            </w: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60" w:type="dxa"/>
            <w:vAlign w:val="bottom"/>
          </w:tcPr>
          <w:p>
            <w:pPr>
              <w:spacing w:after="0"/>
              <w:rPr>
                <w:sz w:val="16"/>
                <w:szCs w:val="16"/>
                <w:color w:val="auto"/>
              </w:rPr>
            </w:pPr>
          </w:p>
        </w:tc>
      </w:tr>
      <w:tr>
        <w:trPr>
          <w:trHeight w:val="189"/>
        </w:trPr>
        <w:tc>
          <w:tcPr>
            <w:tcW w:w="6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exempt interest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60" w:type="dxa"/>
            <w:vAlign w:val="bottom"/>
            <w:shd w:val="clear" w:color="auto" w:fill="CCEEFF"/>
          </w:tcPr>
          <w:p>
            <w:pPr>
              <w:spacing w:after="0"/>
              <w:rPr>
                <w:sz w:val="16"/>
                <w:szCs w:val="16"/>
                <w:color w:val="auto"/>
              </w:rPr>
            </w:pPr>
          </w:p>
        </w:tc>
      </w:tr>
      <w:tr>
        <w:trPr>
          <w:trHeight w:val="189"/>
        </w:trPr>
        <w:tc>
          <w:tcPr>
            <w:tcW w:w="6520" w:type="dxa"/>
            <w:vAlign w:val="bottom"/>
          </w:tcPr>
          <w:p>
            <w:pPr>
              <w:spacing w:after="0" w:line="189" w:lineRule="exact"/>
              <w:rPr>
                <w:sz w:val="20"/>
                <w:szCs w:val="20"/>
                <w:color w:val="auto"/>
              </w:rPr>
            </w:pPr>
            <w:r>
              <w:rPr>
                <w:rFonts w:ascii="Arial" w:cs="Arial" w:eastAsia="Arial" w:hAnsi="Arial"/>
                <w:sz w:val="17"/>
                <w:szCs w:val="17"/>
                <w:color w:val="auto"/>
              </w:rPr>
              <w:t>General business credits</w:t>
            </w: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878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1,456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1,409</w:t>
            </w:r>
          </w:p>
        </w:tc>
        <w:tc>
          <w:tcPr>
            <w:tcW w:w="60" w:type="dxa"/>
            <w:vAlign w:val="bottom"/>
          </w:tcPr>
          <w:p>
            <w:pPr>
              <w:spacing w:after="0"/>
              <w:rPr>
                <w:sz w:val="16"/>
                <w:szCs w:val="16"/>
                <w:color w:val="auto"/>
              </w:rPr>
            </w:pPr>
          </w:p>
        </w:tc>
      </w:tr>
      <w:tr>
        <w:trPr>
          <w:trHeight w:val="189"/>
        </w:trPr>
        <w:tc>
          <w:tcPr>
            <w:tcW w:w="6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(Deficit) Excess tax benefits from stock-based compensation</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w:t>
            </w:r>
          </w:p>
        </w:tc>
        <w:tc>
          <w:tcPr>
            <w:tcW w:w="60" w:type="dxa"/>
            <w:vAlign w:val="bottom"/>
            <w:shd w:val="clear" w:color="auto" w:fill="CCEEFF"/>
          </w:tcPr>
          <w:p>
            <w:pPr>
              <w:spacing w:after="0"/>
              <w:rPr>
                <w:sz w:val="16"/>
                <w:szCs w:val="16"/>
                <w:color w:val="auto"/>
              </w:rPr>
            </w:pPr>
          </w:p>
        </w:tc>
      </w:tr>
      <w:tr>
        <w:trPr>
          <w:trHeight w:val="189"/>
        </w:trPr>
        <w:tc>
          <w:tcPr>
            <w:tcW w:w="652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(97)</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w:t>
            </w:r>
          </w:p>
        </w:tc>
        <w:tc>
          <w:tcPr>
            <w:tcW w:w="60" w:type="dxa"/>
            <w:vAlign w:val="bottom"/>
            <w:tcBorders>
              <w:bottom w:val="single" w:sz="8" w:color="CCEEFF"/>
            </w:tcBorders>
          </w:tcPr>
          <w:p>
            <w:pPr>
              <w:spacing w:after="0"/>
              <w:rPr>
                <w:sz w:val="16"/>
                <w:szCs w:val="16"/>
                <w:color w:val="auto"/>
              </w:rPr>
            </w:pPr>
          </w:p>
        </w:tc>
      </w:tr>
      <w:tr>
        <w:trPr>
          <w:trHeight w:val="183"/>
        </w:trPr>
        <w:tc>
          <w:tcPr>
            <w:tcW w:w="652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Income tax expense</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(7,417)</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(3,465)</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(4,954)</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deferred tax liabilities consist of the following (in thousands):</w:t>
      </w:r>
    </w:p>
    <w:p>
      <w:pPr>
        <w:spacing w:after="0" w:line="175"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tax assets:</w:t>
            </w: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80"/>
              <w:spacing w:after="0" w:line="189" w:lineRule="exact"/>
              <w:rPr>
                <w:sz w:val="20"/>
                <w:szCs w:val="20"/>
                <w:color w:val="auto"/>
              </w:rPr>
            </w:pPr>
            <w:r>
              <w:rPr>
                <w:rFonts w:ascii="Arial" w:cs="Arial" w:eastAsia="Arial" w:hAnsi="Arial"/>
                <w:sz w:val="17"/>
                <w:szCs w:val="17"/>
                <w:color w:val="auto"/>
              </w:rPr>
              <w:t>Inventory capitalization</w:t>
            </w:r>
          </w:p>
        </w:tc>
        <w:tc>
          <w:tcPr>
            <w:tcW w:w="13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1,628</w:t>
            </w:r>
          </w:p>
        </w:tc>
        <w:tc>
          <w:tcPr>
            <w:tcW w:w="160" w:type="dxa"/>
            <w:vAlign w:val="bottom"/>
          </w:tcPr>
          <w:p>
            <w:pPr>
              <w:spacing w:after="0"/>
              <w:rPr>
                <w:sz w:val="16"/>
                <w:szCs w:val="16"/>
                <w:color w:val="auto"/>
              </w:rPr>
            </w:pPr>
          </w:p>
        </w:tc>
        <w:tc>
          <w:tcPr>
            <w:tcW w:w="180" w:type="dxa"/>
            <w:vAlign w:val="bottom"/>
            <w:gridSpan w:val="2"/>
          </w:tcPr>
          <w:p>
            <w:pPr>
              <w:jc w:val="right"/>
              <w:ind w:right="7"/>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2,176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Vacation liability</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80"/>
              <w:spacing w:after="0" w:line="189" w:lineRule="exact"/>
              <w:rPr>
                <w:sz w:val="20"/>
                <w:szCs w:val="20"/>
                <w:color w:val="auto"/>
              </w:rPr>
            </w:pPr>
            <w:r>
              <w:rPr>
                <w:rFonts w:ascii="Arial" w:cs="Arial" w:eastAsia="Arial" w:hAnsi="Arial"/>
                <w:sz w:val="17"/>
                <w:szCs w:val="17"/>
                <w:color w:val="auto"/>
              </w:rPr>
              <w:t>Operating lease liabilities</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49,763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46,595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State tax credits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3,033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3,038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80"/>
              <w:spacing w:after="0" w:line="189" w:lineRule="exact"/>
              <w:rPr>
                <w:sz w:val="20"/>
                <w:szCs w:val="20"/>
                <w:color w:val="auto"/>
              </w:rPr>
            </w:pPr>
            <w:r>
              <w:rPr>
                <w:rFonts w:ascii="Arial" w:cs="Arial" w:eastAsia="Arial" w:hAnsi="Arial"/>
                <w:sz w:val="17"/>
                <w:szCs w:val="17"/>
                <w:color w:val="auto"/>
              </w:rPr>
              <w:t>Stock compensation</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1,598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796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Deferral of FICA tax</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80"/>
              <w:spacing w:after="0" w:line="189" w:lineRule="exact"/>
              <w:rPr>
                <w:sz w:val="20"/>
                <w:szCs w:val="20"/>
                <w:color w:val="auto"/>
              </w:rPr>
            </w:pPr>
            <w:r>
              <w:rPr>
                <w:rFonts w:ascii="Arial" w:cs="Arial" w:eastAsia="Arial" w:hAnsi="Arial"/>
                <w:sz w:val="17"/>
                <w:szCs w:val="17"/>
                <w:color w:val="auto"/>
              </w:rPr>
              <w:t>Legal expense reserve</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Insurance liabilities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646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7"/>
                <w:szCs w:val="17"/>
                <w:color w:val="auto"/>
              </w:rPr>
              <w:t>Other</w:t>
            </w: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659</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300"/>
              <w:spacing w:after="0" w:line="183" w:lineRule="exact"/>
              <w:rPr>
                <w:sz w:val="20"/>
                <w:szCs w:val="20"/>
                <w:color w:val="auto"/>
              </w:rPr>
            </w:pPr>
            <w:r>
              <w:rPr>
                <w:rFonts w:ascii="Arial" w:cs="Arial" w:eastAsia="Arial" w:hAnsi="Arial"/>
                <w:sz w:val="17"/>
                <w:szCs w:val="17"/>
                <w:color w:val="auto"/>
              </w:rPr>
              <w:t>Subtotal deferred tax assets</w:t>
            </w: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58,498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54,638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7"/>
                <w:szCs w:val="17"/>
                <w:color w:val="auto"/>
              </w:rPr>
              <w:t>Less: State tax credits valuation allowance - net</w:t>
            </w: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(1,714)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(1,714)</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400"/>
              <w:spacing w:after="0" w:line="183" w:lineRule="exact"/>
              <w:rPr>
                <w:sz w:val="20"/>
                <w:szCs w:val="20"/>
                <w:color w:val="auto"/>
              </w:rPr>
            </w:pPr>
            <w:r>
              <w:rPr>
                <w:rFonts w:ascii="Arial" w:cs="Arial" w:eastAsia="Arial" w:hAnsi="Arial"/>
                <w:sz w:val="17"/>
                <w:szCs w:val="17"/>
                <w:color w:val="auto"/>
              </w:rPr>
              <w:t>Total deferred tax assets</w:t>
            </w:r>
          </w:p>
        </w:tc>
        <w:tc>
          <w:tcPr>
            <w:tcW w:w="1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56,784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52,924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liabilities: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80"/>
              <w:spacing w:after="0" w:line="189" w:lineRule="exact"/>
              <w:rPr>
                <w:sz w:val="20"/>
                <w:szCs w:val="20"/>
                <w:color w:val="auto"/>
              </w:rPr>
            </w:pPr>
            <w:r>
              <w:rPr>
                <w:rFonts w:ascii="Arial" w:cs="Arial" w:eastAsia="Arial" w:hAnsi="Arial"/>
                <w:sz w:val="17"/>
                <w:szCs w:val="17"/>
                <w:color w:val="auto"/>
              </w:rPr>
              <w:t>Right of use asset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(47,672)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(45,095)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Book and tax depreciation differences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(2,040)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7"/>
                <w:szCs w:val="17"/>
                <w:color w:val="auto"/>
              </w:rPr>
              <w:t>Prepaid expenses</w:t>
            </w: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(877)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(787)</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ind w:left="300"/>
              <w:spacing w:after="0" w:line="183" w:lineRule="exact"/>
              <w:rPr>
                <w:sz w:val="20"/>
                <w:szCs w:val="20"/>
                <w:color w:val="auto"/>
              </w:rPr>
            </w:pPr>
            <w:r>
              <w:rPr>
                <w:rFonts w:ascii="Arial" w:cs="Arial" w:eastAsia="Arial" w:hAnsi="Arial"/>
                <w:sz w:val="17"/>
                <w:szCs w:val="17"/>
                <w:color w:val="auto"/>
              </w:rPr>
              <w:t>Total deferred tax liabilities</w:t>
            </w:r>
          </w:p>
        </w:tc>
        <w:tc>
          <w:tcPr>
            <w:tcW w:w="1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(50,589)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(46,255)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Pr>
          <w:p>
            <w:pPr>
              <w:ind w:left="300"/>
              <w:spacing w:after="0" w:line="183" w:lineRule="exact"/>
              <w:rPr>
                <w:sz w:val="20"/>
                <w:szCs w:val="20"/>
                <w:color w:val="auto"/>
              </w:rPr>
            </w:pPr>
            <w:r>
              <w:rPr>
                <w:rFonts w:ascii="Arial" w:cs="Arial" w:eastAsia="Arial" w:hAnsi="Arial"/>
                <w:sz w:val="17"/>
                <w:szCs w:val="17"/>
                <w:color w:val="auto"/>
              </w:rPr>
              <w:t>Net deferred tax asset</w:t>
            </w:r>
          </w:p>
        </w:tc>
        <w:tc>
          <w:tcPr>
            <w:tcW w:w="1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6,195</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6,669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9740"/>
          </w:cols>
          <w:pgMar w:left="860" w:top="517" w:right="1299" w:bottom="1440" w:gutter="0" w:footer="0" w:header="0"/>
        </w:sectPr>
      </w:pPr>
    </w:p>
    <w:bookmarkStart w:id="49" w:name="page50"/>
    <w:bookmarkEnd w:id="49"/>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3"/>
        <w:spacing w:after="0" w:line="233"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2015. The Company reviews and assesses uncertain tax positions, if any, with recognition and measurement of tax benefit based on a “more-likely-than-not” standard with respect to the ultimate outcome, regardless of whether this assessment is favorable or unfavorable. As of January 30, 2021,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27" w:lineRule="exact"/>
        <w:rPr>
          <w:sz w:val="20"/>
          <w:szCs w:val="20"/>
          <w:color w:val="auto"/>
        </w:rPr>
      </w:pPr>
    </w:p>
    <w:p>
      <w:pPr>
        <w:ind w:left="3"/>
        <w:spacing w:after="0" w:line="23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January 30, 2021, the valuation allowance, net of federal tax benefit, totaled $1.7 million.</w:t>
      </w:r>
    </w:p>
    <w:p>
      <w:pPr>
        <w:spacing w:after="0" w:line="140" w:lineRule="exact"/>
        <w:rPr>
          <w:sz w:val="20"/>
          <w:szCs w:val="20"/>
          <w:color w:val="auto"/>
        </w:rPr>
      </w:pPr>
    </w:p>
    <w:p>
      <w:pPr>
        <w:jc w:val="both"/>
        <w:ind w:left="3" w:right="200"/>
        <w:spacing w:after="0" w:line="238" w:lineRule="auto"/>
        <w:rPr>
          <w:sz w:val="20"/>
          <w:szCs w:val="20"/>
          <w:color w:val="auto"/>
        </w:rPr>
      </w:pPr>
      <w:r>
        <w:rPr>
          <w:rFonts w:ascii="Arial" w:cs="Arial" w:eastAsia="Arial" w:hAnsi="Arial"/>
          <w:sz w:val="17"/>
          <w:szCs w:val="17"/>
          <w:color w:val="auto"/>
        </w:rPr>
        <w:t>The effective income tax rate for fiscal 2020, 2019 and 2018 included the recognition of benefits arising from various federal and state tax credits. Under current IRS and state income tax regulations, these credits may be carried back for one year or carried forward for periods up to 20 years. The income tax benefit included $1.7 million related to such credits in each of fiscal 2020, 2019 and 2018.</w:t>
      </w:r>
    </w:p>
    <w:p>
      <w:pPr>
        <w:spacing w:after="0" w:line="114" w:lineRule="exact"/>
        <w:rPr>
          <w:sz w:val="20"/>
          <w:szCs w:val="20"/>
          <w:color w:val="auto"/>
        </w:rPr>
      </w:pPr>
    </w:p>
    <w:p>
      <w:pPr>
        <w:ind w:left="643" w:hanging="643"/>
        <w:spacing w:after="0"/>
        <w:tabs>
          <w:tab w:leader="none" w:pos="64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Repurchases of common stock</w:t>
      </w:r>
    </w:p>
    <w:p>
      <w:pPr>
        <w:spacing w:after="0" w:line="162" w:lineRule="exact"/>
        <w:rPr>
          <w:sz w:val="20"/>
          <w:szCs w:val="20"/>
          <w:color w:val="auto"/>
        </w:rPr>
      </w:pPr>
    </w:p>
    <w:p>
      <w:pPr>
        <w:ind w:left="3" w:right="140"/>
        <w:spacing w:after="0" w:line="236" w:lineRule="auto"/>
        <w:rPr>
          <w:sz w:val="20"/>
          <w:szCs w:val="20"/>
          <w:color w:val="auto"/>
        </w:rPr>
      </w:pPr>
      <w:r>
        <w:rPr>
          <w:rFonts w:ascii="Arial" w:cs="Arial" w:eastAsia="Arial" w:hAnsi="Arial"/>
          <w:sz w:val="17"/>
          <w:szCs w:val="17"/>
          <w:color w:val="auto"/>
        </w:rPr>
        <w:t>In November 2018, the Company’s board of directors approved a program that authorized the repurchase of up to $25.0 million in shares of the Company’s common stock. Under this program in fiscal 2018, the Company repurchased 768,558 shares of its common stock in the open market at an aggregate cost of $15.4 million. During the first three quarters of fiscal 2019, the Company repurchased 562,813 shares of its common stock in the open market at an aggregate cost of $9.6 million.</w:t>
      </w:r>
    </w:p>
    <w:p>
      <w:pPr>
        <w:spacing w:after="0" w:line="136" w:lineRule="exact"/>
        <w:rPr>
          <w:sz w:val="20"/>
          <w:szCs w:val="20"/>
          <w:color w:val="auto"/>
        </w:rPr>
      </w:pPr>
    </w:p>
    <w:p>
      <w:pPr>
        <w:ind w:left="3" w:right="300"/>
        <w:spacing w:after="0" w:line="236" w:lineRule="auto"/>
        <w:rPr>
          <w:sz w:val="20"/>
          <w:szCs w:val="20"/>
          <w:color w:val="auto"/>
        </w:rPr>
      </w:pPr>
      <w:r>
        <w:rPr>
          <w:rFonts w:ascii="Arial" w:cs="Arial" w:eastAsia="Arial" w:hAnsi="Arial"/>
          <w:sz w:val="17"/>
          <w:szCs w:val="17"/>
          <w:color w:val="auto"/>
        </w:rPr>
        <w:t>In November 2019, the Company’s board of directors approved a new program that authorized the purchase of up to $25.0 million in shares of the Company’s common stock. Under this program in the fourth quarter of fiscal 2019, the Company repurchased 841,243 shares of its common stock in the open market at an aggregate cost of $18.8 million. During February of fiscal 2020, the Company repurchased 260,254 shares of its common stock at an aggregate cost of $6.3 million.</w:t>
      </w:r>
    </w:p>
    <w:p>
      <w:pPr>
        <w:spacing w:after="0" w:line="122" w:lineRule="exact"/>
        <w:rPr>
          <w:sz w:val="20"/>
          <w:szCs w:val="20"/>
          <w:color w:val="auto"/>
        </w:rPr>
      </w:pPr>
    </w:p>
    <w:p>
      <w:pPr>
        <w:ind w:left="3" w:right="60"/>
        <w:spacing w:after="0" w:line="235" w:lineRule="auto"/>
        <w:rPr>
          <w:sz w:val="20"/>
          <w:szCs w:val="20"/>
          <w:color w:val="auto"/>
        </w:rPr>
      </w:pPr>
      <w:r>
        <w:rPr>
          <w:rFonts w:ascii="Arial" w:cs="Arial" w:eastAsia="Arial" w:hAnsi="Arial"/>
          <w:sz w:val="17"/>
          <w:szCs w:val="17"/>
          <w:color w:val="auto"/>
        </w:rPr>
        <w:t>In March 2020, the Company’s board of directors approved a $30.0 million stock repurchase program. Due to the uncertainty stemming from the COVID-19 pandemic, on March 23, 2020, the Company temporarily suspended any repurchases. On September 14, 2020, the Company announced the reinstatement of this program. On December 22, 2020, the Company announced that its board of directors approved an additional $30.0 million stock repurchase program. Under these programs in fiscal 2020, the Company repurchased 770,707 shares of its common stock at an aggregate cost of $26.6 million.</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Dividends</w:t>
      </w:r>
    </w:p>
    <w:p>
      <w:pPr>
        <w:spacing w:after="0" w:line="162" w:lineRule="exact"/>
        <w:rPr>
          <w:sz w:val="20"/>
          <w:szCs w:val="20"/>
          <w:color w:val="auto"/>
        </w:rPr>
      </w:pPr>
    </w:p>
    <w:p>
      <w:pPr>
        <w:ind w:left="3" w:right="160"/>
        <w:spacing w:after="0" w:line="236" w:lineRule="auto"/>
        <w:rPr>
          <w:sz w:val="20"/>
          <w:szCs w:val="20"/>
          <w:color w:val="auto"/>
        </w:rPr>
      </w:pPr>
      <w:r>
        <w:rPr>
          <w:rFonts w:ascii="Arial" w:cs="Arial" w:eastAsia="Arial" w:hAnsi="Arial"/>
          <w:sz w:val="17"/>
          <w:szCs w:val="17"/>
          <w:color w:val="auto"/>
        </w:rPr>
        <w:t>On March 17, 2020, the Company paid a dividend of $0.08 per common share. On April 28, 2020, the Company announced the suspension of future cash dividends. In 2019, the Company paid a quarterly dividend of $0.08 per common share on March 19, 2019, June 18, 2019, September 17, 2019 and December 24, 2019. Any determination to declare and pay cash dividends for future quarters will be made by the Company’s board of directors.</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2" w:lineRule="exact"/>
        <w:rPr>
          <w:sz w:val="20"/>
          <w:szCs w:val="20"/>
          <w:color w:val="auto"/>
        </w:rPr>
      </w:pPr>
    </w:p>
    <w:p>
      <w:pPr>
        <w:ind w:left="3" w:right="580"/>
        <w:spacing w:after="0" w:line="243" w:lineRule="auto"/>
        <w:rPr>
          <w:sz w:val="20"/>
          <w:szCs w:val="20"/>
          <w:color w:val="auto"/>
        </w:rPr>
      </w:pPr>
      <w:r>
        <w:rPr>
          <w:rFonts w:ascii="Arial" w:cs="Arial" w:eastAsia="Arial" w:hAnsi="Arial"/>
          <w:sz w:val="17"/>
          <w:szCs w:val="17"/>
          <w:color w:val="auto"/>
        </w:rPr>
        <w:t>On April 6, 2012, the Company adopted the Citi Trends, Inc. 2012 Incentive Plan (the “2012 Plan”), which became effective upon approval by the Company’s stockholders on May 23, 2012.</w:t>
      </w:r>
    </w:p>
    <w:p>
      <w:pPr>
        <w:spacing w:after="0" w:line="131" w:lineRule="exact"/>
        <w:rPr>
          <w:sz w:val="20"/>
          <w:szCs w:val="20"/>
          <w:color w:val="auto"/>
        </w:rPr>
      </w:pPr>
    </w:p>
    <w:p>
      <w:pPr>
        <w:ind w:left="3" w:right="220"/>
        <w:spacing w:after="0" w:line="243" w:lineRule="auto"/>
        <w:rPr>
          <w:sz w:val="20"/>
          <w:szCs w:val="20"/>
          <w:color w:val="auto"/>
        </w:rPr>
      </w:pPr>
      <w:r>
        <w:rPr>
          <w:rFonts w:ascii="Arial" w:cs="Arial" w:eastAsia="Arial" w:hAnsi="Arial"/>
          <w:sz w:val="17"/>
          <w:szCs w:val="17"/>
          <w:color w:val="auto"/>
        </w:rPr>
        <w:t>The 2012 Plan provides for the grant of incentive and nonqualified options, nonvested restricted stock and other forms of stock-based and cash-based compensation to key employees and directors.</w:t>
      </w:r>
    </w:p>
    <w:p>
      <w:pPr>
        <w:spacing w:after="0" w:line="109"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3"/>
          </w:cols>
          <w:pgMar w:left="857" w:top="517" w:right="759" w:bottom="1440" w:gutter="0" w:footer="0" w:header="0"/>
        </w:sectPr>
      </w:pPr>
    </w:p>
    <w:bookmarkStart w:id="50" w:name="page51"/>
    <w:bookmarkEnd w:id="50"/>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3" w:right="120"/>
        <w:spacing w:after="0" w:line="235" w:lineRule="auto"/>
        <w:rPr>
          <w:sz w:val="20"/>
          <w:szCs w:val="20"/>
          <w:color w:val="auto"/>
        </w:rPr>
      </w:pPr>
      <w:r>
        <w:rPr>
          <w:rFonts w:ascii="Arial" w:cs="Arial" w:eastAsia="Arial" w:hAnsi="Arial"/>
          <w:sz w:val="17"/>
          <w:szCs w:val="17"/>
          <w:color w:val="auto"/>
        </w:rPr>
        <w:t>Shares of time-based nonvested restricted stock granted to employees vest in equal installments over three years from the date of grant.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The Company expects to recognize $2.7 million in future compensation expense from the grants of time-based restricted stock over the requisite service period of up to three years.</w:t>
      </w:r>
    </w:p>
    <w:p>
      <w:pPr>
        <w:spacing w:after="0" w:line="121" w:lineRule="exact"/>
        <w:rPr>
          <w:sz w:val="20"/>
          <w:szCs w:val="20"/>
          <w:color w:val="auto"/>
        </w:rPr>
      </w:pPr>
    </w:p>
    <w:p>
      <w:pPr>
        <w:ind w:left="3" w:right="100"/>
        <w:spacing w:after="0" w:line="235" w:lineRule="auto"/>
        <w:rPr>
          <w:sz w:val="20"/>
          <w:szCs w:val="20"/>
          <w:color w:val="auto"/>
        </w:rPr>
      </w:pPr>
      <w:r>
        <w:rPr>
          <w:rFonts w:ascii="Arial" w:cs="Arial" w:eastAsia="Arial" w:hAnsi="Arial"/>
          <w:sz w:val="17"/>
          <w:szCs w:val="17"/>
          <w:color w:val="auto"/>
        </w:rPr>
        <w:t>In March 2019, the Company granted 51,490 RSUs to 19 employees. The RSUs have performance vesting criteria which were based upon the Company achieving adjusted earnings before interest, taxes, depreciation and amortization (“EBITDA”) of $63.0 million for the Company’s fiscal year ending January 29, 2022. The number of units earned and vested will increase by 20% if the Company achieves EBITDA of $69.0 million for the same period. In the event that actual performance is below threshold, no award will be made. In addition, the award will be forfeited upon the termination of employment by the recipient prior to January 29, 2022. During 2020, the Company recorded $397,000 of expense related to these RSU grants.</w:t>
      </w:r>
    </w:p>
    <w:p>
      <w:pPr>
        <w:spacing w:after="0" w:line="134" w:lineRule="exact"/>
        <w:rPr>
          <w:sz w:val="20"/>
          <w:szCs w:val="20"/>
          <w:color w:val="auto"/>
        </w:rPr>
      </w:pPr>
    </w:p>
    <w:p>
      <w:pPr>
        <w:ind w:left="3" w:right="80"/>
        <w:spacing w:after="0" w:line="235" w:lineRule="auto"/>
        <w:rPr>
          <w:sz w:val="20"/>
          <w:szCs w:val="20"/>
          <w:color w:val="auto"/>
        </w:rPr>
      </w:pPr>
      <w:r>
        <w:rPr>
          <w:rFonts w:ascii="Arial" w:cs="Arial" w:eastAsia="Arial" w:hAnsi="Arial"/>
          <w:sz w:val="17"/>
          <w:szCs w:val="17"/>
          <w:color w:val="auto"/>
        </w:rPr>
        <w:t>In March 2020, the Company granted 103,767 RSUs to 18 employees. The RSUs have performance vesting criteria based upon the Company achieving certain thresholds of adjusted earnings before interest and taxes (“EBIT”) for the fiscal year ending February 4, 2023. The number of units earned and vested may range from 50% (at threshold performance) to no more than 200% of the target award. In the event that actual performance is below threshold, no award will be made. In addition, the award will be forfeited upon the termination of employment by the recipient prior to February 4, 2023. During 2020, the Company recorded $863,000 of expense related to these RSU grants.</w:t>
      </w:r>
    </w:p>
    <w:p>
      <w:pPr>
        <w:spacing w:after="0" w:line="134" w:lineRule="exact"/>
        <w:rPr>
          <w:sz w:val="20"/>
          <w:szCs w:val="20"/>
          <w:color w:val="auto"/>
        </w:rPr>
      </w:pPr>
    </w:p>
    <w:p>
      <w:pPr>
        <w:ind w:left="3"/>
        <w:spacing w:after="0" w:line="243" w:lineRule="auto"/>
        <w:rPr>
          <w:sz w:val="20"/>
          <w:szCs w:val="20"/>
          <w:color w:val="auto"/>
        </w:rPr>
      </w:pPr>
      <w:r>
        <w:rPr>
          <w:rFonts w:ascii="Arial" w:cs="Arial" w:eastAsia="Arial" w:hAnsi="Arial"/>
          <w:sz w:val="17"/>
          <w:szCs w:val="17"/>
          <w:color w:val="auto"/>
        </w:rPr>
        <w:t>During fiscal 2020, 2019 and 2018, compensation expense arising from nonvested restricted stock grants and RSUs totaled $2.9 million, $2.1 million and $2.2 million, respectively.</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7"/>
          <w:szCs w:val="17"/>
          <w:color w:val="auto"/>
        </w:rPr>
        <w:t>The following table summarizes activity related to time-based nonvested restricted stock grants during fiscal 2020:</w:t>
      </w:r>
    </w:p>
    <w:p>
      <w:pPr>
        <w:spacing w:after="0" w:line="351" w:lineRule="exact"/>
        <w:rPr>
          <w:sz w:val="20"/>
          <w:szCs w:val="20"/>
          <w:color w:val="auto"/>
        </w:rPr>
      </w:pPr>
    </w:p>
    <w:tbl>
      <w:tblPr>
        <w:tblLayout w:type="fixed"/>
        <w:tblInd w:w="1043"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180" w:type="dxa"/>
            <w:vAlign w:val="bottom"/>
          </w:tcPr>
          <w:p>
            <w:pPr>
              <w:spacing w:after="0"/>
              <w:rPr>
                <w:sz w:val="16"/>
                <w:szCs w:val="16"/>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58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February 1, 2020</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171,979</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21.06</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58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127,880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20.15</w:t>
            </w:r>
          </w:p>
        </w:tc>
        <w:tc>
          <w:tcPr>
            <w:tcW w:w="40" w:type="dxa"/>
            <w:vAlign w:val="bottom"/>
          </w:tcPr>
          <w:p>
            <w:pPr>
              <w:spacing w:after="0"/>
              <w:rPr>
                <w:sz w:val="16"/>
                <w:szCs w:val="16"/>
                <w:color w:val="auto"/>
              </w:rPr>
            </w:pPr>
          </w:p>
        </w:tc>
      </w:tr>
      <w:tr>
        <w:trPr>
          <w:trHeight w:val="189"/>
        </w:trPr>
        <w:tc>
          <w:tcPr>
            <w:tcW w:w="5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(109,564)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20.31</w:t>
            </w:r>
          </w:p>
        </w:tc>
        <w:tc>
          <w:tcPr>
            <w:tcW w:w="40" w:type="dxa"/>
            <w:vAlign w:val="bottom"/>
            <w:shd w:val="clear" w:color="auto" w:fill="CCEEFF"/>
          </w:tcPr>
          <w:p>
            <w:pPr>
              <w:spacing w:after="0"/>
              <w:rPr>
                <w:sz w:val="16"/>
                <w:szCs w:val="16"/>
                <w:color w:val="auto"/>
              </w:rPr>
            </w:pPr>
          </w:p>
        </w:tc>
      </w:tr>
      <w:tr>
        <w:trPr>
          <w:trHeight w:val="189"/>
        </w:trPr>
        <w:tc>
          <w:tcPr>
            <w:tcW w:w="582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Forfeited</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(15,218)</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19.26</w:t>
            </w:r>
          </w:p>
        </w:tc>
        <w:tc>
          <w:tcPr>
            <w:tcW w:w="40" w:type="dxa"/>
            <w:vAlign w:val="bottom"/>
            <w:tcBorders>
              <w:bottom w:val="single" w:sz="8" w:color="CCEEFF"/>
            </w:tcBorders>
          </w:tcPr>
          <w:p>
            <w:pPr>
              <w:spacing w:after="0"/>
              <w:rPr>
                <w:sz w:val="16"/>
                <w:szCs w:val="16"/>
                <w:color w:val="auto"/>
              </w:rPr>
            </w:pPr>
          </w:p>
        </w:tc>
      </w:tr>
      <w:tr>
        <w:trPr>
          <w:trHeight w:val="183"/>
        </w:trPr>
        <w:tc>
          <w:tcPr>
            <w:tcW w:w="58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January 30, 2021</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175,077</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21.02</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ind w:left="3" w:right="180"/>
        <w:spacing w:after="0" w:line="236" w:lineRule="auto"/>
        <w:rPr>
          <w:sz w:val="20"/>
          <w:szCs w:val="20"/>
          <w:color w:val="auto"/>
        </w:rPr>
      </w:pPr>
      <w:r>
        <w:rPr>
          <w:rFonts w:ascii="Arial" w:cs="Arial" w:eastAsia="Arial" w:hAnsi="Arial"/>
          <w:sz w:val="17"/>
          <w:szCs w:val="17"/>
          <w:color w:val="auto"/>
        </w:rPr>
        <w:t>In March 2018, the Company granted 8,400 RSUs to one employee for which vesting was based upon the Company’s stock achieving certain thresholds. On the date of grant, the Company expensed $137,000 based upon the estimated fair market value. One threshold for vesting was achieved in 2018. No thresholds were achieved in 2019 and the grant expired on January 31, 2020 when the recipient left the Company.</w:t>
      </w:r>
    </w:p>
    <w:p>
      <w:pPr>
        <w:spacing w:after="0" w:line="122" w:lineRule="exact"/>
        <w:rPr>
          <w:sz w:val="20"/>
          <w:szCs w:val="20"/>
          <w:color w:val="auto"/>
        </w:rPr>
      </w:pPr>
    </w:p>
    <w:p>
      <w:pPr>
        <w:ind w:left="3" w:right="220"/>
        <w:spacing w:after="0" w:line="238" w:lineRule="auto"/>
        <w:rPr>
          <w:sz w:val="20"/>
          <w:szCs w:val="20"/>
          <w:color w:val="auto"/>
        </w:rPr>
      </w:pPr>
      <w:r>
        <w:rPr>
          <w:rFonts w:ascii="Arial" w:cs="Arial" w:eastAsia="Arial" w:hAnsi="Arial"/>
          <w:sz w:val="17"/>
          <w:szCs w:val="17"/>
          <w:color w:val="auto"/>
        </w:rPr>
        <w:t>In March 2018, the Company granted 8,401 RSUs to one employee for which vesting was based upon achieving certain thresholds of adjusted EBITDA. During 2018, the Company expensed $78,000 based upon the estimated fair market value. No thresholds were achieved in 2018 or 2019 and the grant expired January 31, 2020 when the recipient left the Company.</w:t>
      </w:r>
    </w:p>
    <w:p>
      <w:pPr>
        <w:spacing w:after="0" w:line="134" w:lineRule="exact"/>
        <w:rPr>
          <w:sz w:val="20"/>
          <w:szCs w:val="20"/>
          <w:color w:val="auto"/>
        </w:rPr>
      </w:pPr>
    </w:p>
    <w:p>
      <w:pPr>
        <w:ind w:left="3" w:right="240"/>
        <w:spacing w:after="0" w:line="238" w:lineRule="auto"/>
        <w:rPr>
          <w:sz w:val="20"/>
          <w:szCs w:val="20"/>
          <w:color w:val="auto"/>
        </w:rPr>
      </w:pPr>
      <w:r>
        <w:rPr>
          <w:rFonts w:ascii="Arial" w:cs="Arial" w:eastAsia="Arial" w:hAnsi="Arial"/>
          <w:sz w:val="17"/>
          <w:szCs w:val="17"/>
          <w:color w:val="auto"/>
        </w:rPr>
        <w:t>Income tax benefits or deficiencies arising from the fair market value of restricted stock shares at vesting versus the cumulative compensation cost of such shares are recorded as a component of income tax expense in the Company’s consolidated statement of operations. Such income tax expense (benefits) totaled $58,000, $83,000 and ($140,000) in fiscal 2020, 2019 and 2018, respectively.</w:t>
      </w:r>
    </w:p>
    <w:p>
      <w:pPr>
        <w:spacing w:after="0" w:line="114" w:lineRule="exact"/>
        <w:rPr>
          <w:sz w:val="20"/>
          <w:szCs w:val="20"/>
          <w:color w:val="auto"/>
        </w:rPr>
      </w:pPr>
    </w:p>
    <w:p>
      <w:pPr>
        <w:ind w:left="643" w:hanging="643"/>
        <w:spacing w:after="0"/>
        <w:tabs>
          <w:tab w:leader="none" w:pos="643"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49" w:lineRule="exact"/>
        <w:rPr>
          <w:sz w:val="20"/>
          <w:szCs w:val="20"/>
          <w:color w:val="auto"/>
        </w:rPr>
      </w:pPr>
    </w:p>
    <w:p>
      <w:pPr>
        <w:jc w:val="both"/>
        <w:ind w:left="3" w:right="360"/>
        <w:spacing w:after="0" w:line="235"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16" w:lineRule="exact"/>
        <w:rPr>
          <w:sz w:val="20"/>
          <w:szCs w:val="20"/>
          <w:color w:val="auto"/>
        </w:rPr>
      </w:pPr>
    </w:p>
    <w:p>
      <w:pPr>
        <w:ind w:left="643" w:hanging="642"/>
        <w:spacing w:after="0"/>
        <w:tabs>
          <w:tab w:leader="none" w:pos="643"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62" w:lineRule="exact"/>
        <w:rPr>
          <w:sz w:val="20"/>
          <w:szCs w:val="20"/>
          <w:color w:val="auto"/>
        </w:rPr>
      </w:pPr>
    </w:p>
    <w:p>
      <w:pPr>
        <w:ind w:left="3"/>
        <w:spacing w:after="0" w:line="235" w:lineRule="auto"/>
        <w:rPr>
          <w:sz w:val="20"/>
          <w:szCs w:val="20"/>
          <w:color w:val="auto"/>
        </w:rPr>
      </w:pPr>
      <w:r>
        <w:rPr>
          <w:rFonts w:ascii="Arial" w:cs="Arial" w:eastAsia="Arial" w:hAnsi="Arial"/>
          <w:sz w:val="17"/>
          <w:szCs w:val="17"/>
          <w:color w:val="auto"/>
        </w:rPr>
        <w:t>The Company leases its retail store locations and certain office space and equipment. The Company analyzes all leases at inception to determine if a right-of-use asset and lease liability should be recognized. Leases with an initial term of 12 months or less and leases with mutual termination clauses are not included on the consolidated balance sheet. The lease liability is measured at the present value of future lease payments as of the lease commencement date, or as of the date of adoption of ASU 2016-02 for leases existing at the adoption date. Leases for store locations are typically for a term of five years with options to extend for one or more five-year periods.</w:t>
      </w:r>
    </w:p>
    <w:p>
      <w:pPr>
        <w:spacing w:after="0" w:line="115"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Total lease cost is comprised of operating lease costs, short-term lease costs and variable lease costs, which include rent paid as a percentage of sales, common area maintenance, real estate taxes and insurance for the Company’s real estate leases. Lease cost consists of the following (in thousands):</w:t>
      </w:r>
    </w:p>
    <w:p>
      <w:pPr>
        <w:spacing w:after="0" w:line="127" w:lineRule="exact"/>
        <w:rPr>
          <w:sz w:val="20"/>
          <w:szCs w:val="20"/>
          <w:color w:val="auto"/>
        </w:rPr>
      </w:pPr>
    </w:p>
    <w:tbl>
      <w:tblPr>
        <w:tblLayout w:type="fixed"/>
        <w:tblInd w:w="124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Fiscal Year</w:t>
            </w:r>
          </w:p>
        </w:tc>
        <w:tc>
          <w:tcPr>
            <w:tcW w:w="920" w:type="dxa"/>
            <w:vAlign w:val="bottom"/>
            <w:tcBorders>
              <w:bottom w:val="single" w:sz="8" w:color="auto"/>
            </w:tcBorders>
          </w:tcPr>
          <w:p>
            <w:pPr>
              <w:spacing w:after="0"/>
              <w:rPr>
                <w:sz w:val="15"/>
                <w:szCs w:val="15"/>
                <w:color w:val="auto"/>
              </w:rPr>
            </w:pPr>
          </w:p>
        </w:tc>
      </w:tr>
      <w:tr>
        <w:trPr>
          <w:trHeight w:val="156"/>
        </w:trPr>
        <w:tc>
          <w:tcPr>
            <w:tcW w:w="50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5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Operating lease cost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50,446</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51,213</w:t>
            </w: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Variable lease cost</w:t>
            </w: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8,159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5,791</w:t>
            </w:r>
          </w:p>
        </w:tc>
      </w:tr>
      <w:tr>
        <w:trPr>
          <w:trHeight w:val="189"/>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Short term lease cost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1,459</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1,061</w:t>
            </w:r>
          </w:p>
        </w:tc>
      </w:tr>
      <w:tr>
        <w:trPr>
          <w:trHeight w:val="183"/>
        </w:trPr>
        <w:tc>
          <w:tcPr>
            <w:tcW w:w="5040" w:type="dxa"/>
            <w:vAlign w:val="bottom"/>
          </w:tcPr>
          <w:p>
            <w:pPr>
              <w:spacing w:after="0" w:line="183" w:lineRule="exact"/>
              <w:rPr>
                <w:sz w:val="20"/>
                <w:szCs w:val="20"/>
                <w:color w:val="auto"/>
              </w:rPr>
            </w:pPr>
            <w:r>
              <w:rPr>
                <w:rFonts w:ascii="Arial" w:cs="Arial" w:eastAsia="Arial" w:hAnsi="Arial"/>
                <w:sz w:val="17"/>
                <w:szCs w:val="17"/>
                <w:color w:val="auto"/>
              </w:rPr>
              <w:t>Total lease cost</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60,064</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58,065</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response to the impact of the COVID-19 pandemic on the Company’s operations, the Company suspended certain lease payments under its existing lease agreements. During the suspension of payments, the Company continued to recognize expenses and liabilities for lease obligations and corresponding right-of-use assets on the balance sheet in accordance with the applicable accounting guidance. The Company is engaging in ongoing discussions with certain landlords regarding the potential restructuring of lease payments and rent concessions. In fiscal 2020, the Company negotiated contractual rent concessions on certain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$1.0 million in fiscal 2020.</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as of January 30, 2021 are as follows (in thousands):</w:t>
      </w:r>
    </w:p>
    <w:p>
      <w:pPr>
        <w:spacing w:after="0" w:line="189" w:lineRule="exact"/>
        <w:rPr>
          <w:sz w:val="20"/>
          <w:szCs w:val="20"/>
          <w:color w:val="auto"/>
        </w:rPr>
      </w:pPr>
    </w:p>
    <w:tbl>
      <w:tblPr>
        <w:tblLayout w:type="fixed"/>
        <w:tblInd w:w="1240" w:type="dxa"/>
        <w:tblCellMar>
          <w:top w:w="0" w:type="dxa"/>
          <w:left w:w="0" w:type="dxa"/>
          <w:bottom w:w="0" w:type="dxa"/>
          <w:right w:w="0" w:type="dxa"/>
        </w:tblCellMar>
      </w:tblPr>
      <w:tr>
        <w:trPr>
          <w:trHeight w:val="175"/>
        </w:trPr>
        <w:tc>
          <w:tcPr>
            <w:tcW w:w="576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Lease Costs</w:t>
            </w:r>
          </w:p>
        </w:tc>
        <w:tc>
          <w:tcPr>
            <w:tcW w:w="300" w:type="dxa"/>
            <w:vAlign w:val="bottom"/>
            <w:tcBorders>
              <w:bottom w:val="single" w:sz="8" w:color="CCEEFF"/>
            </w:tcBorders>
          </w:tcPr>
          <w:p>
            <w:pPr>
              <w:spacing w:after="0"/>
              <w:rPr>
                <w:sz w:val="15"/>
                <w:szCs w:val="15"/>
                <w:color w:val="auto"/>
              </w:rPr>
            </w:pPr>
          </w:p>
        </w:tc>
      </w:tr>
      <w:tr>
        <w:trPr>
          <w:trHeight w:val="19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51,435</w:t>
            </w:r>
          </w:p>
        </w:tc>
        <w:tc>
          <w:tcPr>
            <w:tcW w:w="30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45,537</w:t>
            </w:r>
          </w:p>
        </w:tc>
        <w:tc>
          <w:tcPr>
            <w:tcW w:w="3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37,714</w:t>
            </w:r>
          </w:p>
        </w:tc>
        <w:tc>
          <w:tcPr>
            <w:tcW w:w="3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29,308</w:t>
            </w:r>
          </w:p>
        </w:tc>
        <w:tc>
          <w:tcPr>
            <w:tcW w:w="3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18,978</w:t>
            </w:r>
          </w:p>
        </w:tc>
        <w:tc>
          <w:tcPr>
            <w:tcW w:w="300" w:type="dxa"/>
            <w:vAlign w:val="bottom"/>
            <w:shd w:val="clear" w:color="auto" w:fill="CCEEFF"/>
          </w:tcPr>
          <w:p>
            <w:pPr>
              <w:spacing w:after="0"/>
              <w:rPr>
                <w:sz w:val="18"/>
                <w:szCs w:val="18"/>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26,717</w:t>
            </w:r>
          </w:p>
        </w:tc>
        <w:tc>
          <w:tcPr>
            <w:tcW w:w="300" w:type="dxa"/>
            <w:vAlign w:val="bottom"/>
            <w:tcBorders>
              <w:bottom w:val="single" w:sz="8" w:color="CCEEFF"/>
            </w:tcBorders>
          </w:tcPr>
          <w:p>
            <w:pPr>
              <w:spacing w:after="0"/>
              <w:rPr>
                <w:sz w:val="18"/>
                <w:szCs w:val="18"/>
                <w:color w:val="auto"/>
              </w:rPr>
            </w:pPr>
          </w:p>
        </w:tc>
      </w:tr>
      <w:tr>
        <w:trPr>
          <w:trHeight w:val="196"/>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Total future minimum lease payments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209,689</w:t>
            </w:r>
          </w:p>
        </w:tc>
        <w:tc>
          <w:tcPr>
            <w:tcW w:w="300" w:type="dxa"/>
            <w:vAlign w:val="bottom"/>
            <w:shd w:val="clear" w:color="auto" w:fill="CCEEFF"/>
          </w:tcPr>
          <w:p>
            <w:pPr>
              <w:spacing w:after="0"/>
              <w:rPr>
                <w:sz w:val="17"/>
                <w:szCs w:val="17"/>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7"/>
                <w:szCs w:val="17"/>
                <w:color w:val="auto"/>
              </w:rPr>
              <w:t>Less: imputed interest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 xml:space="preserve">(16,878) </w:t>
            </w:r>
            <w:r>
              <w:rPr>
                <w:rFonts w:ascii="Arial" w:cs="Arial" w:eastAsia="Arial" w:hAnsi="Arial"/>
                <w:sz w:val="26"/>
                <w:szCs w:val="26"/>
                <w:color w:val="auto"/>
                <w:vertAlign w:val="subscript"/>
              </w:rPr>
              <w:t>(1)</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192,811</w:t>
            </w: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380" w:hanging="330"/>
        <w:spacing w:after="0"/>
        <w:tabs>
          <w:tab w:leader="none" w:pos="1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28" w:lineRule="exact"/>
        <w:rPr>
          <w:rFonts w:ascii="Arial" w:cs="Arial" w:eastAsia="Arial" w:hAnsi="Arial"/>
          <w:sz w:val="14"/>
          <w:szCs w:val="14"/>
          <w:color w:val="auto"/>
        </w:rPr>
      </w:pPr>
    </w:p>
    <w:p>
      <w:pPr>
        <w:ind w:left="1380" w:hanging="330"/>
        <w:spacing w:after="0"/>
        <w:tabs>
          <w:tab w:leader="none" w:pos="1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short-term and long-term operating leases.</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3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Supplemental cash flow and other information related to operating leases are as follows (in thousands, except for weighted average amounts):</w:t>
      </w:r>
    </w:p>
    <w:p>
      <w:pPr>
        <w:spacing w:after="0" w:line="13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Fiscal Year</w:t>
            </w:r>
          </w:p>
        </w:tc>
      </w:tr>
      <w:tr>
        <w:trPr>
          <w:trHeight w:val="155"/>
        </w:trPr>
        <w:tc>
          <w:tcPr>
            <w:tcW w:w="6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61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paid for operating leases</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47,075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center"/>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49,704</w:t>
            </w:r>
          </w:p>
        </w:tc>
      </w:tr>
      <w:tr>
        <w:trPr>
          <w:trHeight w:val="189"/>
        </w:trPr>
        <w:tc>
          <w:tcPr>
            <w:tcW w:w="6180" w:type="dxa"/>
            <w:vAlign w:val="bottom"/>
          </w:tcPr>
          <w:p>
            <w:pPr>
              <w:ind w:left="20"/>
              <w:spacing w:after="0" w:line="189" w:lineRule="exact"/>
              <w:rPr>
                <w:sz w:val="20"/>
                <w:szCs w:val="20"/>
                <w:color w:val="auto"/>
              </w:rPr>
            </w:pPr>
            <w:r>
              <w:rPr>
                <w:rFonts w:ascii="Arial" w:cs="Arial" w:eastAsia="Arial" w:hAnsi="Arial"/>
                <w:sz w:val="17"/>
                <w:szCs w:val="17"/>
                <w:color w:val="auto"/>
              </w:rPr>
              <w:t>Right of use assets obtained in exchange for new operating lease liabilities</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60,144</w:t>
            </w:r>
          </w:p>
        </w:tc>
        <w:tc>
          <w:tcPr>
            <w:tcW w:w="80" w:type="dxa"/>
            <w:vAlign w:val="bottom"/>
          </w:tcPr>
          <w:p>
            <w:pPr>
              <w:spacing w:after="0"/>
              <w:rPr>
                <w:sz w:val="16"/>
                <w:szCs w:val="16"/>
                <w:color w:val="auto"/>
              </w:rPr>
            </w:pPr>
          </w:p>
        </w:tc>
        <w:tc>
          <w:tcPr>
            <w:tcW w:w="220" w:type="dxa"/>
            <w:vAlign w:val="bottom"/>
          </w:tcPr>
          <w:p>
            <w:pPr>
              <w:jc w:val="center"/>
              <w:ind w:right="35"/>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82,954</w:t>
            </w:r>
          </w:p>
        </w:tc>
      </w:tr>
      <w:tr>
        <w:trPr>
          <w:trHeight w:val="189"/>
        </w:trPr>
        <w:tc>
          <w:tcPr>
            <w:tcW w:w="6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6180" w:type="dxa"/>
            <w:vAlign w:val="bottom"/>
          </w:tcPr>
          <w:p>
            <w:pPr>
              <w:ind w:left="20"/>
              <w:spacing w:after="0" w:line="189" w:lineRule="exact"/>
              <w:rPr>
                <w:sz w:val="20"/>
                <w:szCs w:val="20"/>
                <w:color w:val="auto"/>
              </w:rPr>
            </w:pPr>
            <w:r>
              <w:rPr>
                <w:rFonts w:ascii="Arial" w:cs="Arial" w:eastAsia="Arial" w:hAnsi="Arial"/>
                <w:sz w:val="17"/>
                <w:szCs w:val="17"/>
                <w:color w:val="auto"/>
              </w:rPr>
              <w:t>Weighted average remaining lease term (years) - operating leases</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5.13</w:t>
            </w:r>
          </w:p>
        </w:tc>
      </w:tr>
      <w:tr>
        <w:trPr>
          <w:trHeight w:val="189"/>
        </w:trPr>
        <w:tc>
          <w:tcPr>
            <w:tcW w:w="6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discount rate - operating leases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52" w:name="page53"/>
    <w:bookmarkEnd w:id="5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ind w:left="660" w:hanging="642"/>
        <w:spacing w:after="0"/>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Valuation and Qualifying Accounts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summarizes the allowances for inventory shrinkage and deferred tax assets (in thousands):</w:t>
      </w:r>
    </w:p>
    <w:p>
      <w:pPr>
        <w:spacing w:after="0" w:line="148" w:lineRule="exact"/>
        <w:rPr>
          <w:sz w:val="20"/>
          <w:szCs w:val="20"/>
          <w:color w:val="auto"/>
        </w:rPr>
      </w:pPr>
    </w:p>
    <w:tbl>
      <w:tblPr>
        <w:tblLayout w:type="fixed"/>
        <w:tblInd w:w="14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 for</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Allowance for</w:t>
            </w: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Inventory</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Deferred Tax</w:t>
            </w:r>
          </w:p>
        </w:tc>
      </w:tr>
      <w:tr>
        <w:trPr>
          <w:trHeight w:val="175"/>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Shrinkage</w:t>
            </w:r>
          </w:p>
        </w:tc>
        <w:tc>
          <w:tcPr>
            <w:tcW w:w="2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Assets</w:t>
            </w:r>
          </w:p>
        </w:tc>
      </w:tr>
      <w:tr>
        <w:trPr>
          <w:trHeight w:val="183"/>
        </w:trPr>
        <w:tc>
          <w:tcPr>
            <w:tcW w:w="5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3, 2018</w:t>
            </w: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3,504</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1,624</w:t>
            </w: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Additions charged to costs and expenses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Deductions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(10,033)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182"/>
        </w:trPr>
        <w:tc>
          <w:tcPr>
            <w:tcW w:w="5360" w:type="dxa"/>
            <w:vAlign w:val="bottom"/>
          </w:tcPr>
          <w:p>
            <w:pPr>
              <w:spacing w:after="0" w:line="183" w:lineRule="exact"/>
              <w:rPr>
                <w:sz w:val="20"/>
                <w:szCs w:val="20"/>
                <w:color w:val="auto"/>
              </w:rPr>
            </w:pPr>
            <w:r>
              <w:rPr>
                <w:rFonts w:ascii="Arial" w:cs="Arial" w:eastAsia="Arial" w:hAnsi="Arial"/>
                <w:sz w:val="17"/>
                <w:szCs w:val="17"/>
                <w:color w:val="auto"/>
              </w:rPr>
              <w:t>Balance as of February 2, 2019</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3,114</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1,615</w:t>
            </w:r>
          </w:p>
        </w:tc>
        <w:tc>
          <w:tcPr>
            <w:tcW w:w="40" w:type="dxa"/>
            <w:vAlign w:val="bottom"/>
          </w:tcPr>
          <w:p>
            <w:pPr>
              <w:spacing w:after="0"/>
              <w:rPr>
                <w:sz w:val="15"/>
                <w:szCs w:val="15"/>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Additions charged to costs and expenses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0" w:type="dxa"/>
            <w:vAlign w:val="bottom"/>
            <w:shd w:val="clear" w:color="auto" w:fill="CCEEFF"/>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Deductions</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(9,919)</w:t>
            </w: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83"/>
        </w:trPr>
        <w:tc>
          <w:tcPr>
            <w:tcW w:w="5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1, 2020</w:t>
            </w: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2,954</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1,714</w:t>
            </w: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7"/>
                <w:szCs w:val="17"/>
                <w:color w:val="auto"/>
              </w:rPr>
              <w:t>Additions charged to costs and expenses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Deductions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7"/>
                <w:szCs w:val="17"/>
                <w:color w:val="auto"/>
              </w:rPr>
              <w:t>Balance as of January 30, 2021</w:t>
            </w:r>
          </w:p>
        </w:tc>
        <w:tc>
          <w:tcPr>
            <w:tcW w:w="12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5,232</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1,714</w:t>
            </w:r>
          </w:p>
        </w:tc>
        <w:tc>
          <w:tcPr>
            <w:tcW w:w="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1" w:lineRule="exact"/>
        <w:rPr>
          <w:sz w:val="20"/>
          <w:szCs w:val="20"/>
          <w:color w:val="auto"/>
        </w:rPr>
      </w:pPr>
    </w:p>
    <w:p>
      <w:pPr>
        <w:ind w:left="20" w:right="380"/>
        <w:spacing w:after="0" w:line="243" w:lineRule="auto"/>
        <w:rPr>
          <w:sz w:val="20"/>
          <w:szCs w:val="20"/>
          <w:color w:val="auto"/>
        </w:rPr>
      </w:pPr>
      <w:r>
        <w:rPr>
          <w:rFonts w:ascii="Arial" w:cs="Arial" w:eastAsia="Arial" w:hAnsi="Arial"/>
          <w:sz w:val="17"/>
          <w:szCs w:val="17"/>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17" w:lineRule="exact"/>
        <w:rPr>
          <w:sz w:val="20"/>
          <w:szCs w:val="20"/>
          <w:color w:val="auto"/>
        </w:rPr>
      </w:pPr>
    </w:p>
    <w:p>
      <w:pPr>
        <w:jc w:val="both"/>
        <w:ind w:left="20" w:right="320"/>
        <w:spacing w:after="0" w:line="238" w:lineRule="auto"/>
        <w:rPr>
          <w:sz w:val="20"/>
          <w:szCs w:val="20"/>
          <w:color w:val="auto"/>
        </w:rPr>
      </w:pPr>
      <w:r>
        <w:rPr>
          <w:rFonts w:ascii="Arial" w:cs="Arial" w:eastAsia="Arial" w:hAnsi="Arial"/>
          <w:sz w:val="17"/>
          <w:szCs w:val="17"/>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w:t>
      </w:r>
    </w:p>
    <w:p>
      <w:pPr>
        <w:spacing w:after="0" w:line="114" w:lineRule="exact"/>
        <w:rPr>
          <w:sz w:val="20"/>
          <w:szCs w:val="20"/>
          <w:color w:val="auto"/>
        </w:rPr>
      </w:pPr>
    </w:p>
    <w:p>
      <w:pPr>
        <w:ind w:left="660" w:hanging="643"/>
        <w:spacing w:after="0"/>
        <w:tabs>
          <w:tab w:leader="none" w:pos="66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Unaudited Quarterly 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Fiscal 2020</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Fiscal 2019</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2"/>
                <w:szCs w:val="12"/>
                <w:color w:val="auto"/>
              </w:rPr>
            </w:pPr>
          </w:p>
        </w:tc>
        <w:tc>
          <w:tcPr>
            <w:tcW w:w="64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2"/>
                <w:szCs w:val="12"/>
                <w:color w:val="auto"/>
              </w:rPr>
            </w:pPr>
          </w:p>
        </w:tc>
        <w:tc>
          <w:tcPr>
            <w:tcW w:w="84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2"/>
                <w:szCs w:val="12"/>
                <w:color w:val="auto"/>
              </w:rPr>
            </w:pPr>
          </w:p>
        </w:tc>
        <w:tc>
          <w:tcPr>
            <w:tcW w:w="68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First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gridSpan w:val="10"/>
          </w:tcPr>
          <w:p>
            <w:pPr>
              <w:jc w:val="right"/>
              <w:ind w:right="248"/>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3"/>
          </w:tcPr>
          <w:p>
            <w:pPr>
              <w:spacing w:after="0"/>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251,919</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199,100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216,151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116,124</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211,013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183,050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182,830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205,032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20" w:type="dxa"/>
            <w:vAlign w:val="bottom"/>
            <w:gridSpan w:val="3"/>
          </w:tcPr>
          <w:p>
            <w:pPr>
              <w:spacing w:after="0"/>
              <w:rPr>
                <w:sz w:val="20"/>
                <w:szCs w:val="20"/>
                <w:color w:val="auto"/>
              </w:rPr>
            </w:pPr>
            <w:r>
              <w:rPr>
                <w:rFonts w:ascii="Arial" w:cs="Arial" w:eastAsia="Arial" w:hAnsi="Arial"/>
                <w:sz w:val="14"/>
                <w:szCs w:val="14"/>
                <w:color w:val="auto"/>
              </w:rPr>
              <w:t>Cost of sales (exclusive of depreciation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gridSpan w:val="3"/>
          </w:tcPr>
          <w:p>
            <w:pPr>
              <w:spacing w:after="0" w:line="157" w:lineRule="exact"/>
              <w:rPr>
                <w:sz w:val="20"/>
                <w:szCs w:val="20"/>
                <w:color w:val="auto"/>
              </w:rPr>
            </w:pPr>
            <w:r>
              <w:rPr>
                <w:rFonts w:ascii="Arial" w:cs="Arial" w:eastAsia="Arial" w:hAnsi="Arial"/>
                <w:sz w:val="14"/>
                <w:szCs w:val="14"/>
                <w:color w:val="auto"/>
              </w:rPr>
              <w:t>shown separately below)</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(144,274)</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(115,827)</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(127,147)</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(84,370)</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(127,311)</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(114,579)</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(114,612)</w:t>
            </w: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(128,238)</w:t>
            </w:r>
          </w:p>
        </w:tc>
        <w:tc>
          <w:tcPr>
            <w:tcW w:w="0" w:type="dxa"/>
            <w:vAlign w:val="bottom"/>
          </w:tcPr>
          <w:p>
            <w:pPr>
              <w:spacing w:after="0"/>
              <w:rPr>
                <w:sz w:val="1"/>
                <w:szCs w:val="1"/>
                <w:color w:val="auto"/>
              </w:rPr>
            </w:pPr>
          </w:p>
        </w:tc>
      </w:tr>
      <w:tr>
        <w:trPr>
          <w:trHeight w:val="167"/>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(79,269)</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(69,230)</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(57,623)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(54,076)</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(67,654)</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(65,539)</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(62,989)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(63,447)</w:t>
            </w:r>
          </w:p>
        </w:tc>
        <w:tc>
          <w:tcPr>
            <w:tcW w:w="0" w:type="dxa"/>
            <w:vAlign w:val="bottom"/>
          </w:tcPr>
          <w:p>
            <w:pPr>
              <w:spacing w:after="0"/>
              <w:rPr>
                <w:sz w:val="1"/>
                <w:szCs w:val="1"/>
                <w:color w:val="auto"/>
              </w:rPr>
            </w:pPr>
          </w:p>
        </w:tc>
      </w:tr>
      <w:tr>
        <w:trPr>
          <w:trHeight w:val="162"/>
        </w:trPr>
        <w:tc>
          <w:tcPr>
            <w:tcW w:w="2920" w:type="dxa"/>
            <w:vAlign w:val="bottom"/>
            <w:gridSpan w:val="3"/>
          </w:tcPr>
          <w:p>
            <w:pPr>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(4,677)</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(4,703)</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(4,933)</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(4,520)</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(4,607)</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(4,614)</w:t>
            </w: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 impairment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23,699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9,340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26,448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(27,554)</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11,254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(1,588)</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8,733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net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(27,500)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3"/>
          </w:tcPr>
          <w:p>
            <w:pPr>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(5,621)</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(6,218)</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18,038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6,965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19,867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(20,892)</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9,422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7,788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 per common share: (1)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0.67</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0.84</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(0.09)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Weighted average shares used to compute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20" w:type="dxa"/>
            <w:vAlign w:val="bottom"/>
            <w:gridSpan w:val="3"/>
          </w:tcPr>
          <w:p>
            <w:pPr>
              <w:spacing w:after="0" w:line="157" w:lineRule="exact"/>
              <w:rPr>
                <w:sz w:val="20"/>
                <w:szCs w:val="20"/>
                <w:color w:val="auto"/>
              </w:rPr>
            </w:pPr>
            <w:r>
              <w:rPr>
                <w:rFonts w:ascii="Arial" w:cs="Arial" w:eastAsia="Arial" w:hAnsi="Arial"/>
                <w:sz w:val="14"/>
                <w:szCs w:val="14"/>
                <w:color w:val="auto"/>
              </w:rPr>
              <w:t>net income (loss) per common share: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2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9,872</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10,365</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10,451</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10,443</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11,882</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11,976</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90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9,969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10,401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10,458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10,443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11,271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11,636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11,882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0" w:right="120" w:hanging="383"/>
        <w:spacing w:after="0" w:line="260"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income (loss) per share is computed independently for each period presented. As a result, the total of net income (loss) per share for the four quarters may not equal the annual amount</w:t>
      </w:r>
      <w:r>
        <w:rPr>
          <w:rFonts w:ascii="Arial" w:cs="Arial" w:eastAsia="Arial" w:hAnsi="Arial"/>
          <w:sz w:val="17"/>
          <w:szCs w:val="17"/>
          <w:color w:val="auto"/>
        </w:rPr>
        <w: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357505</wp:posOffset>
            </wp:positionV>
            <wp:extent cx="65493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20"/>
          </w:cols>
          <w:pgMar w:left="840" w:top="517" w:right="739" w:bottom="1440" w:gutter="0" w:footer="0" w:header="0"/>
        </w:sectPr>
      </w:pPr>
    </w:p>
    <w:bookmarkStart w:id="53" w:name="page54"/>
    <w:bookmarkEnd w:id="53"/>
    <w:p>
      <w:pPr>
        <w:ind w:left="7620"/>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17"/>
          <w:szCs w:val="17"/>
          <w:b w:val="1"/>
          <w:bCs w:val="1"/>
          <w:u w:val="single" w:color="auto"/>
          <w:color w:val="auto"/>
        </w:rPr>
        <w:t>EMPLOYMENT NON-COMPETE, NON-SOLICIT AND CONFIDENTIALITYAGREEMENT</w:t>
      </w:r>
    </w:p>
    <w:p>
      <w:pPr>
        <w:spacing w:after="0" w:line="257" w:lineRule="exact"/>
        <w:rPr>
          <w:sz w:val="20"/>
          <w:szCs w:val="20"/>
          <w:color w:val="auto"/>
        </w:rPr>
      </w:pPr>
    </w:p>
    <w:p>
      <w:pPr>
        <w:jc w:val="both"/>
        <w:ind w:left="200" w:right="219" w:firstLine="648"/>
        <w:spacing w:after="0" w:line="281" w:lineRule="auto"/>
        <w:rPr>
          <w:sz w:val="20"/>
          <w:szCs w:val="20"/>
          <w:color w:val="auto"/>
        </w:rPr>
      </w:pPr>
      <w:r>
        <w:rPr>
          <w:rFonts w:ascii="Arial" w:cs="Arial" w:eastAsia="Arial" w:hAnsi="Arial"/>
          <w:sz w:val="17"/>
          <w:szCs w:val="17"/>
          <w:color w:val="auto"/>
        </w:rPr>
        <w:t>This EMPLOYMENT NON-COMPETE, NON-SOLICIT AND CONFIDENTIALITY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between Citi Trends, Inc., including its subsidiaries, affiliates, divisions, successors, and related entities (“</w:t>
      </w:r>
      <w:r>
        <w:rPr>
          <w:rFonts w:ascii="Arial" w:cs="Arial" w:eastAsia="Arial" w:hAnsi="Arial"/>
          <w:sz w:val="17"/>
          <w:szCs w:val="17"/>
          <w:u w:val="single" w:color="auto"/>
          <w:color w:val="auto"/>
        </w:rPr>
        <w:t>Compan</w:t>
      </w:r>
      <w:r>
        <w:rPr>
          <w:rFonts w:ascii="Arial" w:cs="Arial" w:eastAsia="Arial" w:hAnsi="Arial"/>
          <w:sz w:val="17"/>
          <w:szCs w:val="17"/>
          <w:color w:val="auto"/>
        </w:rPr>
        <w:t>y”), and Jason Moschner (“</w:t>
      </w:r>
      <w:r>
        <w:rPr>
          <w:rFonts w:ascii="Arial" w:cs="Arial" w:eastAsia="Arial" w:hAnsi="Arial"/>
          <w:sz w:val="17"/>
          <w:szCs w:val="17"/>
          <w:u w:val="single" w:color="auto"/>
          <w:color w:val="auto"/>
        </w:rPr>
        <w:t>Employee</w:t>
      </w:r>
      <w:r>
        <w:rPr>
          <w:rFonts w:ascii="Arial" w:cs="Arial" w:eastAsia="Arial" w:hAnsi="Arial"/>
          <w:sz w:val="17"/>
          <w:szCs w:val="17"/>
          <w:color w:val="auto"/>
        </w:rPr>
        <w:t>”), effective as of the date signed by Employee below.</w:t>
      </w:r>
    </w:p>
    <w:p>
      <w:pPr>
        <w:spacing w:after="0" w:line="3" w:lineRule="exact"/>
        <w:rPr>
          <w:sz w:val="20"/>
          <w:szCs w:val="20"/>
          <w:color w:val="auto"/>
        </w:rPr>
      </w:pPr>
    </w:p>
    <w:p>
      <w:pPr>
        <w:jc w:val="both"/>
        <w:ind w:left="200" w:right="219" w:firstLine="648"/>
        <w:spacing w:after="0" w:line="281" w:lineRule="auto"/>
        <w:rPr>
          <w:sz w:val="20"/>
          <w:szCs w:val="20"/>
          <w:color w:val="auto"/>
        </w:rPr>
      </w:pPr>
      <w:r>
        <w:rPr>
          <w:rFonts w:ascii="Arial" w:cs="Arial" w:eastAsia="Arial" w:hAnsi="Arial"/>
          <w:sz w:val="17"/>
          <w:szCs w:val="17"/>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56" w:lineRule="exact"/>
        <w:rPr>
          <w:sz w:val="20"/>
          <w:szCs w:val="20"/>
          <w:color w:val="auto"/>
        </w:rPr>
      </w:pPr>
    </w:p>
    <w:p>
      <w:pPr>
        <w:jc w:val="both"/>
        <w:ind w:left="200" w:right="219" w:firstLine="9"/>
        <w:spacing w:after="0" w:line="270" w:lineRule="auto"/>
        <w:tabs>
          <w:tab w:leader="none" w:pos="948" w:val="left"/>
        </w:tabs>
        <w:numPr>
          <w:ilvl w:val="0"/>
          <w:numId w:val="26"/>
        </w:numPr>
        <w:rPr>
          <w:rFonts w:ascii="Arial" w:cs="Arial" w:eastAsia="Arial" w:hAnsi="Arial"/>
          <w:sz w:val="22"/>
          <w:szCs w:val="22"/>
          <w:color w:val="auto"/>
        </w:rPr>
      </w:pPr>
      <w:r>
        <w:rPr>
          <w:rFonts w:ascii="Arial" w:cs="Arial" w:eastAsia="Arial" w:hAnsi="Arial"/>
          <w:sz w:val="17"/>
          <w:szCs w:val="17"/>
          <w:u w:val="single" w:color="auto"/>
          <w:color w:val="auto"/>
        </w:rPr>
        <w:t>Employment; Scope of Services</w:t>
      </w:r>
      <w:r>
        <w:rPr>
          <w:rFonts w:ascii="Arial" w:cs="Arial" w:eastAsia="Arial" w:hAnsi="Arial"/>
          <w:sz w:val="17"/>
          <w:szCs w:val="17"/>
          <w:color w:val="auto"/>
        </w:rPr>
        <w:t>. Company shall employ and/or continue to employ Employee, and Employee shall be employed and/or continue to be employed by Company, as Vice President, Finance.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56" w:lineRule="exact"/>
        <w:rPr>
          <w:rFonts w:ascii="Arial" w:cs="Arial" w:eastAsia="Arial" w:hAnsi="Arial"/>
          <w:sz w:val="22"/>
          <w:szCs w:val="22"/>
          <w:color w:val="auto"/>
        </w:rPr>
      </w:pPr>
    </w:p>
    <w:p>
      <w:pPr>
        <w:jc w:val="both"/>
        <w:ind w:left="200" w:right="219" w:firstLine="9"/>
        <w:spacing w:after="0" w:line="260" w:lineRule="auto"/>
        <w:tabs>
          <w:tab w:leader="none" w:pos="948" w:val="left"/>
        </w:tabs>
        <w:numPr>
          <w:ilvl w:val="0"/>
          <w:numId w:val="26"/>
        </w:numPr>
        <w:rPr>
          <w:rFonts w:ascii="Arial" w:cs="Arial" w:eastAsia="Arial" w:hAnsi="Arial"/>
          <w:sz w:val="22"/>
          <w:szCs w:val="22"/>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w:t>
      </w:r>
    </w:p>
    <w:p>
      <w:pPr>
        <w:spacing w:after="0" w:line="8" w:lineRule="exact"/>
        <w:rPr>
          <w:rFonts w:ascii="Arial" w:cs="Arial" w:eastAsia="Arial" w:hAnsi="Arial"/>
          <w:sz w:val="22"/>
          <w:szCs w:val="22"/>
          <w:color w:val="auto"/>
        </w:rPr>
      </w:pPr>
    </w:p>
    <w:p>
      <w:pPr>
        <w:ind w:left="200" w:right="219"/>
        <w:spacing w:after="0" w:line="280" w:lineRule="auto"/>
        <w:rPr>
          <w:rFonts w:ascii="Arial" w:cs="Arial" w:eastAsia="Arial" w:hAnsi="Arial"/>
          <w:sz w:val="22"/>
          <w:szCs w:val="22"/>
          <w:color w:val="auto"/>
        </w:rPr>
      </w:pPr>
      <w:r>
        <w:rPr>
          <w:rFonts w:ascii="Arial" w:cs="Arial" w:eastAsia="Arial" w:hAnsi="Arial"/>
          <w:sz w:val="17"/>
          <w:szCs w:val="17"/>
          <w:color w:val="auto"/>
        </w:rPr>
        <w:t>without notice, with or without cause. The date of Employee’s cessation of employment for any reason is the “</w:t>
      </w:r>
      <w:r>
        <w:rPr>
          <w:rFonts w:ascii="Arial" w:cs="Arial" w:eastAsia="Arial" w:hAnsi="Arial"/>
          <w:sz w:val="17"/>
          <w:szCs w:val="17"/>
          <w:b w:val="1"/>
          <w:bCs w:val="1"/>
          <w:color w:val="auto"/>
        </w:rPr>
        <w:t>Separation Date</w:t>
      </w:r>
      <w:r>
        <w:rPr>
          <w:rFonts w:ascii="Arial" w:cs="Arial" w:eastAsia="Arial" w:hAnsi="Arial"/>
          <w:sz w:val="17"/>
          <w:szCs w:val="17"/>
          <w:color w:val="auto"/>
        </w:rPr>
        <w:t>.”</w:t>
      </w:r>
    </w:p>
    <w:p>
      <w:pPr>
        <w:spacing w:after="0" w:line="8" w:lineRule="exact"/>
        <w:rPr>
          <w:rFonts w:ascii="Arial" w:cs="Arial" w:eastAsia="Arial" w:hAnsi="Arial"/>
          <w:sz w:val="22"/>
          <w:szCs w:val="22"/>
          <w:color w:val="auto"/>
        </w:rPr>
      </w:pPr>
    </w:p>
    <w:p>
      <w:pPr>
        <w:ind w:left="960" w:hanging="751"/>
        <w:spacing w:after="0"/>
        <w:tabs>
          <w:tab w:leader="none" w:pos="960" w:val="left"/>
        </w:tabs>
        <w:numPr>
          <w:ilvl w:val="0"/>
          <w:numId w:val="26"/>
        </w:numPr>
        <w:rPr>
          <w:rFonts w:ascii="Arial" w:cs="Arial" w:eastAsia="Arial" w:hAnsi="Arial"/>
          <w:sz w:val="22"/>
          <w:szCs w:val="22"/>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78" w:lineRule="exact"/>
        <w:rPr>
          <w:rFonts w:ascii="Arial" w:cs="Arial" w:eastAsia="Arial" w:hAnsi="Arial"/>
          <w:sz w:val="22"/>
          <w:szCs w:val="22"/>
          <w:color w:val="auto"/>
        </w:rPr>
      </w:pPr>
    </w:p>
    <w:p>
      <w:pPr>
        <w:jc w:val="both"/>
        <w:ind w:left="200" w:right="219" w:firstLine="657"/>
        <w:spacing w:after="0" w:line="274" w:lineRule="auto"/>
        <w:tabs>
          <w:tab w:leader="none" w:pos="1596" w:val="left"/>
        </w:tabs>
        <w:numPr>
          <w:ilvl w:val="1"/>
          <w:numId w:val="26"/>
        </w:numPr>
        <w:rPr>
          <w:rFonts w:ascii="Arial" w:cs="Arial" w:eastAsia="Arial" w:hAnsi="Arial"/>
          <w:sz w:val="22"/>
          <w:szCs w:val="22"/>
          <w:color w:val="auto"/>
        </w:rPr>
      </w:pPr>
      <w:r>
        <w:rPr>
          <w:rFonts w:ascii="Arial" w:cs="Arial" w:eastAsia="Arial" w:hAnsi="Arial"/>
          <w:sz w:val="17"/>
          <w:szCs w:val="17"/>
          <w:color w:val="auto"/>
        </w:rPr>
        <w:t>Employee acknowledges and agrees that: (1) the retail sale of value-priced/off- price family apparel is an extremely competitive industry; (2) Company has an ongoing strategy for expansion of its business in the United States; (3) Company’s major competitors operate throughout the United States and some internationally; and (4) because of Employee’s position as Vice President, Finance,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61" w:lineRule="exact"/>
        <w:rPr>
          <w:rFonts w:ascii="Arial" w:cs="Arial" w:eastAsia="Arial" w:hAnsi="Arial"/>
          <w:sz w:val="22"/>
          <w:szCs w:val="22"/>
          <w:color w:val="auto"/>
        </w:rPr>
      </w:pPr>
    </w:p>
    <w:p>
      <w:pPr>
        <w:jc w:val="both"/>
        <w:ind w:left="200" w:right="219" w:firstLine="657"/>
        <w:spacing w:after="0" w:line="270" w:lineRule="auto"/>
        <w:tabs>
          <w:tab w:leader="none" w:pos="1596" w:val="left"/>
        </w:tabs>
        <w:numPr>
          <w:ilvl w:val="1"/>
          <w:numId w:val="26"/>
        </w:numPr>
        <w:rPr>
          <w:rFonts w:ascii="Arial" w:cs="Arial" w:eastAsia="Arial" w:hAnsi="Arial"/>
          <w:sz w:val="22"/>
          <w:szCs w:val="22"/>
          <w:color w:val="auto"/>
        </w:rPr>
      </w:pPr>
      <w:r>
        <w:rPr>
          <w:rFonts w:ascii="Arial" w:cs="Arial" w:eastAsia="Arial" w:hAnsi="Arial"/>
          <w:sz w:val="17"/>
          <w:szCs w:val="17"/>
          <w:color w:val="auto"/>
        </w:rPr>
        <w:t>As used herein,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w:t>
      </w:r>
    </w:p>
    <w:p>
      <w:pPr>
        <w:spacing w:after="0" w:line="3"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Arial" w:cs="Arial" w:eastAsia="Arial" w:hAnsi="Arial"/>
          <w:sz w:val="17"/>
          <w:szCs w:val="17"/>
          <w:b w:val="1"/>
          <w:bCs w:val="1"/>
          <w:color w:val="auto"/>
        </w:rPr>
        <w:t>Trade Secret</w:t>
      </w:r>
      <w:r>
        <w:rPr>
          <w:rFonts w:ascii="Arial" w:cs="Arial" w:eastAsia="Arial" w:hAnsi="Arial"/>
          <w:sz w:val="17"/>
          <w:szCs w:val="17"/>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59" w:lineRule="exact"/>
        <w:rPr>
          <w:sz w:val="20"/>
          <w:szCs w:val="20"/>
          <w:color w:val="auto"/>
        </w:rPr>
      </w:pPr>
    </w:p>
    <w:p>
      <w:pPr>
        <w:jc w:val="both"/>
        <w:ind w:left="200" w:right="219" w:firstLine="657"/>
        <w:spacing w:after="0" w:line="250" w:lineRule="auto"/>
        <w:tabs>
          <w:tab w:leader="none" w:pos="1596" w:val="left"/>
        </w:tabs>
        <w:numPr>
          <w:ilvl w:val="0"/>
          <w:numId w:val="27"/>
        </w:numPr>
        <w:rPr>
          <w:rFonts w:ascii="Arial" w:cs="Arial" w:eastAsia="Arial" w:hAnsi="Arial"/>
          <w:sz w:val="22"/>
          <w:szCs w:val="22"/>
          <w:color w:val="auto"/>
        </w:rPr>
      </w:pPr>
      <w:r>
        <w:rPr>
          <w:rFonts w:ascii="Arial" w:cs="Arial" w:eastAsia="Arial" w:hAnsi="Arial"/>
          <w:sz w:val="17"/>
          <w:szCs w:val="17"/>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4" w:name="page55"/>
    <w:bookmarkEnd w:id="54"/>
    <w:p>
      <w:pPr>
        <w:ind w:left="7620"/>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73"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59" w:lineRule="exact"/>
        <w:rPr>
          <w:sz w:val="20"/>
          <w:szCs w:val="20"/>
          <w:color w:val="auto"/>
        </w:rPr>
      </w:pPr>
    </w:p>
    <w:p>
      <w:pPr>
        <w:jc w:val="both"/>
        <w:ind w:left="200" w:right="219" w:firstLine="657"/>
        <w:spacing w:after="0" w:line="268" w:lineRule="auto"/>
        <w:tabs>
          <w:tab w:leader="none" w:pos="1596" w:val="left"/>
        </w:tabs>
        <w:numPr>
          <w:ilvl w:val="0"/>
          <w:numId w:val="28"/>
        </w:numPr>
        <w:rPr>
          <w:rFonts w:ascii="Arial" w:cs="Arial" w:eastAsia="Arial" w:hAnsi="Arial"/>
          <w:sz w:val="22"/>
          <w:szCs w:val="22"/>
          <w:color w:val="auto"/>
        </w:rPr>
      </w:pPr>
      <w:r>
        <w:rPr>
          <w:rFonts w:ascii="Arial" w:cs="Arial" w:eastAsia="Arial" w:hAnsi="Arial"/>
          <w:sz w:val="17"/>
          <w:szCs w:val="17"/>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w:t>
      </w:r>
    </w:p>
    <w:p>
      <w:pPr>
        <w:spacing w:after="0" w:line="3"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57" w:lineRule="exact"/>
        <w:rPr>
          <w:sz w:val="20"/>
          <w:szCs w:val="20"/>
          <w:color w:val="auto"/>
        </w:rPr>
      </w:pPr>
    </w:p>
    <w:p>
      <w:pPr>
        <w:jc w:val="both"/>
        <w:ind w:left="200" w:right="219" w:firstLine="657"/>
        <w:spacing w:after="0" w:line="272" w:lineRule="auto"/>
        <w:tabs>
          <w:tab w:leader="none" w:pos="1596" w:val="left"/>
        </w:tabs>
        <w:numPr>
          <w:ilvl w:val="1"/>
          <w:numId w:val="29"/>
        </w:numPr>
        <w:rPr>
          <w:rFonts w:ascii="Arial" w:cs="Arial" w:eastAsia="Arial" w:hAnsi="Arial"/>
          <w:sz w:val="22"/>
          <w:szCs w:val="22"/>
          <w:color w:val="auto"/>
        </w:rPr>
      </w:pPr>
      <w:r>
        <w:rPr>
          <w:rFonts w:ascii="Arial" w:cs="Arial" w:eastAsia="Arial" w:hAnsi="Arial"/>
          <w:sz w:val="17"/>
          <w:szCs w:val="17"/>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60" w:lineRule="exact"/>
        <w:rPr>
          <w:rFonts w:ascii="Arial" w:cs="Arial" w:eastAsia="Arial" w:hAnsi="Arial"/>
          <w:sz w:val="22"/>
          <w:szCs w:val="22"/>
          <w:color w:val="auto"/>
        </w:rPr>
      </w:pPr>
    </w:p>
    <w:p>
      <w:pPr>
        <w:jc w:val="both"/>
        <w:ind w:left="200" w:right="219" w:firstLine="9"/>
        <w:spacing w:after="0" w:line="271" w:lineRule="auto"/>
        <w:tabs>
          <w:tab w:leader="none" w:pos="948" w:val="left"/>
        </w:tabs>
        <w:numPr>
          <w:ilvl w:val="0"/>
          <w:numId w:val="30"/>
        </w:numPr>
        <w:rPr>
          <w:rFonts w:ascii="Arial" w:cs="Arial" w:eastAsia="Arial" w:hAnsi="Arial"/>
          <w:sz w:val="22"/>
          <w:szCs w:val="22"/>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226" w:lineRule="exact"/>
        <w:rPr>
          <w:rFonts w:ascii="Arial" w:cs="Arial" w:eastAsia="Arial" w:hAnsi="Arial"/>
          <w:sz w:val="22"/>
          <w:szCs w:val="22"/>
          <w:color w:val="auto"/>
        </w:rPr>
      </w:pPr>
    </w:p>
    <w:p>
      <w:pPr>
        <w:jc w:val="both"/>
        <w:ind w:left="200" w:right="219"/>
        <w:spacing w:after="0" w:line="281" w:lineRule="auto"/>
        <w:rPr>
          <w:rFonts w:ascii="Arial" w:cs="Arial" w:eastAsia="Arial" w:hAnsi="Arial"/>
          <w:sz w:val="22"/>
          <w:szCs w:val="22"/>
          <w:color w:val="auto"/>
        </w:rPr>
      </w:pPr>
      <w:r>
        <w:rPr>
          <w:rFonts w:ascii="Arial" w:cs="Arial" w:eastAsia="Arial" w:hAnsi="Arial"/>
          <w:sz w:val="17"/>
          <w:szCs w:val="17"/>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5" w:lineRule="exact"/>
        <w:rPr>
          <w:rFonts w:ascii="Arial" w:cs="Arial" w:eastAsia="Arial" w:hAnsi="Arial"/>
          <w:sz w:val="22"/>
          <w:szCs w:val="22"/>
          <w:color w:val="auto"/>
        </w:rPr>
      </w:pPr>
    </w:p>
    <w:p>
      <w:pPr>
        <w:jc w:val="both"/>
        <w:ind w:left="200" w:right="219"/>
        <w:spacing w:after="0" w:line="283" w:lineRule="auto"/>
        <w:rPr>
          <w:rFonts w:ascii="Arial" w:cs="Arial" w:eastAsia="Arial" w:hAnsi="Arial"/>
          <w:sz w:val="22"/>
          <w:szCs w:val="22"/>
          <w:color w:val="auto"/>
        </w:rPr>
      </w:pPr>
      <w:r>
        <w:rPr>
          <w:rFonts w:ascii="Arial" w:cs="Arial" w:eastAsia="Arial" w:hAnsi="Arial"/>
          <w:sz w:val="17"/>
          <w:szCs w:val="17"/>
          <w:color w:val="auto"/>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7" w:right="1440" w:bottom="1440" w:gutter="0" w:footer="0" w:header="0"/>
        </w:sectPr>
      </w:pPr>
    </w:p>
    <w:bookmarkStart w:id="55" w:name="page56"/>
    <w:bookmarkEnd w:id="55"/>
    <w:p>
      <w:pPr>
        <w:ind w:left="7620"/>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73"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Company; or (b) perform or provide any services which are the same as or substantially similar to any of the services which Employee performed or provided for the Company, for or on behalf of any Competitor. For purposes of this Section 4, the term “</w:t>
      </w:r>
      <w:r>
        <w:rPr>
          <w:rFonts w:ascii="Arial" w:cs="Arial" w:eastAsia="Arial" w:hAnsi="Arial"/>
          <w:sz w:val="17"/>
          <w:szCs w:val="17"/>
          <w:b w:val="1"/>
          <w:bCs w:val="1"/>
          <w:color w:val="auto"/>
        </w:rPr>
        <w:t>Competitor</w:t>
      </w:r>
      <w:r>
        <w:rPr>
          <w:rFonts w:ascii="Arial" w:cs="Arial" w:eastAsia="Arial" w:hAnsi="Arial"/>
          <w:sz w:val="17"/>
          <w:szCs w:val="17"/>
          <w:color w:val="auto"/>
        </w:rPr>
        <w:t>” shall mean only the following businesses, commonly known as: Cato, TJX (including without limitation TJMAXX and Marshalls), Burlington Stores, Gabe’s/Rugged Wearhouse, and Ross Stores.</w:t>
      </w:r>
    </w:p>
    <w:p>
      <w:pPr>
        <w:spacing w:after="0" w:line="57" w:lineRule="exact"/>
        <w:rPr>
          <w:sz w:val="20"/>
          <w:szCs w:val="20"/>
          <w:color w:val="auto"/>
        </w:rPr>
      </w:pPr>
    </w:p>
    <w:p>
      <w:pPr>
        <w:jc w:val="both"/>
        <w:ind w:left="200" w:right="219" w:firstLine="9"/>
        <w:spacing w:after="0" w:line="250" w:lineRule="auto"/>
        <w:tabs>
          <w:tab w:leader="none" w:pos="948" w:val="left"/>
        </w:tabs>
        <w:numPr>
          <w:ilvl w:val="0"/>
          <w:numId w:val="31"/>
        </w:numPr>
        <w:rPr>
          <w:rFonts w:ascii="Arial" w:cs="Arial" w:eastAsia="Arial" w:hAnsi="Arial"/>
          <w:sz w:val="22"/>
          <w:szCs w:val="22"/>
          <w:color w:val="auto"/>
        </w:rPr>
      </w:pPr>
      <w:r>
        <w:rPr>
          <w:rFonts w:ascii="Arial" w:cs="Arial" w:eastAsia="Arial" w:hAnsi="Arial"/>
          <w:sz w:val="17"/>
          <w:szCs w:val="17"/>
          <w:u w:val="single" w:color="auto"/>
          <w:color w:val="auto"/>
        </w:rPr>
        <w:t>Covenant Not to Solicit</w:t>
      </w:r>
      <w:r>
        <w:rPr>
          <w:rFonts w:ascii="Arial" w:cs="Arial" w:eastAsia="Arial" w:hAnsi="Arial"/>
          <w:sz w:val="17"/>
          <w:szCs w:val="17"/>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w:t>
      </w:r>
    </w:p>
    <w:p>
      <w:pPr>
        <w:spacing w:after="0" w:line="17" w:lineRule="exact"/>
        <w:rPr>
          <w:rFonts w:ascii="Arial" w:cs="Arial" w:eastAsia="Arial" w:hAnsi="Arial"/>
          <w:sz w:val="22"/>
          <w:szCs w:val="22"/>
          <w:color w:val="auto"/>
        </w:rPr>
      </w:pPr>
    </w:p>
    <w:p>
      <w:pPr>
        <w:jc w:val="both"/>
        <w:ind w:left="200" w:right="219"/>
        <w:spacing w:after="0" w:line="281" w:lineRule="auto"/>
        <w:rPr>
          <w:rFonts w:ascii="Arial" w:cs="Arial" w:eastAsia="Arial" w:hAnsi="Arial"/>
          <w:sz w:val="22"/>
          <w:szCs w:val="22"/>
          <w:color w:val="auto"/>
        </w:rPr>
      </w:pPr>
      <w:r>
        <w:rPr>
          <w:rFonts w:ascii="Arial" w:cs="Arial" w:eastAsia="Arial" w:hAnsi="Arial"/>
          <w:sz w:val="17"/>
          <w:szCs w:val="17"/>
          <w:color w:val="auto"/>
        </w:rPr>
        <w:t>and/or inventory for or on behalf of any “Competitor” (as defined in Section 4 of this Agreement). As used herein, “</w:t>
      </w:r>
      <w:r>
        <w:rPr>
          <w:rFonts w:ascii="Arial" w:cs="Arial" w:eastAsia="Arial" w:hAnsi="Arial"/>
          <w:sz w:val="17"/>
          <w:szCs w:val="17"/>
          <w:b w:val="1"/>
          <w:bCs w:val="1"/>
          <w:color w:val="auto"/>
        </w:rPr>
        <w:t>Merchandise Vendors</w:t>
      </w:r>
      <w:r>
        <w:rPr>
          <w:rFonts w:ascii="Arial" w:cs="Arial" w:eastAsia="Arial" w:hAnsi="Arial"/>
          <w:sz w:val="17"/>
          <w:szCs w:val="17"/>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w:t>
      </w:r>
    </w:p>
    <w:p>
      <w:pPr>
        <w:spacing w:after="0" w:line="2" w:lineRule="exact"/>
        <w:rPr>
          <w:rFonts w:ascii="Arial" w:cs="Arial" w:eastAsia="Arial" w:hAnsi="Arial"/>
          <w:sz w:val="22"/>
          <w:szCs w:val="22"/>
          <w:color w:val="auto"/>
        </w:rPr>
      </w:pPr>
    </w:p>
    <w:p>
      <w:pPr>
        <w:jc w:val="both"/>
        <w:ind w:left="200" w:right="219"/>
        <w:spacing w:after="0" w:line="281" w:lineRule="auto"/>
        <w:rPr>
          <w:rFonts w:ascii="Arial" w:cs="Arial" w:eastAsia="Arial" w:hAnsi="Arial"/>
          <w:sz w:val="22"/>
          <w:szCs w:val="22"/>
          <w:color w:val="auto"/>
        </w:rPr>
      </w:pPr>
      <w:r>
        <w:rPr>
          <w:rFonts w:ascii="Arial" w:cs="Arial" w:eastAsia="Arial" w:hAnsi="Arial"/>
          <w:sz w:val="17"/>
          <w:szCs w:val="17"/>
          <w:color w:val="auto"/>
        </w:rPr>
        <w:t>merchandise and/or inventory, and with whom/which Employee had “material contact.” For purposes of this agreement, “</w:t>
      </w:r>
      <w:r>
        <w:rPr>
          <w:rFonts w:ascii="Arial" w:cs="Arial" w:eastAsia="Arial" w:hAnsi="Arial"/>
          <w:sz w:val="17"/>
          <w:szCs w:val="17"/>
          <w:b w:val="1"/>
          <w:bCs w:val="1"/>
          <w:color w:val="auto"/>
        </w:rPr>
        <w:t>material contact</w:t>
      </w:r>
      <w:r>
        <w:rPr>
          <w:rFonts w:ascii="Arial" w:cs="Arial" w:eastAsia="Arial" w:hAnsi="Arial"/>
          <w:sz w:val="17"/>
          <w:szCs w:val="17"/>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w:t>
      </w:r>
    </w:p>
    <w:p>
      <w:pPr>
        <w:spacing w:after="0" w:line="4"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2"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Employee specifically acknowledges and agrees that, as Vice President, Finance,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57" w:lineRule="exact"/>
        <w:rPr>
          <w:sz w:val="20"/>
          <w:szCs w:val="20"/>
          <w:color w:val="auto"/>
        </w:rPr>
      </w:pPr>
    </w:p>
    <w:p>
      <w:pPr>
        <w:jc w:val="both"/>
        <w:ind w:left="200" w:right="219" w:firstLine="9"/>
        <w:spacing w:after="0" w:line="265" w:lineRule="auto"/>
        <w:tabs>
          <w:tab w:leader="none" w:pos="948" w:val="left"/>
        </w:tabs>
        <w:numPr>
          <w:ilvl w:val="0"/>
          <w:numId w:val="32"/>
        </w:numPr>
        <w:rPr>
          <w:rFonts w:ascii="Arial" w:cs="Arial" w:eastAsia="Arial" w:hAnsi="Arial"/>
          <w:sz w:val="22"/>
          <w:szCs w:val="22"/>
          <w:color w:val="auto"/>
        </w:rPr>
      </w:pPr>
      <w:r>
        <w:rPr>
          <w:rFonts w:ascii="Arial" w:cs="Arial" w:eastAsia="Arial" w:hAnsi="Arial"/>
          <w:sz w:val="17"/>
          <w:szCs w:val="17"/>
          <w:u w:val="single" w:color="auto"/>
          <w:color w:val="auto"/>
        </w:rPr>
        <w:t>Covenant Not to Recruit Personnel</w:t>
      </w:r>
      <w:r>
        <w:rPr>
          <w:rFonts w:ascii="Arial" w:cs="Arial" w:eastAsia="Arial" w:hAnsi="Arial"/>
          <w:sz w:val="17"/>
          <w:szCs w:val="17"/>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58" w:lineRule="exact"/>
        <w:rPr>
          <w:rFonts w:ascii="Arial" w:cs="Arial" w:eastAsia="Arial" w:hAnsi="Arial"/>
          <w:sz w:val="22"/>
          <w:szCs w:val="22"/>
          <w:color w:val="auto"/>
        </w:rPr>
      </w:pPr>
    </w:p>
    <w:p>
      <w:pPr>
        <w:jc w:val="both"/>
        <w:ind w:left="200" w:right="219" w:firstLine="9"/>
        <w:spacing w:after="0" w:line="268" w:lineRule="auto"/>
        <w:tabs>
          <w:tab w:leader="none" w:pos="948" w:val="left"/>
        </w:tabs>
        <w:numPr>
          <w:ilvl w:val="0"/>
          <w:numId w:val="32"/>
        </w:numPr>
        <w:rPr>
          <w:rFonts w:ascii="Arial" w:cs="Arial" w:eastAsia="Arial" w:hAnsi="Arial"/>
          <w:sz w:val="22"/>
          <w:szCs w:val="22"/>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6940" w:type="dxa"/>
            <w:vAlign w:val="bottom"/>
          </w:tcPr>
          <w:p>
            <w:pPr>
              <w:spacing w:after="0"/>
              <w:rPr>
                <w:sz w:val="20"/>
                <w:szCs w:val="20"/>
                <w:color w:val="auto"/>
              </w:rPr>
            </w:pPr>
            <w:r>
              <w:rPr>
                <w:rFonts w:ascii="Arial" w:cs="Arial" w:eastAsia="Arial" w:hAnsi="Arial"/>
                <w:sz w:val="17"/>
                <w:szCs w:val="17"/>
                <w:color w:val="auto"/>
              </w:rPr>
              <w:t>its terms as to  be unconscionable, the court shall enforce so much of such restraint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as is determined to</w:t>
            </w:r>
          </w:p>
        </w:tc>
      </w:tr>
      <w:tr>
        <w:trPr>
          <w:trHeight w:val="230"/>
        </w:trPr>
        <w:tc>
          <w:tcPr>
            <w:tcW w:w="7800" w:type="dxa"/>
            <w:vAlign w:val="bottom"/>
            <w:gridSpan w:val="2"/>
          </w:tcPr>
          <w:p>
            <w:pPr>
              <w:spacing w:after="0"/>
              <w:rPr>
                <w:sz w:val="20"/>
                <w:szCs w:val="20"/>
                <w:color w:val="auto"/>
              </w:rPr>
            </w:pPr>
            <w:r>
              <w:rPr>
                <w:rFonts w:ascii="Arial" w:cs="Arial" w:eastAsia="Arial" w:hAnsi="Arial"/>
                <w:sz w:val="17"/>
                <w:szCs w:val="17"/>
                <w:color w:val="auto"/>
              </w:rPr>
              <w:t>be reasonably necessary to protect the legitimate interests of Company. Employee and Company</w:t>
            </w:r>
          </w:p>
        </w:tc>
        <w:tc>
          <w:tcPr>
            <w:tcW w:w="800" w:type="dxa"/>
            <w:vAlign w:val="bottom"/>
          </w:tcPr>
          <w:p>
            <w:pPr>
              <w:jc w:val="right"/>
              <w:spacing w:after="0"/>
              <w:rPr>
                <w:sz w:val="20"/>
                <w:szCs w:val="20"/>
                <w:color w:val="auto"/>
              </w:rPr>
            </w:pPr>
            <w:r>
              <w:rPr>
                <w:rFonts w:ascii="Arial" w:cs="Arial" w:eastAsia="Arial" w:hAnsi="Arial"/>
                <w:sz w:val="17"/>
                <w:szCs w:val="17"/>
                <w:color w:val="auto"/>
              </w:rPr>
              <w:t>expressly</w:t>
            </w:r>
          </w:p>
        </w:tc>
      </w:tr>
      <w:tr>
        <w:trPr>
          <w:trHeight w:val="230"/>
        </w:trPr>
        <w:tc>
          <w:tcPr>
            <w:tcW w:w="6940" w:type="dxa"/>
            <w:vAlign w:val="bottom"/>
          </w:tcPr>
          <w:p>
            <w:pPr>
              <w:spacing w:after="0"/>
              <w:rPr>
                <w:sz w:val="20"/>
                <w:szCs w:val="20"/>
                <w:color w:val="auto"/>
              </w:rPr>
            </w:pPr>
            <w:r>
              <w:rPr>
                <w:rFonts w:ascii="Arial" w:cs="Arial" w:eastAsia="Arial" w:hAnsi="Arial"/>
                <w:sz w:val="17"/>
                <w:szCs w:val="17"/>
                <w:color w:val="auto"/>
              </w:rPr>
              <w:t>agree that, should any court of competent jurisdiction find or determine that any of the</w:t>
            </w:r>
          </w:p>
        </w:tc>
        <w:tc>
          <w:tcPr>
            <w:tcW w:w="860" w:type="dxa"/>
            <w:vAlign w:val="bottom"/>
          </w:tcPr>
          <w:p>
            <w:pPr>
              <w:ind w:left="40"/>
              <w:spacing w:after="0"/>
              <w:rPr>
                <w:sz w:val="20"/>
                <w:szCs w:val="20"/>
                <w:color w:val="auto"/>
              </w:rPr>
            </w:pPr>
            <w:r>
              <w:rPr>
                <w:rFonts w:ascii="Arial" w:cs="Arial" w:eastAsia="Arial" w:hAnsi="Arial"/>
                <w:sz w:val="17"/>
                <w:szCs w:val="17"/>
                <w:color w:val="auto"/>
              </w:rPr>
              <w:t>covenants</w:t>
            </w:r>
          </w:p>
        </w:tc>
        <w:tc>
          <w:tcPr>
            <w:tcW w:w="800" w:type="dxa"/>
            <w:vAlign w:val="bottom"/>
          </w:tcPr>
          <w:p>
            <w:pPr>
              <w:jc w:val="right"/>
              <w:spacing w:after="0"/>
              <w:rPr>
                <w:sz w:val="20"/>
                <w:szCs w:val="20"/>
                <w:color w:val="auto"/>
              </w:rPr>
            </w:pPr>
            <w:r>
              <w:rPr>
                <w:rFonts w:ascii="Arial" w:cs="Arial" w:eastAsia="Arial" w:hAnsi="Arial"/>
                <w:sz w:val="17"/>
                <w:szCs w:val="17"/>
                <w:color w:val="auto"/>
              </w:rPr>
              <w:t>contained</w:t>
            </w:r>
          </w:p>
        </w:tc>
      </w:tr>
    </w:tbl>
    <w:p>
      <w:pPr>
        <w:spacing w:after="0" w:line="25" w:lineRule="exact"/>
        <w:rPr>
          <w:sz w:val="20"/>
          <w:szCs w:val="20"/>
          <w:color w:val="auto"/>
        </w:rPr>
      </w:pPr>
    </w:p>
    <w:p>
      <w:pPr>
        <w:jc w:val="both"/>
        <w:ind w:left="200" w:right="219"/>
        <w:spacing w:after="0" w:line="303" w:lineRule="auto"/>
        <w:rPr>
          <w:sz w:val="20"/>
          <w:szCs w:val="20"/>
          <w:color w:val="auto"/>
        </w:rPr>
      </w:pPr>
      <w:r>
        <w:rPr>
          <w:rFonts w:ascii="Arial" w:cs="Arial" w:eastAsia="Arial" w:hAnsi="Arial"/>
          <w:sz w:val="17"/>
          <w:szCs w:val="17"/>
          <w:color w:val="auto"/>
        </w:rPr>
        <w:t>herein are overly-broad or otherwise unenforceable, the court may “blue- pencil,” modify, and/or reform any such covenant (in whole or in part) so as to cure the over- breadth or to otherwise render the covenant enforceable.</w:t>
      </w:r>
    </w:p>
    <w:p>
      <w:pPr>
        <w:spacing w:after="0" w:line="201" w:lineRule="exact"/>
        <w:rPr>
          <w:sz w:val="20"/>
          <w:szCs w:val="20"/>
          <w:color w:val="auto"/>
        </w:rPr>
      </w:pPr>
    </w:p>
    <w:p>
      <w:pPr>
        <w:ind w:left="960" w:hanging="751"/>
        <w:spacing w:after="0"/>
        <w:tabs>
          <w:tab w:leader="none" w:pos="960" w:val="left"/>
        </w:tabs>
        <w:numPr>
          <w:ilvl w:val="0"/>
          <w:numId w:val="33"/>
        </w:numPr>
        <w:rPr>
          <w:rFonts w:ascii="Arial" w:cs="Arial" w:eastAsia="Arial" w:hAnsi="Arial"/>
          <w:sz w:val="22"/>
          <w:szCs w:val="22"/>
          <w:color w:val="auto"/>
        </w:rPr>
      </w:pPr>
      <w:r>
        <w:rPr>
          <w:rFonts w:ascii="Arial" w:cs="Arial" w:eastAsia="Arial" w:hAnsi="Arial"/>
          <w:sz w:val="17"/>
          <w:szCs w:val="17"/>
          <w:u w:val="single" w:color="auto"/>
          <w:color w:val="auto"/>
        </w:rPr>
        <w:t>Survival of Covenants</w:t>
      </w:r>
      <w:r>
        <w:rPr>
          <w:rFonts w:ascii="Arial" w:cs="Arial" w:eastAsia="Arial" w:hAnsi="Arial"/>
          <w:sz w:val="17"/>
          <w:szCs w:val="17"/>
          <w:color w:val="auto"/>
        </w:rPr>
        <w:t>.  All rights and covenants contained in  Sections 3, 4, 5, and 6 of  this</w:t>
      </w:r>
    </w:p>
    <w:p>
      <w:pPr>
        <w:spacing w:after="0" w:line="25" w:lineRule="exact"/>
        <w:rPr>
          <w:sz w:val="20"/>
          <w:szCs w:val="20"/>
          <w:color w:val="auto"/>
        </w:rPr>
      </w:pPr>
    </w:p>
    <w:p>
      <w:pPr>
        <w:ind w:left="200"/>
        <w:spacing w:after="0"/>
        <w:tabs>
          <w:tab w:leader="none" w:pos="7220" w:val="left"/>
        </w:tabs>
        <w:rPr>
          <w:sz w:val="20"/>
          <w:szCs w:val="20"/>
          <w:color w:val="auto"/>
        </w:rPr>
      </w:pPr>
      <w:r>
        <w:rPr>
          <w:rFonts w:ascii="Arial" w:cs="Arial" w:eastAsia="Arial" w:hAnsi="Arial"/>
          <w:sz w:val="17"/>
          <w:szCs w:val="17"/>
          <w:color w:val="auto"/>
        </w:rPr>
        <w:t>Agreement, and all remedies relating thereto, shall survive the termination of this Agreement</w:t>
      </w:r>
      <w:r>
        <w:rPr>
          <w:sz w:val="20"/>
          <w:szCs w:val="20"/>
          <w:color w:val="auto"/>
        </w:rPr>
        <w:tab/>
      </w:r>
      <w:r>
        <w:rPr>
          <w:rFonts w:ascii="Arial" w:cs="Arial" w:eastAsia="Arial" w:hAnsi="Arial"/>
          <w:sz w:val="16"/>
          <w:szCs w:val="16"/>
          <w:color w:val="auto"/>
        </w:rPr>
        <w:t>for any reason.</w:t>
      </w:r>
    </w:p>
    <w:p>
      <w:pPr>
        <w:spacing w:after="0" w:line="88" w:lineRule="exact"/>
        <w:rPr>
          <w:sz w:val="20"/>
          <w:szCs w:val="20"/>
          <w:color w:val="auto"/>
        </w:rPr>
      </w:pPr>
    </w:p>
    <w:p>
      <w:pPr>
        <w:jc w:val="both"/>
        <w:ind w:left="200" w:right="219" w:firstLine="9"/>
        <w:spacing w:after="0" w:line="232" w:lineRule="auto"/>
        <w:tabs>
          <w:tab w:leader="none" w:pos="948" w:val="left"/>
        </w:tabs>
        <w:numPr>
          <w:ilvl w:val="0"/>
          <w:numId w:val="34"/>
        </w:numPr>
        <w:rPr>
          <w:rFonts w:ascii="Arial" w:cs="Arial" w:eastAsia="Arial" w:hAnsi="Arial"/>
          <w:sz w:val="22"/>
          <w:szCs w:val="22"/>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The covenants, terms, and provisions set forth in this Agreement shall inure to the benefit of and be enforceable by Company and its successors, assigns, and successors-in-interest, including,</w:t>
      </w:r>
    </w:p>
    <w:p>
      <w:pPr>
        <w:spacing w:after="0" w:line="26"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7"/>
          <w:szCs w:val="17"/>
          <w:color w:val="auto"/>
        </w:rPr>
        <w:t>without limitation, any corporation, partnership, or other entity with which Company may be merged or by which it may be acquired. Employee may not assign Employee’s rights or obligations under this Agreement to any other party.</w:t>
      </w:r>
    </w:p>
    <w:p>
      <w:pPr>
        <w:ind w:left="200"/>
        <w:spacing w:after="0" w:line="194" w:lineRule="auto"/>
        <w:tabs>
          <w:tab w:leader="none" w:pos="94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All matters affecting this Agreement, including the validity thereof, are  to be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389890</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7" w:right="1440" w:bottom="1440" w:gutter="0" w:footer="0" w:header="0"/>
        </w:sectPr>
      </w:pPr>
    </w:p>
    <w:bookmarkStart w:id="56" w:name="page57"/>
    <w:bookmarkEnd w:id="56"/>
    <w:p>
      <w:pPr>
        <w:ind w:left="7620"/>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73" w:lineRule="exact"/>
        <w:rPr>
          <w:sz w:val="20"/>
          <w:szCs w:val="20"/>
          <w:color w:val="auto"/>
        </w:rPr>
      </w:pPr>
    </w:p>
    <w:p>
      <w:pPr>
        <w:ind w:left="200" w:right="239"/>
        <w:spacing w:after="0" w:line="280" w:lineRule="auto"/>
        <w:rPr>
          <w:sz w:val="20"/>
          <w:szCs w:val="20"/>
          <w:color w:val="auto"/>
        </w:rPr>
      </w:pPr>
      <w:r>
        <w:rPr>
          <w:rFonts w:ascii="Arial" w:cs="Arial" w:eastAsia="Arial" w:hAnsi="Arial"/>
          <w:sz w:val="17"/>
          <w:szCs w:val="17"/>
          <w:color w:val="auto"/>
        </w:rPr>
        <w:t>to, and interpreted and construed in accordance with, the laws of the State of Georgia applicable to contracts executed in and to be performed in that State.</w:t>
      </w:r>
    </w:p>
    <w:p>
      <w:pPr>
        <w:spacing w:after="0" w:line="57" w:lineRule="exact"/>
        <w:rPr>
          <w:sz w:val="20"/>
          <w:szCs w:val="20"/>
          <w:color w:val="auto"/>
        </w:rPr>
      </w:pPr>
    </w:p>
    <w:p>
      <w:pPr>
        <w:jc w:val="both"/>
        <w:ind w:left="200" w:right="219" w:firstLine="9"/>
        <w:spacing w:after="0" w:line="266" w:lineRule="auto"/>
        <w:tabs>
          <w:tab w:leader="none" w:pos="948" w:val="left"/>
        </w:tabs>
        <w:numPr>
          <w:ilvl w:val="0"/>
          <w:numId w:val="35"/>
        </w:numPr>
        <w:rPr>
          <w:rFonts w:ascii="Arial" w:cs="Arial" w:eastAsia="Arial" w:hAnsi="Arial"/>
          <w:sz w:val="22"/>
          <w:szCs w:val="22"/>
          <w:color w:val="auto"/>
        </w:rPr>
      </w:pPr>
      <w:r>
        <w:rPr>
          <w:rFonts w:ascii="Arial" w:cs="Arial" w:eastAsia="Arial" w:hAnsi="Arial"/>
          <w:sz w:val="17"/>
          <w:szCs w:val="17"/>
          <w:u w:val="single" w:color="auto"/>
          <w:color w:val="auto"/>
        </w:rPr>
        <w:t>No Interference with Rights</w:t>
      </w:r>
      <w:r>
        <w:rPr>
          <w:rFonts w:ascii="Arial" w:cs="Arial" w:eastAsia="Arial" w:hAnsi="Arial"/>
          <w:sz w:val="17"/>
          <w:szCs w:val="17"/>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235" w:lineRule="exact"/>
        <w:rPr>
          <w:rFonts w:ascii="Arial" w:cs="Arial" w:eastAsia="Arial" w:hAnsi="Arial"/>
          <w:sz w:val="22"/>
          <w:szCs w:val="22"/>
          <w:color w:val="auto"/>
        </w:rPr>
      </w:pPr>
    </w:p>
    <w:p>
      <w:pPr>
        <w:ind w:left="960" w:hanging="751"/>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17"/>
          <w:szCs w:val="17"/>
          <w:u w:val="single" w:color="auto"/>
          <w:color w:val="auto"/>
        </w:rPr>
        <w:t>Acknowledgment of Reasonableness/Remedies/Enforcement</w:t>
      </w:r>
      <w:r>
        <w:rPr>
          <w:rFonts w:ascii="Arial" w:cs="Arial" w:eastAsia="Arial" w:hAnsi="Arial"/>
          <w:sz w:val="17"/>
          <w:szCs w:val="17"/>
          <w:color w:val="auto"/>
        </w:rPr>
        <w:t>.</w:t>
      </w:r>
    </w:p>
    <w:p>
      <w:pPr>
        <w:spacing w:after="0" w:line="24" w:lineRule="exact"/>
        <w:rPr>
          <w:rFonts w:ascii="Arial" w:cs="Arial" w:eastAsia="Arial" w:hAnsi="Arial"/>
          <w:sz w:val="22"/>
          <w:szCs w:val="22"/>
          <w:color w:val="auto"/>
        </w:rPr>
      </w:pPr>
    </w:p>
    <w:p>
      <w:pPr>
        <w:jc w:val="both"/>
        <w:ind w:left="860" w:right="219" w:hanging="3"/>
        <w:spacing w:after="0" w:line="281" w:lineRule="auto"/>
        <w:tabs>
          <w:tab w:leader="none" w:pos="1608" w:val="left"/>
        </w:tabs>
        <w:numPr>
          <w:ilvl w:val="1"/>
          <w:numId w:val="35"/>
        </w:numPr>
        <w:rPr>
          <w:rFonts w:ascii="Arial" w:cs="Arial" w:eastAsia="Arial" w:hAnsi="Arial"/>
          <w:sz w:val="17"/>
          <w:szCs w:val="17"/>
          <w:color w:val="auto"/>
        </w:rPr>
      </w:pPr>
      <w:r>
        <w:rPr>
          <w:rFonts w:ascii="Arial" w:cs="Arial" w:eastAsia="Arial" w:hAnsi="Arial"/>
          <w:sz w:val="17"/>
          <w:szCs w:val="17"/>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57" w:lineRule="exact"/>
        <w:rPr>
          <w:rFonts w:ascii="Arial" w:cs="Arial" w:eastAsia="Arial" w:hAnsi="Arial"/>
          <w:sz w:val="17"/>
          <w:szCs w:val="17"/>
          <w:color w:val="auto"/>
        </w:rPr>
      </w:pPr>
    </w:p>
    <w:p>
      <w:pPr>
        <w:jc w:val="both"/>
        <w:ind w:left="200" w:right="219" w:firstLine="657"/>
        <w:spacing w:after="0" w:line="271" w:lineRule="auto"/>
        <w:tabs>
          <w:tab w:leader="none" w:pos="1596" w:val="left"/>
        </w:tabs>
        <w:numPr>
          <w:ilvl w:val="1"/>
          <w:numId w:val="35"/>
        </w:numPr>
        <w:rPr>
          <w:rFonts w:ascii="Arial" w:cs="Arial" w:eastAsia="Arial" w:hAnsi="Arial"/>
          <w:sz w:val="22"/>
          <w:szCs w:val="22"/>
          <w:color w:val="auto"/>
        </w:rPr>
      </w:pPr>
      <w:r>
        <w:rPr>
          <w:rFonts w:ascii="Arial" w:cs="Arial" w:eastAsia="Arial" w:hAnsi="Arial"/>
          <w:sz w:val="17"/>
          <w:szCs w:val="17"/>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59" w:lineRule="exact"/>
        <w:rPr>
          <w:rFonts w:ascii="Arial" w:cs="Arial" w:eastAsia="Arial" w:hAnsi="Arial"/>
          <w:sz w:val="22"/>
          <w:szCs w:val="22"/>
          <w:color w:val="auto"/>
        </w:rPr>
      </w:pPr>
    </w:p>
    <w:p>
      <w:pPr>
        <w:jc w:val="both"/>
        <w:ind w:left="200" w:right="219" w:firstLine="657"/>
        <w:spacing w:after="0" w:line="250" w:lineRule="auto"/>
        <w:tabs>
          <w:tab w:leader="none" w:pos="1596" w:val="left"/>
        </w:tabs>
        <w:numPr>
          <w:ilvl w:val="1"/>
          <w:numId w:val="35"/>
        </w:numPr>
        <w:rPr>
          <w:rFonts w:ascii="Arial" w:cs="Arial" w:eastAsia="Arial" w:hAnsi="Arial"/>
          <w:sz w:val="22"/>
          <w:szCs w:val="22"/>
          <w:color w:val="auto"/>
        </w:rPr>
      </w:pPr>
      <w:r>
        <w:rPr>
          <w:rFonts w:ascii="Arial" w:cs="Arial" w:eastAsia="Arial" w:hAnsi="Arial"/>
          <w:sz w:val="17"/>
          <w:szCs w:val="17"/>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71" w:lineRule="exact"/>
        <w:rPr>
          <w:rFonts w:ascii="Arial" w:cs="Arial" w:eastAsia="Arial" w:hAnsi="Arial"/>
          <w:sz w:val="22"/>
          <w:szCs w:val="22"/>
          <w:color w:val="auto"/>
        </w:rPr>
      </w:pPr>
    </w:p>
    <w:p>
      <w:pPr>
        <w:jc w:val="both"/>
        <w:ind w:left="200" w:right="219" w:firstLine="9"/>
        <w:spacing w:after="0" w:line="274" w:lineRule="auto"/>
        <w:tabs>
          <w:tab w:leader="none" w:pos="948" w:val="left"/>
        </w:tabs>
        <w:numPr>
          <w:ilvl w:val="0"/>
          <w:numId w:val="35"/>
        </w:numPr>
        <w:rPr>
          <w:rFonts w:ascii="Arial" w:cs="Arial" w:eastAsia="Arial" w:hAnsi="Arial"/>
          <w:sz w:val="22"/>
          <w:szCs w:val="22"/>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80" w:lineRule="exact"/>
        <w:rPr>
          <w:sz w:val="20"/>
          <w:szCs w:val="20"/>
          <w:color w:val="auto"/>
        </w:rPr>
      </w:pPr>
    </w:p>
    <w:p>
      <w:pPr>
        <w:jc w:val="both"/>
        <w:ind w:left="200" w:right="219"/>
        <w:spacing w:after="0" w:line="293" w:lineRule="auto"/>
        <w:rPr>
          <w:sz w:val="20"/>
          <w:szCs w:val="20"/>
          <w:color w:val="auto"/>
        </w:rPr>
      </w:pPr>
      <w:r>
        <w:rPr>
          <w:rFonts w:ascii="Arial" w:cs="Arial" w:eastAsia="Arial" w:hAnsi="Arial"/>
          <w:sz w:val="17"/>
          <w:szCs w:val="17"/>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7" w:right="1440" w:bottom="1440" w:gutter="0" w:footer="0" w:header="0"/>
        </w:sectPr>
      </w:pPr>
    </w:p>
    <w:bookmarkStart w:id="57" w:name="page58"/>
    <w:bookmarkEnd w:id="57"/>
    <w:p>
      <w:pPr>
        <w:ind w:left="7620"/>
        <w:spacing w:after="0"/>
        <w:rPr>
          <w:sz w:val="20"/>
          <w:szCs w:val="20"/>
          <w:color w:val="auto"/>
        </w:rPr>
      </w:pPr>
      <w:r>
        <w:rPr>
          <w:rFonts w:ascii="Arial" w:cs="Arial" w:eastAsia="Arial" w:hAnsi="Arial"/>
          <w:sz w:val="17"/>
          <w:szCs w:val="17"/>
          <w:b w:val="1"/>
          <w:bCs w:val="1"/>
          <w:color w:val="auto"/>
        </w:rPr>
        <w:t>Exhibit 10.22</w:t>
      </w:r>
    </w:p>
    <w:p>
      <w:pPr>
        <w:spacing w:after="0" w:line="200" w:lineRule="exact"/>
        <w:rPr>
          <w:sz w:val="20"/>
          <w:szCs w:val="20"/>
          <w:color w:val="auto"/>
        </w:rPr>
      </w:pPr>
    </w:p>
    <w:p>
      <w:pPr>
        <w:spacing w:after="0" w:line="273" w:lineRule="exact"/>
        <w:rPr>
          <w:sz w:val="20"/>
          <w:szCs w:val="20"/>
          <w:color w:val="auto"/>
        </w:rPr>
      </w:pPr>
    </w:p>
    <w:p>
      <w:pPr>
        <w:ind w:left="200" w:right="299"/>
        <w:spacing w:after="0" w:line="281" w:lineRule="auto"/>
        <w:rPr>
          <w:sz w:val="20"/>
          <w:szCs w:val="20"/>
          <w:color w:val="auto"/>
        </w:rPr>
      </w:pPr>
      <w:r>
        <w:rPr>
          <w:rFonts w:ascii="Arial" w:cs="Arial" w:eastAsia="Arial" w:hAnsi="Arial"/>
          <w:sz w:val="17"/>
          <w:szCs w:val="17"/>
          <w:color w:val="auto"/>
        </w:rPr>
        <w:t>IN WITNESS WHEREOF, the parties hereto have executed this Agreement under seal as of the day and year set forth below.</w:t>
      </w:r>
    </w:p>
    <w:tbl>
      <w:tblPr>
        <w:tblLayout w:type="fixed"/>
        <w:tblInd w:w="200" w:type="dxa"/>
        <w:tblCellMar>
          <w:top w:w="0" w:type="dxa"/>
          <w:left w:w="0" w:type="dxa"/>
          <w:bottom w:w="0" w:type="dxa"/>
          <w:right w:w="0" w:type="dxa"/>
        </w:tblCellMar>
      </w:tblPr>
      <w:tr>
        <w:trPr>
          <w:trHeight w:val="169"/>
        </w:trPr>
        <w:tc>
          <w:tcPr>
            <w:tcW w:w="3320" w:type="dxa"/>
            <w:vAlign w:val="bottom"/>
            <w:gridSpan w:val="2"/>
          </w:tcPr>
          <w:p>
            <w:pPr>
              <w:spacing w:after="0" w:line="170" w:lineRule="exact"/>
              <w:rPr>
                <w:sz w:val="20"/>
                <w:szCs w:val="20"/>
                <w:color w:val="auto"/>
              </w:rPr>
            </w:pPr>
            <w:r>
              <w:rPr>
                <w:rFonts w:ascii="Arial" w:cs="Arial" w:eastAsia="Arial" w:hAnsi="Arial"/>
                <w:sz w:val="17"/>
                <w:szCs w:val="17"/>
                <w:color w:val="auto"/>
              </w:rPr>
              <w:t>Citi Trends, Inc.</w:t>
            </w:r>
          </w:p>
        </w:tc>
        <w:tc>
          <w:tcPr>
            <w:tcW w:w="560" w:type="dxa"/>
            <w:vAlign w:val="bottom"/>
          </w:tcPr>
          <w:p>
            <w:pPr>
              <w:spacing w:after="0"/>
              <w:rPr>
                <w:sz w:val="14"/>
                <w:szCs w:val="14"/>
                <w:color w:val="auto"/>
              </w:rPr>
            </w:pPr>
          </w:p>
        </w:tc>
        <w:tc>
          <w:tcPr>
            <w:tcW w:w="172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rPr>
              <w:t>/s/ Jason Moschner</w:t>
            </w:r>
          </w:p>
        </w:tc>
        <w:tc>
          <w:tcPr>
            <w:tcW w:w="3000" w:type="dxa"/>
            <w:vAlign w:val="bottom"/>
          </w:tcPr>
          <w:p>
            <w:pPr>
              <w:spacing w:after="0"/>
              <w:rPr>
                <w:sz w:val="14"/>
                <w:szCs w:val="14"/>
                <w:color w:val="auto"/>
              </w:rPr>
            </w:pPr>
          </w:p>
        </w:tc>
      </w:tr>
      <w:tr>
        <w:trPr>
          <w:trHeight w:val="246"/>
        </w:trPr>
        <w:tc>
          <w:tcPr>
            <w:tcW w:w="1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Arial" w:cs="Arial" w:eastAsia="Arial" w:hAnsi="Arial"/>
                <w:sz w:val="17"/>
                <w:szCs w:val="17"/>
                <w:color w:val="auto"/>
              </w:rPr>
              <w:t>Employee Signature</w:t>
            </w:r>
          </w:p>
        </w:tc>
      </w:tr>
      <w:tr>
        <w:trPr>
          <w:trHeight w:val="395"/>
        </w:trPr>
        <w:tc>
          <w:tcPr>
            <w:tcW w:w="3320" w:type="dxa"/>
            <w:vAlign w:val="bottom"/>
            <w:gridSpan w:val="2"/>
          </w:tcPr>
          <w:p>
            <w:pPr>
              <w:spacing w:after="0"/>
              <w:rPr>
                <w:sz w:val="20"/>
                <w:szCs w:val="20"/>
                <w:color w:val="auto"/>
              </w:rPr>
            </w:pPr>
            <w:r>
              <w:rPr>
                <w:rFonts w:ascii="Arial" w:cs="Arial" w:eastAsia="Arial" w:hAnsi="Arial"/>
                <w:sz w:val="17"/>
                <w:szCs w:val="17"/>
                <w:color w:val="auto"/>
              </w:rPr>
              <w:t>By: /s/ David Makuen David Makuen</w:t>
            </w:r>
          </w:p>
        </w:tc>
        <w:tc>
          <w:tcPr>
            <w:tcW w:w="56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Arial" w:cs="Arial" w:eastAsia="Arial" w:hAnsi="Arial"/>
                <w:sz w:val="17"/>
                <w:szCs w:val="17"/>
                <w:color w:val="auto"/>
              </w:rPr>
              <w:t>Date: 1/18/2020</w:t>
            </w:r>
          </w:p>
        </w:tc>
      </w:tr>
      <w:tr>
        <w:trPr>
          <w:trHeight w:val="20"/>
        </w:trPr>
        <w:tc>
          <w:tcPr>
            <w:tcW w:w="16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6"/>
        </w:trPr>
        <w:tc>
          <w:tcPr>
            <w:tcW w:w="332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446"/>
        </w:trPr>
        <w:tc>
          <w:tcPr>
            <w:tcW w:w="3320" w:type="dxa"/>
            <w:vAlign w:val="bottom"/>
            <w:gridSpan w:val="2"/>
          </w:tcPr>
          <w:p>
            <w:pPr>
              <w:spacing w:after="0"/>
              <w:rPr>
                <w:sz w:val="20"/>
                <w:szCs w:val="20"/>
                <w:color w:val="auto"/>
              </w:rPr>
            </w:pPr>
            <w:r>
              <w:rPr>
                <w:rFonts w:ascii="Arial" w:cs="Arial" w:eastAsia="Arial" w:hAnsi="Arial"/>
                <w:sz w:val="17"/>
                <w:szCs w:val="17"/>
                <w:color w:val="auto"/>
              </w:rPr>
              <w:t>Date: 4/9/2021</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578"/>
        </w:trPr>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7" w:right="1440" w:bottom="1440" w:gutter="0" w:footer="0" w:header="0"/>
        </w:sectPr>
      </w:pPr>
    </w:p>
    <w:bookmarkStart w:id="58" w:name="page59"/>
    <w:bookmarkEnd w:id="58"/>
    <w:p>
      <w:pPr>
        <w:ind w:left="200"/>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SEVERANCE AGREEMENT</w:t>
      </w:r>
    </w:p>
    <w:p>
      <w:pPr>
        <w:spacing w:after="0" w:line="257" w:lineRule="exact"/>
        <w:rPr>
          <w:sz w:val="20"/>
          <w:szCs w:val="20"/>
          <w:color w:val="auto"/>
        </w:rPr>
      </w:pPr>
    </w:p>
    <w:p>
      <w:pPr>
        <w:ind w:left="200" w:right="399" w:firstLine="648"/>
        <w:spacing w:after="0" w:line="265" w:lineRule="auto"/>
        <w:rPr>
          <w:sz w:val="20"/>
          <w:szCs w:val="20"/>
          <w:color w:val="auto"/>
        </w:rPr>
      </w:pPr>
      <w:r>
        <w:rPr>
          <w:rFonts w:ascii="Arial" w:cs="Arial" w:eastAsia="Arial" w:hAnsi="Arial"/>
          <w:sz w:val="17"/>
          <w:szCs w:val="17"/>
          <w:color w:val="auto"/>
        </w:rPr>
        <w:t>This SEVERANCE AGREEMENT (“Agreement”) is entered into between Citi Trends, Inc., a Delaware corporation, including its subsidiaries, affiliates, divisions, successors, and related entities (the “Company”), and Jason Moschner, an individual (the “Executive”), effective as of the date signed by Executive below.</w:t>
      </w:r>
    </w:p>
    <w:p>
      <w:pPr>
        <w:jc w:val="both"/>
        <w:ind w:left="200" w:right="559" w:firstLine="648"/>
        <w:spacing w:after="0" w:line="265" w:lineRule="auto"/>
        <w:rPr>
          <w:sz w:val="20"/>
          <w:szCs w:val="20"/>
          <w:color w:val="auto"/>
        </w:rPr>
      </w:pPr>
      <w:r>
        <w:rPr>
          <w:rFonts w:ascii="Arial" w:cs="Arial" w:eastAsia="Arial" w:hAnsi="Arial"/>
          <w:sz w:val="17"/>
          <w:szCs w:val="17"/>
          <w:color w:val="auto"/>
        </w:rPr>
        <w:t>WHEREAS, the Company and the Executive are also parties to an Employment Non-Compete, Non-Solicit and Confidentiality Agreement (the “Confidentiality Agreement”) and certain restricted stock award and stock option agreements (collectively, the “Equity Agreements”), which are to remain in full force and effect;</w:t>
      </w:r>
    </w:p>
    <w:p>
      <w:pPr>
        <w:ind w:left="860"/>
        <w:spacing w:after="0"/>
        <w:rPr>
          <w:sz w:val="20"/>
          <w:szCs w:val="20"/>
          <w:color w:val="auto"/>
        </w:rPr>
      </w:pPr>
      <w:r>
        <w:rPr>
          <w:rFonts w:ascii="Arial" w:cs="Arial" w:eastAsia="Arial" w:hAnsi="Arial"/>
          <w:sz w:val="17"/>
          <w:szCs w:val="17"/>
          <w:color w:val="auto"/>
        </w:rPr>
        <w:t>NOW, THEREFORE, in consideration of the mutual agreements set forth herein, the parties agree 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follows:</w:t>
      </w:r>
    </w:p>
    <w:p>
      <w:pPr>
        <w:spacing w:after="0" w:line="21" w:lineRule="exact"/>
        <w:rPr>
          <w:sz w:val="20"/>
          <w:szCs w:val="20"/>
          <w:color w:val="auto"/>
        </w:rPr>
      </w:pPr>
    </w:p>
    <w:p>
      <w:pPr>
        <w:ind w:left="860" w:hanging="651"/>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Termination Payments and Benefits. Regardless of the circumstances of the Executive’s termination,</w:t>
      </w:r>
    </w:p>
    <w:p>
      <w:pPr>
        <w:spacing w:after="0" w:line="34" w:lineRule="exact"/>
        <w:rPr>
          <w:rFonts w:ascii="Arial" w:cs="Arial" w:eastAsia="Arial" w:hAnsi="Arial"/>
          <w:sz w:val="17"/>
          <w:szCs w:val="17"/>
          <w:color w:val="auto"/>
        </w:rPr>
      </w:pPr>
    </w:p>
    <w:p>
      <w:pPr>
        <w:ind w:left="200" w:right="239"/>
        <w:spacing w:after="0" w:line="265" w:lineRule="auto"/>
        <w:rPr>
          <w:rFonts w:ascii="Arial" w:cs="Arial" w:eastAsia="Arial" w:hAnsi="Arial"/>
          <w:sz w:val="17"/>
          <w:szCs w:val="17"/>
          <w:color w:val="auto"/>
        </w:rPr>
      </w:pPr>
      <w:r>
        <w:rPr>
          <w:rFonts w:ascii="Arial" w:cs="Arial" w:eastAsia="Arial" w:hAnsi="Arial"/>
          <w:sz w:val="17"/>
          <w:szCs w:val="17"/>
          <w:color w:val="auto"/>
        </w:rPr>
        <w:t>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ind w:left="1500" w:hanging="643"/>
        <w:spacing w:after="0"/>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(i) the Company terminates the Executive’s employment without Cause, or (ii) the Executive</w:t>
      </w:r>
    </w:p>
    <w:p>
      <w:pPr>
        <w:spacing w:after="0" w:line="34" w:lineRule="exact"/>
        <w:rPr>
          <w:rFonts w:ascii="Arial" w:cs="Arial" w:eastAsia="Arial" w:hAnsi="Arial"/>
          <w:sz w:val="17"/>
          <w:szCs w:val="17"/>
          <w:color w:val="auto"/>
        </w:rPr>
      </w:pPr>
    </w:p>
    <w:p>
      <w:pPr>
        <w:ind w:left="200" w:right="239"/>
        <w:spacing w:after="0" w:line="265" w:lineRule="auto"/>
        <w:rPr>
          <w:rFonts w:ascii="Arial" w:cs="Arial" w:eastAsia="Arial" w:hAnsi="Arial"/>
          <w:sz w:val="17"/>
          <w:szCs w:val="17"/>
          <w:color w:val="auto"/>
        </w:rPr>
      </w:pPr>
      <w:r>
        <w:rPr>
          <w:rFonts w:ascii="Arial" w:cs="Arial" w:eastAsia="Arial" w:hAnsi="Arial"/>
          <w:sz w:val="17"/>
          <w:szCs w:val="17"/>
          <w:color w:val="auto"/>
        </w:rPr>
        <w:t>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six</w:t>
      </w:r>
    </w:p>
    <w:p>
      <w:pPr>
        <w:ind w:left="200" w:right="519"/>
        <w:spacing w:after="0" w:line="265" w:lineRule="auto"/>
        <w:rPr>
          <w:rFonts w:ascii="Arial" w:cs="Arial" w:eastAsia="Arial" w:hAnsi="Arial"/>
          <w:sz w:val="17"/>
          <w:szCs w:val="17"/>
          <w:color w:val="auto"/>
        </w:rPr>
      </w:pPr>
      <w:r>
        <w:rPr>
          <w:rFonts w:ascii="Arial" w:cs="Arial" w:eastAsia="Arial" w:hAnsi="Arial"/>
          <w:sz w:val="17"/>
          <w:szCs w:val="17"/>
          <w:color w:val="auto"/>
        </w:rPr>
        <w:t>(6) months base salary at Executive’s base salary rate at the time of Executive’s termination or if greater, the Executive’s base rate in effect on the Change of Control Date; to be paid in thirteen (13)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ind w:left="1500" w:hanging="643"/>
        <w:spacing w:after="0"/>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 a period of six (6) months from the Executive’s separation from service, the Company will</w:t>
      </w:r>
    </w:p>
    <w:p>
      <w:pPr>
        <w:spacing w:after="0" w:line="34" w:lineRule="exact"/>
        <w:rPr>
          <w:rFonts w:ascii="Arial" w:cs="Arial" w:eastAsia="Arial" w:hAnsi="Arial"/>
          <w:sz w:val="17"/>
          <w:szCs w:val="17"/>
          <w:color w:val="auto"/>
        </w:rPr>
      </w:pPr>
    </w:p>
    <w:p>
      <w:pPr>
        <w:ind w:left="200" w:right="279"/>
        <w:spacing w:after="0" w:line="265" w:lineRule="auto"/>
        <w:rPr>
          <w:rFonts w:ascii="Arial" w:cs="Arial" w:eastAsia="Arial" w:hAnsi="Arial"/>
          <w:sz w:val="17"/>
          <w:szCs w:val="17"/>
          <w:color w:val="auto"/>
        </w:rPr>
      </w:pPr>
      <w:r>
        <w:rPr>
          <w:rFonts w:ascii="Arial" w:cs="Arial" w:eastAsia="Arial" w:hAnsi="Arial"/>
          <w:sz w:val="17"/>
          <w:szCs w:val="17"/>
          <w:color w:val="auto"/>
        </w:rPr>
        <w:t>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ind w:left="200" w:right="439" w:firstLine="657"/>
        <w:spacing w:after="0" w:line="273" w:lineRule="auto"/>
        <w:tabs>
          <w:tab w:leader="none" w:pos="14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For purposes of this Agreement, “Change in Control” shall mean the occurrence of any one of the following events:</w:t>
      </w:r>
    </w:p>
    <w:p>
      <w:pPr>
        <w:ind w:left="2160" w:hanging="655"/>
        <w:spacing w:after="0"/>
        <w:tabs>
          <w:tab w:leader="none" w:pos="21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w:t>
      </w:r>
    </w:p>
    <w:p>
      <w:pPr>
        <w:spacing w:after="0" w:line="34" w:lineRule="exact"/>
        <w:rPr>
          <w:rFonts w:ascii="Arial" w:cs="Arial" w:eastAsia="Arial" w:hAnsi="Arial"/>
          <w:sz w:val="17"/>
          <w:szCs w:val="17"/>
          <w:color w:val="auto"/>
        </w:rPr>
      </w:pPr>
    </w:p>
    <w:p>
      <w:pPr>
        <w:ind w:left="200" w:right="339"/>
        <w:spacing w:after="0" w:line="265" w:lineRule="auto"/>
        <w:rPr>
          <w:rFonts w:ascii="Arial" w:cs="Arial" w:eastAsia="Arial" w:hAnsi="Arial"/>
          <w:sz w:val="17"/>
          <w:szCs w:val="17"/>
          <w:color w:val="auto"/>
        </w:rPr>
      </w:pPr>
      <w:r>
        <w:rPr>
          <w:rFonts w:ascii="Arial" w:cs="Arial" w:eastAsia="Arial" w:hAnsi="Arial"/>
          <w:sz w:val="17"/>
          <w:szCs w:val="17"/>
          <w:color w:val="auto"/>
        </w:rPr>
        <w:t>or 14(d)(2) of the Securities Exchange Act of 1934, as amended (the “1934 Act”)) (a “Person”) of beneficial ownership (within the meaning of Rule 13d-3 promulgated under the 1934 Act) of 50% or more of the combined voting power of the then outstanding voting securities of the Company entitled to vote generally in the election of directors (the “Outstanding Company Voting Securities”); provided, however, that for purposes of this subsection</w:t>
      </w:r>
    </w:p>
    <w:p>
      <w:pPr>
        <w:jc w:val="both"/>
        <w:ind w:left="200" w:right="419"/>
        <w:spacing w:after="0" w:line="265" w:lineRule="auto"/>
        <w:rPr>
          <w:rFonts w:ascii="Arial" w:cs="Arial" w:eastAsia="Arial" w:hAnsi="Arial"/>
          <w:sz w:val="17"/>
          <w:szCs w:val="17"/>
          <w:color w:val="auto"/>
        </w:rPr>
      </w:pPr>
      <w:r>
        <w:rPr>
          <w:rFonts w:ascii="Arial" w:cs="Arial" w:eastAsia="Arial" w:hAnsi="Arial"/>
          <w:sz w:val="17"/>
          <w:szCs w:val="17"/>
          <w:color w:val="auto"/>
        </w:rPr>
        <w:t>(1),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w:t>
      </w:r>
    </w:p>
    <w:p>
      <w:pPr>
        <w:ind w:left="2160" w:hanging="655"/>
        <w:spacing w:after="0"/>
        <w:tabs>
          <w:tab w:leader="none" w:pos="21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any acquisition by any employee benefit plan (or related trust) sponsored or maintained</w:t>
      </w:r>
    </w:p>
    <w:p>
      <w:pPr>
        <w:spacing w:after="0" w:line="34" w:lineRule="exact"/>
        <w:rPr>
          <w:rFonts w:ascii="Arial" w:cs="Arial" w:eastAsia="Arial" w:hAnsi="Arial"/>
          <w:sz w:val="17"/>
          <w:szCs w:val="17"/>
          <w:color w:val="auto"/>
        </w:rPr>
      </w:pPr>
    </w:p>
    <w:p>
      <w:pPr>
        <w:ind w:left="200" w:right="239"/>
        <w:spacing w:after="0" w:line="265" w:lineRule="auto"/>
        <w:rPr>
          <w:rFonts w:ascii="Arial" w:cs="Arial" w:eastAsia="Arial" w:hAnsi="Arial"/>
          <w:sz w:val="17"/>
          <w:szCs w:val="17"/>
          <w:color w:val="auto"/>
        </w:rPr>
      </w:pPr>
      <w:r>
        <w:rPr>
          <w:rFonts w:ascii="Arial" w:cs="Arial" w:eastAsia="Arial" w:hAnsi="Arial"/>
          <w:sz w:val="17"/>
          <w:szCs w:val="17"/>
          <w:color w:val="auto"/>
        </w:rPr>
        <w:t>by the Company or any corporation controlled by the Company, or (v) any acquisition by any corporation pursuant to a transaction which complies with clauses (i), (ii) and (iii) of subsection (3) of this definition; or</w:t>
      </w:r>
    </w:p>
    <w:p>
      <w:pPr>
        <w:ind w:left="2160" w:hanging="655"/>
        <w:spacing w:after="0"/>
        <w:tabs>
          <w:tab w:leader="none" w:pos="21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individuals who, as of the date of this Agreement, constitute the Board of Directors of</w:t>
      </w:r>
    </w:p>
    <w:p>
      <w:pPr>
        <w:spacing w:after="0" w:line="34" w:lineRule="exact"/>
        <w:rPr>
          <w:rFonts w:ascii="Arial" w:cs="Arial" w:eastAsia="Arial" w:hAnsi="Arial"/>
          <w:sz w:val="17"/>
          <w:szCs w:val="17"/>
          <w:color w:val="auto"/>
        </w:rPr>
      </w:pPr>
    </w:p>
    <w:p>
      <w:pPr>
        <w:ind w:left="200" w:right="279"/>
        <w:spacing w:after="0" w:line="270" w:lineRule="auto"/>
        <w:rPr>
          <w:rFonts w:ascii="Arial" w:cs="Arial" w:eastAsia="Arial" w:hAnsi="Arial"/>
          <w:sz w:val="17"/>
          <w:szCs w:val="17"/>
          <w:color w:val="auto"/>
        </w:rPr>
      </w:pPr>
      <w:r>
        <w:rPr>
          <w:rFonts w:ascii="Arial" w:cs="Arial" w:eastAsia="Arial" w:hAnsi="Arial"/>
          <w:sz w:val="17"/>
          <w:szCs w:val="17"/>
          <w:color w:val="auto"/>
        </w:rPr>
        <w:t>the Company (the “Incumbent Board”) cease for any reason to constitute at least a majority of the Board of Directors of the Company; provided, however, that any individual becoming a director subsequent to the Effective Date whose election, or nomination for election by the Company's shareholders, was approved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ind w:left="200"/>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86" w:lineRule="exact"/>
        <w:rPr>
          <w:sz w:val="20"/>
          <w:szCs w:val="20"/>
          <w:color w:val="auto"/>
        </w:rPr>
      </w:pPr>
    </w:p>
    <w:p>
      <w:pPr>
        <w:ind w:left="200" w:right="259"/>
        <w:spacing w:after="0" w:line="265" w:lineRule="auto"/>
        <w:rPr>
          <w:sz w:val="20"/>
          <w:szCs w:val="20"/>
          <w:color w:val="auto"/>
        </w:rPr>
      </w:pPr>
      <w:r>
        <w:rPr>
          <w:rFonts w:ascii="Arial" w:cs="Arial" w:eastAsia="Arial" w:hAnsi="Arial"/>
          <w:sz w:val="17"/>
          <w:szCs w:val="17"/>
          <w:color w:val="auto"/>
        </w:rPr>
        <w:t>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 w:lineRule="exact"/>
        <w:rPr>
          <w:sz w:val="20"/>
          <w:szCs w:val="20"/>
          <w:color w:val="auto"/>
        </w:rPr>
      </w:pPr>
    </w:p>
    <w:p>
      <w:pPr>
        <w:ind w:left="2160" w:hanging="655"/>
        <w:spacing w:after="0"/>
        <w:tabs>
          <w:tab w:leader="none" w:pos="21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consummation of a reorganization, merger, consolidation or share exchange or sale or</w:t>
      </w:r>
    </w:p>
    <w:p>
      <w:pPr>
        <w:spacing w:after="0" w:line="34" w:lineRule="exact"/>
        <w:rPr>
          <w:rFonts w:ascii="Arial" w:cs="Arial" w:eastAsia="Arial" w:hAnsi="Arial"/>
          <w:sz w:val="17"/>
          <w:szCs w:val="17"/>
          <w:color w:val="auto"/>
        </w:rPr>
      </w:pPr>
    </w:p>
    <w:p>
      <w:pPr>
        <w:ind w:left="200" w:right="219"/>
        <w:spacing w:after="0" w:line="266" w:lineRule="auto"/>
        <w:rPr>
          <w:rFonts w:ascii="Arial" w:cs="Arial" w:eastAsia="Arial" w:hAnsi="Arial"/>
          <w:sz w:val="17"/>
          <w:szCs w:val="17"/>
          <w:color w:val="auto"/>
        </w:rPr>
      </w:pPr>
      <w:r>
        <w:rPr>
          <w:rFonts w:ascii="Arial" w:cs="Arial" w:eastAsia="Arial" w:hAnsi="Arial"/>
          <w:sz w:val="17"/>
          <w:szCs w:val="17"/>
          <w:color w:val="auto"/>
        </w:rPr>
        <w:t>other disposition of all or substantially all of the assets of the Company (a “Business Combination”),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6" w:lineRule="exact"/>
        <w:rPr>
          <w:rFonts w:ascii="Arial" w:cs="Arial" w:eastAsia="Arial" w:hAnsi="Arial"/>
          <w:sz w:val="17"/>
          <w:szCs w:val="17"/>
          <w:color w:val="auto"/>
        </w:rPr>
      </w:pPr>
    </w:p>
    <w:p>
      <w:pPr>
        <w:ind w:left="2160" w:hanging="655"/>
        <w:spacing w:after="0"/>
        <w:tabs>
          <w:tab w:leader="none" w:pos="216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7"/>
          <w:szCs w:val="17"/>
          <w:color w:val="auto"/>
        </w:rPr>
        <w:t>the Company.</w:t>
      </w:r>
    </w:p>
    <w:p>
      <w:pPr>
        <w:spacing w:after="0" w:line="20" w:lineRule="exact"/>
        <w:rPr>
          <w:rFonts w:ascii="Arial" w:cs="Arial" w:eastAsia="Arial" w:hAnsi="Arial"/>
          <w:sz w:val="17"/>
          <w:szCs w:val="17"/>
          <w:color w:val="auto"/>
        </w:rPr>
      </w:pPr>
    </w:p>
    <w:p>
      <w:pPr>
        <w:ind w:left="1500" w:hanging="596"/>
        <w:spacing w:after="0"/>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separation payments and benefits described in Sections 1(a) and 1(b), above, are</w:t>
      </w:r>
    </w:p>
    <w:p>
      <w:pPr>
        <w:spacing w:after="0" w:line="34" w:lineRule="exact"/>
        <w:rPr>
          <w:rFonts w:ascii="Arial" w:cs="Arial" w:eastAsia="Arial" w:hAnsi="Arial"/>
          <w:sz w:val="17"/>
          <w:szCs w:val="17"/>
          <w:color w:val="auto"/>
        </w:rPr>
      </w:pPr>
    </w:p>
    <w:p>
      <w:pPr>
        <w:ind w:left="200" w:right="239"/>
        <w:spacing w:after="0" w:line="265" w:lineRule="auto"/>
        <w:rPr>
          <w:rFonts w:ascii="Arial" w:cs="Arial" w:eastAsia="Arial" w:hAnsi="Arial"/>
          <w:sz w:val="17"/>
          <w:szCs w:val="17"/>
          <w:color w:val="auto"/>
        </w:rPr>
      </w:pPr>
      <w:r>
        <w:rPr>
          <w:rFonts w:ascii="Arial" w:cs="Arial" w:eastAsia="Arial" w:hAnsi="Arial"/>
          <w:sz w:val="17"/>
          <w:szCs w:val="17"/>
          <w:color w:val="auto"/>
        </w:rPr>
        <w:t>conditioned upon Executive executing a Separation and General Release Agreement at the time of termination, which releases and waives any and all claims against the Company and its affiliated persons and companies, and is acceptable to the Company.</w:t>
      </w:r>
    </w:p>
    <w:p>
      <w:pPr>
        <w:ind w:left="1500" w:hanging="643"/>
        <w:spacing w:after="0"/>
        <w:tabs>
          <w:tab w:leader="none" w:pos="1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all other circumstances of separation, including if the Executive resigns, retires or is</w:t>
      </w:r>
    </w:p>
    <w:p>
      <w:pPr>
        <w:spacing w:after="0" w:line="34" w:lineRule="exact"/>
        <w:rPr>
          <w:rFonts w:ascii="Arial" w:cs="Arial" w:eastAsia="Arial" w:hAnsi="Arial"/>
          <w:sz w:val="17"/>
          <w:szCs w:val="17"/>
          <w:color w:val="auto"/>
        </w:rPr>
      </w:pPr>
    </w:p>
    <w:p>
      <w:pPr>
        <w:ind w:left="200" w:right="639"/>
        <w:spacing w:after="0" w:line="265" w:lineRule="auto"/>
        <w:rPr>
          <w:rFonts w:ascii="Arial" w:cs="Arial" w:eastAsia="Arial" w:hAnsi="Arial"/>
          <w:sz w:val="17"/>
          <w:szCs w:val="17"/>
          <w:color w:val="auto"/>
        </w:rPr>
      </w:pPr>
      <w:r>
        <w:rPr>
          <w:rFonts w:ascii="Arial" w:cs="Arial" w:eastAsia="Arial" w:hAnsi="Arial"/>
          <w:sz w:val="17"/>
          <w:szCs w:val="17"/>
          <w:color w:val="auto"/>
        </w:rPr>
        <w:t>terminated for Cause, the Executive shall not be entitled to receive any separation payments or benefits. For purposes of this Agreement, “Cause” shall mean the Executive’s:</w:t>
      </w:r>
    </w:p>
    <w:p>
      <w:pPr>
        <w:ind w:left="200" w:right="319" w:firstLine="1305"/>
        <w:spacing w:after="0" w:line="273" w:lineRule="auto"/>
        <w:tabs>
          <w:tab w:leader="none" w:pos="2144" w:val="left"/>
        </w:tabs>
        <w:numPr>
          <w:ilvl w:val="2"/>
          <w:numId w:val="39"/>
        </w:numPr>
        <w:rPr>
          <w:rFonts w:ascii="Arial" w:cs="Arial" w:eastAsia="Arial" w:hAnsi="Arial"/>
          <w:sz w:val="17"/>
          <w:szCs w:val="17"/>
          <w:color w:val="auto"/>
        </w:rPr>
      </w:pPr>
      <w:r>
        <w:rPr>
          <w:rFonts w:ascii="Arial" w:cs="Arial" w:eastAsia="Arial" w:hAnsi="Arial"/>
          <w:sz w:val="17"/>
          <w:szCs w:val="17"/>
          <w:color w:val="auto"/>
        </w:rPr>
        <w:t>commission of an act of fraud or dishonesty, the purpose or effect of which, in the CEO and/or Board’s sole determination, adversely affects the Company;</w:t>
      </w:r>
    </w:p>
    <w:p>
      <w:pPr>
        <w:ind w:left="200" w:right="599" w:firstLine="1305"/>
        <w:spacing w:after="0" w:line="273" w:lineRule="auto"/>
        <w:tabs>
          <w:tab w:leader="none" w:pos="2144" w:val="left"/>
        </w:tabs>
        <w:numPr>
          <w:ilvl w:val="2"/>
          <w:numId w:val="39"/>
        </w:numPr>
        <w:rPr>
          <w:rFonts w:ascii="Arial" w:cs="Arial" w:eastAsia="Arial" w:hAnsi="Arial"/>
          <w:sz w:val="17"/>
          <w:szCs w:val="17"/>
          <w:color w:val="auto"/>
        </w:rPr>
      </w:pPr>
      <w:r>
        <w:rPr>
          <w:rFonts w:ascii="Arial" w:cs="Arial" w:eastAsia="Arial" w:hAnsi="Arial"/>
          <w:sz w:val="17"/>
          <w:szCs w:val="17"/>
          <w:color w:val="auto"/>
        </w:rPr>
        <w:t>conviction of a felony or a crime involving embezzlement, conversion of property or moral turpitude (whether by plea of nolo contendere or otherwise);</w:t>
      </w:r>
    </w:p>
    <w:p>
      <w:pPr>
        <w:ind w:left="2160" w:hanging="655"/>
        <w:spacing w:after="0"/>
        <w:tabs>
          <w:tab w:leader="none" w:pos="2160" w:val="left"/>
        </w:tabs>
        <w:numPr>
          <w:ilvl w:val="2"/>
          <w:numId w:val="39"/>
        </w:numPr>
        <w:rPr>
          <w:rFonts w:ascii="Arial" w:cs="Arial" w:eastAsia="Arial" w:hAnsi="Arial"/>
          <w:sz w:val="17"/>
          <w:szCs w:val="17"/>
          <w:color w:val="auto"/>
        </w:rPr>
      </w:pPr>
      <w:r>
        <w:rPr>
          <w:rFonts w:ascii="Arial" w:cs="Arial" w:eastAsia="Arial" w:hAnsi="Arial"/>
          <w:sz w:val="17"/>
          <w:szCs w:val="17"/>
          <w:color w:val="auto"/>
        </w:rPr>
        <w:t>engaging in willful or reckless misconduct or gross negligence in connection with any</w:t>
      </w:r>
    </w:p>
    <w:p>
      <w:pPr>
        <w:spacing w:after="0" w:line="34" w:lineRule="exact"/>
        <w:rPr>
          <w:rFonts w:ascii="Arial" w:cs="Arial" w:eastAsia="Arial" w:hAnsi="Arial"/>
          <w:sz w:val="17"/>
          <w:szCs w:val="17"/>
          <w:color w:val="auto"/>
        </w:rPr>
      </w:pPr>
    </w:p>
    <w:p>
      <w:pPr>
        <w:ind w:left="200" w:right="259"/>
        <w:spacing w:after="0" w:line="265" w:lineRule="auto"/>
        <w:rPr>
          <w:rFonts w:ascii="Arial" w:cs="Arial" w:eastAsia="Arial" w:hAnsi="Arial"/>
          <w:sz w:val="17"/>
          <w:szCs w:val="17"/>
          <w:color w:val="auto"/>
        </w:rPr>
      </w:pPr>
      <w:r>
        <w:rPr>
          <w:rFonts w:ascii="Arial" w:cs="Arial" w:eastAsia="Arial" w:hAnsi="Arial"/>
          <w:sz w:val="17"/>
          <w:szCs w:val="17"/>
          <w:color w:val="auto"/>
        </w:rPr>
        <w:t>property or activity of the Company, the purpose or effect of which, in the CEO and/or Board’s sole determination, adversely affects the Company;</w:t>
      </w:r>
    </w:p>
    <w:p>
      <w:pPr>
        <w:ind w:left="2160" w:hanging="655"/>
        <w:spacing w:after="0"/>
        <w:tabs>
          <w:tab w:leader="none" w:pos="2160" w:val="left"/>
        </w:tabs>
        <w:numPr>
          <w:ilvl w:val="2"/>
          <w:numId w:val="39"/>
        </w:numPr>
        <w:rPr>
          <w:rFonts w:ascii="Arial" w:cs="Arial" w:eastAsia="Arial" w:hAnsi="Arial"/>
          <w:sz w:val="17"/>
          <w:szCs w:val="17"/>
          <w:color w:val="auto"/>
        </w:rPr>
      </w:pPr>
      <w:r>
        <w:rPr>
          <w:rFonts w:ascii="Arial" w:cs="Arial" w:eastAsia="Arial" w:hAnsi="Arial"/>
          <w:sz w:val="17"/>
          <w:szCs w:val="17"/>
          <w:color w:val="auto"/>
        </w:rPr>
        <w:t>material breach of any of the Executive’s obligations as an employee or stockholder as</w:t>
      </w:r>
    </w:p>
    <w:p>
      <w:pPr>
        <w:spacing w:after="0" w:line="34" w:lineRule="exact"/>
        <w:rPr>
          <w:rFonts w:ascii="Arial" w:cs="Arial" w:eastAsia="Arial" w:hAnsi="Arial"/>
          <w:sz w:val="17"/>
          <w:szCs w:val="17"/>
          <w:color w:val="auto"/>
        </w:rPr>
      </w:pPr>
    </w:p>
    <w:p>
      <w:pPr>
        <w:ind w:left="200" w:right="279"/>
        <w:spacing w:after="0" w:line="265" w:lineRule="auto"/>
        <w:rPr>
          <w:rFonts w:ascii="Arial" w:cs="Arial" w:eastAsia="Arial" w:hAnsi="Arial"/>
          <w:sz w:val="17"/>
          <w:szCs w:val="17"/>
          <w:color w:val="auto"/>
        </w:rPr>
      </w:pPr>
      <w:r>
        <w:rPr>
          <w:rFonts w:ascii="Arial" w:cs="Arial" w:eastAsia="Arial" w:hAnsi="Arial"/>
          <w:sz w:val="17"/>
          <w:szCs w:val="17"/>
          <w:color w:val="auto"/>
        </w:rPr>
        <w:t>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w:t>
      </w:r>
    </w:p>
    <w:p>
      <w:pPr>
        <w:ind w:left="200"/>
        <w:spacing w:after="0"/>
        <w:rPr>
          <w:sz w:val="20"/>
          <w:szCs w:val="20"/>
          <w:color w:val="auto"/>
        </w:rPr>
      </w:pPr>
      <w:r>
        <w:rPr>
          <w:rFonts w:ascii="Arial" w:cs="Arial" w:eastAsia="Arial" w:hAnsi="Arial"/>
          <w:sz w:val="17"/>
          <w:szCs w:val="17"/>
          <w:color w:val="auto"/>
        </w:rPr>
        <w:t>breach and 30 days from such notice fails to cure the breach; or</w:t>
      </w:r>
    </w:p>
    <w:p>
      <w:pPr>
        <w:spacing w:after="0" w:line="21" w:lineRule="exact"/>
        <w:rPr>
          <w:sz w:val="20"/>
          <w:szCs w:val="20"/>
          <w:color w:val="auto"/>
        </w:rPr>
      </w:pPr>
    </w:p>
    <w:p>
      <w:pPr>
        <w:ind w:left="1500" w:hanging="643"/>
        <w:spacing w:after="0"/>
        <w:tabs>
          <w:tab w:leader="none" w:pos="15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failure or refusal to perform any material duty or responsibility under this Agreement or a</w:t>
      </w:r>
    </w:p>
    <w:p>
      <w:pPr>
        <w:spacing w:after="0" w:line="34" w:lineRule="exact"/>
        <w:rPr>
          <w:rFonts w:ascii="Arial" w:cs="Arial" w:eastAsia="Arial" w:hAnsi="Arial"/>
          <w:sz w:val="17"/>
          <w:szCs w:val="17"/>
          <w:color w:val="auto"/>
        </w:rPr>
      </w:pPr>
    </w:p>
    <w:p>
      <w:pPr>
        <w:ind w:left="200" w:right="559"/>
        <w:spacing w:after="0" w:line="265" w:lineRule="auto"/>
        <w:rPr>
          <w:rFonts w:ascii="Arial" w:cs="Arial" w:eastAsia="Arial" w:hAnsi="Arial"/>
          <w:sz w:val="17"/>
          <w:szCs w:val="17"/>
          <w:color w:val="auto"/>
        </w:rPr>
      </w:pPr>
      <w:r>
        <w:rPr>
          <w:rFonts w:ascii="Arial" w:cs="Arial" w:eastAsia="Arial" w:hAnsi="Arial"/>
          <w:sz w:val="17"/>
          <w:szCs w:val="17"/>
          <w:color w:val="auto"/>
        </w:rPr>
        <w:t>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ind w:left="200" w:right="659" w:firstLine="9"/>
        <w:spacing w:after="0" w:line="293" w:lineRule="auto"/>
        <w:tabs>
          <w:tab w:leader="none" w:pos="848"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Notice. The Executive will send all communications to the Company in writing, to: Executive Vice President of Human Resources, Citi Trends, Inc., 104 Coleman Blvd., Savannah, Georgia 31408, Fax: (912)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0" w:name="page61"/>
    <w:bookmarkEnd w:id="60"/>
    <w:p>
      <w:pPr>
        <w:ind w:left="200"/>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86" w:lineRule="exact"/>
        <w:rPr>
          <w:sz w:val="20"/>
          <w:szCs w:val="20"/>
          <w:color w:val="auto"/>
        </w:rPr>
      </w:pPr>
    </w:p>
    <w:p>
      <w:pPr>
        <w:ind w:left="200" w:right="339"/>
        <w:spacing w:after="0" w:line="265" w:lineRule="auto"/>
        <w:rPr>
          <w:sz w:val="20"/>
          <w:szCs w:val="20"/>
          <w:color w:val="auto"/>
        </w:rPr>
      </w:pPr>
      <w:r>
        <w:rPr>
          <w:rFonts w:ascii="Arial" w:cs="Arial" w:eastAsia="Arial" w:hAnsi="Arial"/>
          <w:sz w:val="17"/>
          <w:szCs w:val="17"/>
          <w:color w:val="auto"/>
        </w:rPr>
        <w:t>443-3663. All communications from the Company to the Executive relating to this Agreement shall be sent to the Executive in writing at his office and home address as reflected in the Company’s records.</w:t>
      </w:r>
    </w:p>
    <w:p>
      <w:pPr>
        <w:ind w:left="860" w:hanging="651"/>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Amendment. No provisions of this Agreement may be modified, waived, or discharged except by a</w:t>
      </w:r>
    </w:p>
    <w:p>
      <w:pPr>
        <w:spacing w:after="0" w:line="34" w:lineRule="exact"/>
        <w:rPr>
          <w:rFonts w:ascii="Arial" w:cs="Arial" w:eastAsia="Arial" w:hAnsi="Arial"/>
          <w:sz w:val="17"/>
          <w:szCs w:val="17"/>
          <w:color w:val="auto"/>
        </w:rPr>
      </w:pPr>
    </w:p>
    <w:p>
      <w:pPr>
        <w:ind w:left="200" w:right="299"/>
        <w:spacing w:after="0" w:line="265" w:lineRule="auto"/>
        <w:rPr>
          <w:rFonts w:ascii="Arial" w:cs="Arial" w:eastAsia="Arial" w:hAnsi="Arial"/>
          <w:sz w:val="17"/>
          <w:szCs w:val="17"/>
          <w:color w:val="auto"/>
        </w:rPr>
      </w:pPr>
      <w:r>
        <w:rPr>
          <w:rFonts w:ascii="Arial" w:cs="Arial" w:eastAsia="Arial" w:hAnsi="Arial"/>
          <w:sz w:val="17"/>
          <w:szCs w:val="17"/>
          <w:color w:val="auto"/>
        </w:rPr>
        <w:t>written document signed by a duly authorized Company officer and the Executive. A waiver of any conditions or provisions of this Agreement in a given instance shall not be deemed a waiver of such conditions or provisions at any other time in the future.</w:t>
      </w:r>
    </w:p>
    <w:p>
      <w:pPr>
        <w:ind w:left="860" w:hanging="651"/>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Choice of Law and Venue. The validity, interpretation, construction, and performance of this Agreement</w:t>
      </w:r>
    </w:p>
    <w:p>
      <w:pPr>
        <w:spacing w:after="0" w:line="34" w:lineRule="exact"/>
        <w:rPr>
          <w:rFonts w:ascii="Arial" w:cs="Arial" w:eastAsia="Arial" w:hAnsi="Arial"/>
          <w:sz w:val="17"/>
          <w:szCs w:val="17"/>
          <w:color w:val="auto"/>
        </w:rPr>
      </w:pPr>
    </w:p>
    <w:p>
      <w:pPr>
        <w:ind w:left="200" w:right="319"/>
        <w:spacing w:after="0" w:line="265" w:lineRule="auto"/>
        <w:rPr>
          <w:rFonts w:ascii="Arial" w:cs="Arial" w:eastAsia="Arial" w:hAnsi="Arial"/>
          <w:sz w:val="17"/>
          <w:szCs w:val="17"/>
          <w:color w:val="auto"/>
        </w:rPr>
      </w:pPr>
      <w:r>
        <w:rPr>
          <w:rFonts w:ascii="Arial" w:cs="Arial" w:eastAsia="Arial" w:hAnsi="Arial"/>
          <w:sz w:val="17"/>
          <w:szCs w:val="17"/>
          <w:color w:val="auto"/>
        </w:rPr>
        <w:t>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ind w:left="1500" w:hanging="596"/>
        <w:spacing w:after="0"/>
        <w:tabs>
          <w:tab w:leader="none" w:pos="1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Successors. This Agreement shall be binding upon, and shall inure to the benefit of, the</w:t>
      </w:r>
    </w:p>
    <w:p>
      <w:pPr>
        <w:spacing w:after="0" w:line="34" w:lineRule="exact"/>
        <w:rPr>
          <w:rFonts w:ascii="Arial" w:cs="Arial" w:eastAsia="Arial" w:hAnsi="Arial"/>
          <w:sz w:val="17"/>
          <w:szCs w:val="17"/>
          <w:color w:val="auto"/>
        </w:rPr>
      </w:pPr>
    </w:p>
    <w:p>
      <w:pPr>
        <w:ind w:left="200" w:right="579"/>
        <w:spacing w:after="0" w:line="265" w:lineRule="auto"/>
        <w:rPr>
          <w:rFonts w:ascii="Arial" w:cs="Arial" w:eastAsia="Arial" w:hAnsi="Arial"/>
          <w:sz w:val="17"/>
          <w:szCs w:val="17"/>
          <w:color w:val="auto"/>
        </w:rPr>
      </w:pPr>
      <w:r>
        <w:rPr>
          <w:rFonts w:ascii="Arial" w:cs="Arial" w:eastAsia="Arial" w:hAnsi="Arial"/>
          <w:sz w:val="17"/>
          <w:szCs w:val="17"/>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 w:lineRule="exact"/>
        <w:rPr>
          <w:sz w:val="20"/>
          <w:szCs w:val="20"/>
          <w:color w:val="auto"/>
        </w:rPr>
      </w:pPr>
    </w:p>
    <w:p>
      <w:pPr>
        <w:ind w:left="200" w:right="599" w:firstLine="9"/>
        <w:spacing w:after="0" w:line="273" w:lineRule="auto"/>
        <w:tabs>
          <w:tab w:leader="none" w:pos="8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Counterparts. This Agreement may be executed in one or more counterparts, each of which shall be deemed to be an original but all of which together shall constitute the same instrument.</w:t>
      </w:r>
    </w:p>
    <w:p>
      <w:pPr>
        <w:ind w:left="860" w:hanging="651"/>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Entire Agreement. This Agreement and the Confidentiality Agreement between the parties constitute the</w:t>
      </w:r>
    </w:p>
    <w:p>
      <w:pPr>
        <w:spacing w:after="0" w:line="34" w:lineRule="exact"/>
        <w:rPr>
          <w:rFonts w:ascii="Arial" w:cs="Arial" w:eastAsia="Arial" w:hAnsi="Arial"/>
          <w:sz w:val="17"/>
          <w:szCs w:val="17"/>
          <w:color w:val="auto"/>
        </w:rPr>
      </w:pPr>
    </w:p>
    <w:p>
      <w:pPr>
        <w:ind w:left="200" w:right="339"/>
        <w:spacing w:after="0" w:line="265" w:lineRule="auto"/>
        <w:rPr>
          <w:rFonts w:ascii="Arial" w:cs="Arial" w:eastAsia="Arial" w:hAnsi="Arial"/>
          <w:sz w:val="17"/>
          <w:szCs w:val="17"/>
          <w:color w:val="auto"/>
        </w:rPr>
      </w:pPr>
      <w:r>
        <w:rPr>
          <w:rFonts w:ascii="Arial" w:cs="Arial" w:eastAsia="Arial" w:hAnsi="Arial"/>
          <w:sz w:val="17"/>
          <w:szCs w:val="17"/>
          <w:color w:val="auto"/>
        </w:rPr>
        <w:t>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 w:lineRule="exact"/>
        <w:rPr>
          <w:rFonts w:ascii="Arial" w:cs="Arial" w:eastAsia="Arial" w:hAnsi="Arial"/>
          <w:sz w:val="17"/>
          <w:szCs w:val="17"/>
          <w:color w:val="auto"/>
        </w:rPr>
      </w:pPr>
    </w:p>
    <w:p>
      <w:pPr>
        <w:ind w:left="200" w:right="659" w:firstLine="9"/>
        <w:spacing w:after="0" w:line="273" w:lineRule="auto"/>
        <w:tabs>
          <w:tab w:leader="none" w:pos="8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Employment At-Will Relationship. Executive and the Company agree that nothing in this Agreement alters the at-will nature of Executive’s employment relationship with the Company.</w:t>
      </w:r>
    </w:p>
    <w:p>
      <w:pPr>
        <w:ind w:left="860" w:hanging="651"/>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Internal Revenue Code Section 409A. Notwithstanding anything in this Agreement to the contrary, to the</w:t>
      </w:r>
    </w:p>
    <w:p>
      <w:pPr>
        <w:spacing w:after="0" w:line="34" w:lineRule="exact"/>
        <w:rPr>
          <w:rFonts w:ascii="Arial" w:cs="Arial" w:eastAsia="Arial" w:hAnsi="Arial"/>
          <w:sz w:val="17"/>
          <w:szCs w:val="17"/>
          <w:color w:val="auto"/>
        </w:rPr>
      </w:pPr>
    </w:p>
    <w:p>
      <w:pPr>
        <w:ind w:left="200" w:right="259"/>
        <w:spacing w:after="0" w:line="266" w:lineRule="auto"/>
        <w:rPr>
          <w:rFonts w:ascii="Arial" w:cs="Arial" w:eastAsia="Arial" w:hAnsi="Arial"/>
          <w:sz w:val="17"/>
          <w:szCs w:val="17"/>
          <w:color w:val="auto"/>
        </w:rPr>
      </w:pPr>
      <w:r>
        <w:rPr>
          <w:rFonts w:ascii="Arial" w:cs="Arial" w:eastAsia="Arial" w:hAnsi="Arial"/>
          <w:sz w:val="17"/>
          <w:szCs w:val="17"/>
          <w:color w:val="auto"/>
        </w:rPr>
        <w:t>extent that any amount or benefit that would constitute non-exempt “deferred compensation” for purposes of Section 409A of the Internal Revenue Code (“Section 409A”)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617855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1" w:name="page62"/>
    <w:bookmarkEnd w:id="61"/>
    <w:p>
      <w:pPr>
        <w:ind w:left="200"/>
        <w:spacing w:after="0"/>
        <w:rPr>
          <w:sz w:val="20"/>
          <w:szCs w:val="20"/>
          <w:color w:val="auto"/>
        </w:rPr>
      </w:pPr>
      <w:r>
        <w:rPr>
          <w:rFonts w:ascii="Arial" w:cs="Arial" w:eastAsia="Arial" w:hAnsi="Arial"/>
          <w:sz w:val="17"/>
          <w:szCs w:val="17"/>
          <w:b w:val="1"/>
          <w:bCs w:val="1"/>
          <w:color w:val="auto"/>
        </w:rPr>
        <w:t>Exhibit 10.23</w:t>
      </w:r>
    </w:p>
    <w:p>
      <w:pPr>
        <w:spacing w:after="0" w:line="200" w:lineRule="exact"/>
        <w:rPr>
          <w:sz w:val="20"/>
          <w:szCs w:val="20"/>
          <w:color w:val="auto"/>
        </w:rPr>
      </w:pPr>
    </w:p>
    <w:p>
      <w:pPr>
        <w:spacing w:after="0" w:line="28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WITNESS WHEREOF, the parties hereto have set their hands as of the day and year set forth below.</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CITI TRENDS, INC.</w:t>
      </w:r>
    </w:p>
    <w:p>
      <w:pPr>
        <w:spacing w:after="0" w:line="23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David Makuen</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Name: David Makuen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Title: Chief Executive Officer</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Dated: 4/9/2021</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auto"/>
        </w:rPr>
        <w:t>/s/ Jason Moschner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Employee Name</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Dated: 1/18/2020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2" w:name="page63"/>
    <w:bookmarkEnd w:id="62"/>
    <w:tbl>
      <w:tblPr>
        <w:tblLayout w:type="fixed"/>
        <w:tblInd w:w="4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3"/>
          </w:tcPr>
          <w:p>
            <w:pPr>
              <w:ind w:left="2200"/>
              <w:spacing w:after="0"/>
              <w:rPr>
                <w:sz w:val="20"/>
                <w:szCs w:val="20"/>
                <w:color w:val="auto"/>
              </w:rPr>
            </w:pPr>
            <w:r>
              <w:rPr>
                <w:rFonts w:ascii="Arial" w:cs="Arial" w:eastAsia="Arial" w:hAnsi="Arial"/>
                <w:sz w:val="17"/>
                <w:szCs w:val="17"/>
                <w:b w:val="1"/>
                <w:bCs w:val="1"/>
                <w:color w:val="auto"/>
                <w:w w:val="99"/>
              </w:rPr>
              <w:t>Exhibit 21.1</w:t>
            </w:r>
          </w:p>
        </w:tc>
        <w:tc>
          <w:tcPr>
            <w:tcW w:w="0" w:type="dxa"/>
            <w:vAlign w:val="bottom"/>
          </w:tcPr>
          <w:p>
            <w:pPr>
              <w:spacing w:after="0"/>
              <w:rPr>
                <w:sz w:val="1"/>
                <w:szCs w:val="1"/>
                <w:color w:val="auto"/>
              </w:rPr>
            </w:pPr>
          </w:p>
        </w:tc>
      </w:tr>
      <w:tr>
        <w:trPr>
          <w:trHeight w:val="405"/>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 of the Registrant</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 of</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Names Under Which</w:t>
            </w:r>
          </w:p>
        </w:tc>
        <w:tc>
          <w:tcPr>
            <w:tcW w:w="0" w:type="dxa"/>
            <w:vAlign w:val="bottom"/>
          </w:tcPr>
          <w:p>
            <w:pPr>
              <w:spacing w:after="0"/>
              <w:rPr>
                <w:sz w:val="1"/>
                <w:szCs w:val="1"/>
                <w:color w:val="auto"/>
              </w:rPr>
            </w:pPr>
          </w:p>
        </w:tc>
      </w:tr>
      <w:tr>
        <w:trPr>
          <w:trHeight w:val="175"/>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Incorporation</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Subsidiary Does Business</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Marketing Solutions, Inc.</w:t>
            </w:r>
          </w:p>
        </w:tc>
        <w:tc>
          <w:tcPr>
            <w:tcW w:w="24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Idaho</w:t>
            </w:r>
          </w:p>
        </w:tc>
        <w:tc>
          <w:tcPr>
            <w:tcW w:w="3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Citi Trends Marketing Solutions, Inc.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63" w:name="page64"/>
    <w:bookmarkEnd w:id="63"/>
    <w:p>
      <w:pPr>
        <w:jc w:val="right"/>
        <w:ind w:right="59"/>
        <w:spacing w:after="0"/>
        <w:rPr>
          <w:sz w:val="20"/>
          <w:szCs w:val="20"/>
          <w:color w:val="auto"/>
        </w:rPr>
      </w:pPr>
      <w:r>
        <w:rPr>
          <w:rFonts w:ascii="Arial" w:cs="Arial" w:eastAsia="Arial" w:hAnsi="Arial"/>
          <w:sz w:val="17"/>
          <w:szCs w:val="17"/>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Board of Directors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Citi Trends, Inc.:</w:t>
      </w:r>
    </w:p>
    <w:p>
      <w:pPr>
        <w:spacing w:after="0" w:line="237" w:lineRule="exact"/>
        <w:rPr>
          <w:sz w:val="20"/>
          <w:szCs w:val="20"/>
          <w:color w:val="auto"/>
        </w:rPr>
      </w:pPr>
    </w:p>
    <w:p>
      <w:pPr>
        <w:ind w:left="40" w:right="119"/>
        <w:spacing w:after="0" w:line="284" w:lineRule="auto"/>
        <w:rPr>
          <w:sz w:val="20"/>
          <w:szCs w:val="20"/>
          <w:color w:val="auto"/>
        </w:rPr>
      </w:pPr>
      <w:r>
        <w:rPr>
          <w:rFonts w:ascii="Arial" w:cs="Arial" w:eastAsia="Arial" w:hAnsi="Arial"/>
          <w:sz w:val="17"/>
          <w:szCs w:val="17"/>
          <w:color w:val="auto"/>
        </w:rPr>
        <w:t>We consent to the incorporation by reference in the registration statements (Nos. 333-125611 and 333-181609) on Form S-8 of Citi Trends, Inc. of our reports dated April 14, 2021, with respect to the consolidated balance sheets of Citi Trends, Inc. as of January 30, 2021 and February 1, 2020, the related consolidated statements of operations, stockholders’ equity, and cash flows for each of the years ended January 30, 2021, February 1, 2020 and February 2, 2019, and the related notes, and the effectiveness of internal control over financial reporting as of January 30, 2021, which reports appear in the January 30, 2021 annual report on Form 10-K of Citi Trends, Inc.</w:t>
      </w:r>
    </w:p>
    <w:p>
      <w:pPr>
        <w:spacing w:after="0" w:line="192" w:lineRule="exact"/>
        <w:rPr>
          <w:sz w:val="20"/>
          <w:szCs w:val="20"/>
          <w:color w:val="auto"/>
        </w:rPr>
      </w:pPr>
    </w:p>
    <w:p>
      <w:pPr>
        <w:ind w:left="40" w:right="79"/>
        <w:spacing w:after="0" w:line="287" w:lineRule="auto"/>
        <w:rPr>
          <w:sz w:val="20"/>
          <w:szCs w:val="20"/>
          <w:color w:val="auto"/>
        </w:rPr>
      </w:pPr>
      <w:r>
        <w:rPr>
          <w:rFonts w:ascii="Arial" w:cs="Arial" w:eastAsia="Arial" w:hAnsi="Arial"/>
          <w:sz w:val="17"/>
          <w:szCs w:val="17"/>
          <w:color w:val="auto"/>
        </w:rPr>
        <w:t>Our report on the consolidated financial statements refers to a change in the Company’s method of accounting for leases as of February 3, 2019, due to the adoption of Accounting Standards Update No. 2016-02, Leases (Topic 842), as amended.</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Jacksonville, Florida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 PURSUANT TO 17 CFR 240.13a-14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PROMULGATED UNDER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David N. Makuen, certify that:</w:t>
      </w:r>
    </w:p>
    <w:p>
      <w:pPr>
        <w:spacing w:after="0" w:line="18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69" w:lineRule="exact"/>
        <w:rPr>
          <w:rFonts w:ascii="Arial" w:cs="Arial" w:eastAsia="Arial" w:hAnsi="Arial"/>
          <w:sz w:val="17"/>
          <w:szCs w:val="17"/>
          <w:color w:val="auto"/>
        </w:rPr>
      </w:pPr>
    </w:p>
    <w:p>
      <w:pPr>
        <w:ind w:left="660" w:right="180" w:hanging="652"/>
        <w:spacing w:after="0" w:line="287"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40" w:hanging="652"/>
        <w:spacing w:after="0" w:line="287"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660" w:right="220" w:hanging="652"/>
        <w:spacing w:after="0" w:line="287"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1300" w:right="340" w:hanging="644"/>
        <w:spacing w:after="0" w:line="28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300" w:right="60" w:hanging="644"/>
        <w:spacing w:after="0" w:line="28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300" w:right="20" w:hanging="644"/>
        <w:spacing w:after="0" w:line="279"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8"/>
          <w:szCs w:val="18"/>
          <w:color w:val="auto"/>
        </w:rPr>
      </w:pPr>
    </w:p>
    <w:p>
      <w:pPr>
        <w:ind w:left="1300" w:right="60" w:hanging="644"/>
        <w:spacing w:after="0" w:line="28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652"/>
        <w:spacing w:after="0" w:line="287"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7"/>
          <w:szCs w:val="17"/>
          <w:color w:val="auto"/>
        </w:rPr>
      </w:pPr>
    </w:p>
    <w:p>
      <w:pPr>
        <w:ind w:left="1300" w:right="100" w:hanging="644"/>
        <w:spacing w:after="0" w:line="279"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8"/>
          <w:szCs w:val="18"/>
          <w:color w:val="auto"/>
        </w:rPr>
      </w:pPr>
    </w:p>
    <w:p>
      <w:pPr>
        <w:ind w:left="1300" w:right="220" w:hanging="644"/>
        <w:spacing w:after="0" w:line="278"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Date: April 14,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David N. Makuen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5" w:name="page66"/>
    <w:bookmarkEnd w:id="65"/>
    <w:p>
      <w:pPr>
        <w:ind w:left="8702"/>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2020" w:right="180"/>
        <w:spacing w:after="0" w:line="243" w:lineRule="auto"/>
        <w:rPr>
          <w:sz w:val="20"/>
          <w:szCs w:val="20"/>
          <w:color w:val="auto"/>
        </w:rPr>
      </w:pPr>
      <w:r>
        <w:rPr>
          <w:rFonts w:ascii="Arial" w:cs="Arial" w:eastAsia="Arial" w:hAnsi="Arial"/>
          <w:sz w:val="17"/>
          <w:szCs w:val="17"/>
          <w:color w:val="auto"/>
        </w:rPr>
        <w:t>CERTIFICATION OF PRINCIPAL FINANCIAL OFFICER PURSUANT TO 17 CFR 240.13a-14 PROMULGATED UNDER SECTION 302 OF THE SARBANES-OXLEY ACT OF 2002</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7"/>
          <w:szCs w:val="17"/>
          <w:color w:val="auto"/>
        </w:rPr>
        <w:t>I, Pamela J. Edwards, certify that:</w:t>
      </w:r>
    </w:p>
    <w:p>
      <w:pPr>
        <w:spacing w:after="0" w:line="183" w:lineRule="exact"/>
        <w:rPr>
          <w:sz w:val="20"/>
          <w:szCs w:val="20"/>
          <w:color w:val="auto"/>
        </w:rPr>
      </w:pPr>
    </w:p>
    <w:p>
      <w:pPr>
        <w:ind w:left="622" w:hanging="622"/>
        <w:spacing w:after="0"/>
        <w:tabs>
          <w:tab w:leader="none" w:pos="6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42" w:lineRule="exact"/>
        <w:rPr>
          <w:rFonts w:ascii="Arial" w:cs="Arial" w:eastAsia="Arial" w:hAnsi="Arial"/>
          <w:sz w:val="17"/>
          <w:szCs w:val="17"/>
          <w:color w:val="auto"/>
        </w:rPr>
      </w:pPr>
    </w:p>
    <w:p>
      <w:pPr>
        <w:ind w:left="642" w:right="200" w:hanging="642"/>
        <w:spacing w:after="0" w:line="287" w:lineRule="auto"/>
        <w:tabs>
          <w:tab w:leader="none" w:pos="6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jc w:val="both"/>
        <w:ind w:left="642" w:right="260" w:hanging="642"/>
        <w:spacing w:after="0" w:line="287" w:lineRule="auto"/>
        <w:tabs>
          <w:tab w:leader="none" w:pos="6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jc w:val="both"/>
        <w:ind w:left="642" w:right="340" w:hanging="642"/>
        <w:spacing w:after="0" w:line="287" w:lineRule="auto"/>
        <w:tabs>
          <w:tab w:leader="none" w:pos="6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1302" w:right="40" w:hanging="654"/>
        <w:spacing w:after="0" w:line="268" w:lineRule="auto"/>
        <w:tabs>
          <w:tab w:leader="none" w:pos="1243"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7"/>
          <w:szCs w:val="17"/>
          <w:color w:val="auto"/>
        </w:rPr>
      </w:pPr>
    </w:p>
    <w:p>
      <w:pPr>
        <w:ind w:left="1302" w:right="180" w:hanging="654"/>
        <w:spacing w:after="0" w:line="268" w:lineRule="auto"/>
        <w:tabs>
          <w:tab w:leader="none" w:pos="1243"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jc w:val="both"/>
        <w:ind w:left="1302" w:right="140" w:hanging="654"/>
        <w:spacing w:after="0" w:line="270" w:lineRule="auto"/>
        <w:tabs>
          <w:tab w:leader="none" w:pos="1281"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7"/>
          <w:szCs w:val="17"/>
          <w:color w:val="auto"/>
        </w:rPr>
      </w:pPr>
    </w:p>
    <w:p>
      <w:pPr>
        <w:ind w:left="1302" w:right="160" w:hanging="654"/>
        <w:spacing w:after="0" w:line="268" w:lineRule="auto"/>
        <w:tabs>
          <w:tab w:leader="none" w:pos="129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22" w:hanging="622"/>
        <w:spacing w:after="0"/>
        <w:tabs>
          <w:tab w:leader="none" w:pos="6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w:t>
      </w:r>
    </w:p>
    <w:p>
      <w:pPr>
        <w:spacing w:after="0" w:line="34" w:lineRule="exact"/>
        <w:rPr>
          <w:sz w:val="20"/>
          <w:szCs w:val="20"/>
          <w:color w:val="auto"/>
        </w:rPr>
      </w:pPr>
    </w:p>
    <w:p>
      <w:pPr>
        <w:ind w:left="642" w:right="460"/>
        <w:spacing w:after="0" w:line="293" w:lineRule="auto"/>
        <w:rPr>
          <w:sz w:val="20"/>
          <w:szCs w:val="20"/>
          <w:color w:val="auto"/>
        </w:rPr>
      </w:pPr>
      <w:r>
        <w:rPr>
          <w:rFonts w:ascii="Arial" w:cs="Arial" w:eastAsia="Arial" w:hAnsi="Arial"/>
          <w:sz w:val="17"/>
          <w:szCs w:val="17"/>
          <w:color w:val="auto"/>
        </w:rPr>
        <w:t>over financial reporting, to the registrant’s auditors and the audit committee of the registrant’s board of directors (or persons performing the equivalent functions):</w:t>
      </w:r>
    </w:p>
    <w:p>
      <w:pPr>
        <w:spacing w:after="0" w:line="90" w:lineRule="exact"/>
        <w:rPr>
          <w:sz w:val="20"/>
          <w:szCs w:val="20"/>
          <w:color w:val="auto"/>
        </w:rPr>
      </w:pPr>
    </w:p>
    <w:p>
      <w:pPr>
        <w:ind w:left="1422" w:right="340" w:hanging="774"/>
        <w:spacing w:after="0" w:line="299" w:lineRule="auto"/>
        <w:tabs>
          <w:tab w:leader="none" w:pos="12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17"/>
          <w:szCs w:val="17"/>
          <w:color w:val="auto"/>
        </w:rPr>
        <w:t>summarize and report financial information; and</w:t>
      </w:r>
    </w:p>
    <w:p>
      <w:pPr>
        <w:spacing w:after="0" w:line="142" w:lineRule="exact"/>
        <w:rPr>
          <w:sz w:val="20"/>
          <w:szCs w:val="20"/>
          <w:color w:val="auto"/>
        </w:rPr>
      </w:pPr>
    </w:p>
    <w:p>
      <w:pPr>
        <w:ind w:left="1302" w:right="260" w:hanging="654"/>
        <w:spacing w:after="0" w:line="293" w:lineRule="auto"/>
        <w:tabs>
          <w:tab w:leader="none" w:pos="129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02"/>
        <w:spacing w:after="0"/>
        <w:rPr>
          <w:sz w:val="20"/>
          <w:szCs w:val="20"/>
          <w:color w:val="auto"/>
        </w:rPr>
      </w:pPr>
      <w:r>
        <w:rPr>
          <w:rFonts w:ascii="Arial" w:cs="Arial" w:eastAsia="Arial" w:hAnsi="Arial"/>
          <w:sz w:val="17"/>
          <w:szCs w:val="17"/>
          <w:color w:val="auto"/>
        </w:rPr>
        <w:t>Date: April 14, 2021</w:t>
      </w:r>
    </w:p>
    <w:p>
      <w:pPr>
        <w:spacing w:after="0" w:line="372" w:lineRule="exact"/>
        <w:rPr>
          <w:sz w:val="20"/>
          <w:szCs w:val="20"/>
          <w:color w:val="auto"/>
        </w:rPr>
      </w:pPr>
    </w:p>
    <w:p>
      <w:pPr>
        <w:ind w:left="102"/>
        <w:spacing w:after="0"/>
        <w:rPr>
          <w:sz w:val="20"/>
          <w:szCs w:val="20"/>
          <w:color w:val="auto"/>
        </w:rPr>
      </w:pPr>
      <w:r>
        <w:rPr>
          <w:rFonts w:ascii="Arial" w:cs="Arial" w:eastAsia="Arial" w:hAnsi="Arial"/>
          <w:sz w:val="17"/>
          <w:szCs w:val="17"/>
          <w:color w:val="auto"/>
        </w:rPr>
        <w:t>/s/ 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3060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102"/>
        <w:spacing w:after="0"/>
        <w:rPr>
          <w:sz w:val="20"/>
          <w:szCs w:val="20"/>
          <w:color w:val="auto"/>
        </w:rPr>
      </w:pPr>
      <w:r>
        <w:rPr>
          <w:rFonts w:ascii="Arial" w:cs="Arial" w:eastAsia="Arial" w:hAnsi="Arial"/>
          <w:sz w:val="17"/>
          <w:szCs w:val="17"/>
          <w:color w:val="auto"/>
        </w:rPr>
        <w:t>Pamela J. Edwards</w:t>
      </w:r>
    </w:p>
    <w:p>
      <w:pPr>
        <w:ind w:left="102"/>
        <w:spacing w:after="0" w:line="232" w:lineRule="auto"/>
        <w:rPr>
          <w:sz w:val="20"/>
          <w:szCs w:val="20"/>
          <w:color w:val="auto"/>
        </w:rPr>
      </w:pPr>
      <w:r>
        <w:rPr>
          <w:rFonts w:ascii="Arial" w:cs="Arial" w:eastAsia="Arial" w:hAnsi="Arial"/>
          <w:sz w:val="17"/>
          <w:szCs w:val="17"/>
          <w:color w:val="auto"/>
        </w:rPr>
        <w:t>Chief Financial Officer</w:t>
      </w:r>
    </w:p>
    <w:p>
      <w:pPr>
        <w:ind w:left="102"/>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480060</wp:posOffset>
            </wp:positionV>
            <wp:extent cx="61379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6137910" cy="25400"/>
                    </a:xfrm>
                    <a:prstGeom prst="rect">
                      <a:avLst/>
                    </a:prstGeom>
                    <a:noFill/>
                  </pic:spPr>
                </pic:pic>
              </a:graphicData>
            </a:graphic>
          </wp:anchor>
        </w:drawing>
      </w:r>
    </w:p>
    <w:p>
      <w:pPr>
        <w:sectPr>
          <w:pgSz w:w="11900" w:h="16838" w:orient="portrait"/>
          <w:cols w:equalWidth="0" w:num="1">
            <w:col w:w="9662"/>
          </w:cols>
          <w:pgMar w:left="1118" w:top="112" w:right="1119" w:bottom="1440" w:gutter="0" w:footer="0" w:header="0"/>
        </w:sectPr>
      </w:pPr>
    </w:p>
    <w:bookmarkStart w:id="66" w:name="page67"/>
    <w:bookmarkEnd w:id="66"/>
    <w:p>
      <w:pPr>
        <w:ind w:left="8180"/>
        <w:spacing w:after="0"/>
        <w:rPr>
          <w:sz w:val="20"/>
          <w:szCs w:val="20"/>
          <w:color w:val="auto"/>
        </w:rPr>
      </w:pPr>
      <w:r>
        <w:rPr>
          <w:rFonts w:ascii="Arial" w:cs="Arial" w:eastAsia="Arial" w:hAnsi="Arial"/>
          <w:sz w:val="16"/>
          <w:szCs w:val="16"/>
          <w:b w:val="1"/>
          <w:bCs w:val="1"/>
          <w:color w:val="auto"/>
        </w:rPr>
        <w:t>Exhibit 32.1</w:t>
      </w:r>
    </w:p>
    <w:p>
      <w:pPr>
        <w:spacing w:after="0" w:line="256" w:lineRule="exact"/>
        <w:rPr>
          <w:sz w:val="20"/>
          <w:szCs w:val="20"/>
          <w:color w:val="auto"/>
        </w:rPr>
      </w:pPr>
    </w:p>
    <w:p>
      <w:pPr>
        <w:jc w:val="center"/>
        <w:ind w:left="1400" w:right="140"/>
        <w:spacing w:after="0" w:line="293" w:lineRule="auto"/>
        <w:rPr>
          <w:sz w:val="20"/>
          <w:szCs w:val="20"/>
          <w:color w:val="auto"/>
        </w:rPr>
      </w:pPr>
      <w:r>
        <w:rPr>
          <w:rFonts w:ascii="Arial" w:cs="Arial" w:eastAsia="Arial" w:hAnsi="Arial"/>
          <w:sz w:val="17"/>
          <w:szCs w:val="17"/>
          <w:color w:val="auto"/>
        </w:rPr>
        <w:t>CERTIFICATION OF PRINCIPAL EXECUTIVE OFFICER PURSUANT TO 18 U.S.C. SECTION 1350, AS ADOPTED PURSUANT TO SECTION 906 OF THE SARBANES-OXLEY ACT OF 2002</w:t>
      </w:r>
    </w:p>
    <w:p>
      <w:pPr>
        <w:spacing w:after="0" w:line="18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30, 2021 as filed with the Securities and Exchange Commission on the date hereof (the “Report”), I, David N. Makuen, Chief Executive Officer of the Company, certify, pursuant to 18 U.S.C. Section 1350, as adopted pursuant to Section 906 of the Sarbanes-Oxley Act of 2002, that:</w:t>
      </w:r>
    </w:p>
    <w:p>
      <w:pPr>
        <w:spacing w:after="0" w:line="98" w:lineRule="exact"/>
        <w:rPr>
          <w:sz w:val="20"/>
          <w:szCs w:val="20"/>
          <w:color w:val="auto"/>
        </w:rPr>
      </w:pPr>
    </w:p>
    <w:p>
      <w:pPr>
        <w:ind w:left="1300" w:right="240" w:hanging="647"/>
        <w:spacing w:after="0" w:line="293"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9" w:lineRule="exact"/>
        <w:rPr>
          <w:rFonts w:ascii="Arial" w:cs="Arial" w:eastAsia="Arial" w:hAnsi="Arial"/>
          <w:sz w:val="17"/>
          <w:szCs w:val="17"/>
          <w:color w:val="auto"/>
        </w:rPr>
      </w:pPr>
    </w:p>
    <w:p>
      <w:pPr>
        <w:ind w:left="1300" w:right="180" w:hanging="647"/>
        <w:spacing w:after="0" w:line="293"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Date: April 14, 2021</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3060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David N. Makuen</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(Principal Executive Officer)</w:t>
      </w:r>
    </w:p>
    <w:p>
      <w:pPr>
        <w:spacing w:after="0" w:line="223" w:lineRule="exact"/>
        <w:rPr>
          <w:sz w:val="20"/>
          <w:szCs w:val="20"/>
          <w:color w:val="auto"/>
        </w:rPr>
      </w:pPr>
    </w:p>
    <w:p>
      <w:pPr>
        <w:ind w:right="420"/>
        <w:spacing w:after="0" w:line="293"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326390</wp:posOffset>
            </wp:positionV>
            <wp:extent cx="57950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7" w:name="page68"/>
    <w:bookmarkEnd w:id="67"/>
    <w:p>
      <w:pPr>
        <w:ind w:left="8180"/>
        <w:spacing w:after="0"/>
        <w:rPr>
          <w:sz w:val="20"/>
          <w:szCs w:val="20"/>
          <w:color w:val="auto"/>
        </w:rPr>
      </w:pPr>
      <w:r>
        <w:rPr>
          <w:rFonts w:ascii="Arial" w:cs="Arial" w:eastAsia="Arial" w:hAnsi="Arial"/>
          <w:sz w:val="17"/>
          <w:szCs w:val="17"/>
          <w:b w:val="1"/>
          <w:bCs w:val="1"/>
          <w:color w:val="auto"/>
        </w:rPr>
        <w:t>Exhibit 32.2</w:t>
      </w:r>
    </w:p>
    <w:p>
      <w:pPr>
        <w:spacing w:after="0" w:line="272" w:lineRule="exact"/>
        <w:rPr>
          <w:sz w:val="20"/>
          <w:szCs w:val="20"/>
          <w:color w:val="auto"/>
        </w:rPr>
      </w:pPr>
    </w:p>
    <w:p>
      <w:pPr>
        <w:jc w:val="center"/>
        <w:spacing w:after="0" w:line="293"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13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30, 2021 as filed with the Securities and Exchange Commission on the date hereof (the “Report”), I, Pamela J. Edwards, Chief Financial Officer of the Company, certify, pursuant to 18 U.S.C. Section 1350, as adopted pursuant to Section 906 of the Sarbanes-Oxley Act of 2002, that:</w:t>
      </w:r>
    </w:p>
    <w:p>
      <w:pPr>
        <w:spacing w:after="0" w:line="99" w:lineRule="exact"/>
        <w:rPr>
          <w:sz w:val="20"/>
          <w:szCs w:val="20"/>
          <w:color w:val="auto"/>
        </w:rPr>
      </w:pPr>
    </w:p>
    <w:p>
      <w:pPr>
        <w:ind w:left="1280" w:right="40" w:hanging="638"/>
        <w:spacing w:after="0" w:line="293" w:lineRule="auto"/>
        <w:tabs>
          <w:tab w:leader="none" w:pos="12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9" w:lineRule="exact"/>
        <w:rPr>
          <w:rFonts w:ascii="Arial" w:cs="Arial" w:eastAsia="Arial" w:hAnsi="Arial"/>
          <w:sz w:val="17"/>
          <w:szCs w:val="17"/>
          <w:color w:val="auto"/>
        </w:rPr>
      </w:pPr>
    </w:p>
    <w:p>
      <w:pPr>
        <w:ind w:left="1280" w:right="320" w:hanging="638"/>
        <w:spacing w:after="0" w:line="293" w:lineRule="auto"/>
        <w:tabs>
          <w:tab w:leader="none" w:pos="12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April 14, 2021</w:t>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28975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Pamela J. Edwards</w:t>
      </w:r>
    </w:p>
    <w:p>
      <w:pPr>
        <w:ind w:left="100"/>
        <w:spacing w:after="0" w:line="232" w:lineRule="auto"/>
        <w:rPr>
          <w:sz w:val="20"/>
          <w:szCs w:val="20"/>
          <w:color w:val="auto"/>
        </w:rPr>
      </w:pPr>
      <w:r>
        <w:rPr>
          <w:rFonts w:ascii="Arial" w:cs="Arial" w:eastAsia="Arial" w:hAnsi="Arial"/>
          <w:sz w:val="17"/>
          <w:szCs w:val="17"/>
          <w:color w:val="auto"/>
        </w:rPr>
        <w:t>Chief Financial Officer</w:t>
      </w:r>
    </w:p>
    <w:p>
      <w:pPr>
        <w:ind w:left="100"/>
        <w:spacing w:after="0"/>
        <w:rPr>
          <w:sz w:val="20"/>
          <w:szCs w:val="20"/>
          <w:color w:val="auto"/>
        </w:rPr>
      </w:pPr>
      <w:r>
        <w:rPr>
          <w:rFonts w:ascii="Arial" w:cs="Arial" w:eastAsia="Arial" w:hAnsi="Arial"/>
          <w:sz w:val="17"/>
          <w:szCs w:val="17"/>
          <w:color w:val="auto"/>
        </w:rPr>
        <w:t>(Principal Financial Officer)</w:t>
      </w:r>
    </w:p>
    <w:p>
      <w:pPr>
        <w:spacing w:after="0" w:line="196" w:lineRule="exact"/>
        <w:rPr>
          <w:sz w:val="20"/>
          <w:szCs w:val="20"/>
          <w:color w:val="auto"/>
        </w:rPr>
      </w:pPr>
    </w:p>
    <w:p>
      <w:pPr>
        <w:ind w:right="540"/>
        <w:spacing w:after="0" w:line="32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58032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sectPr>
      <w:pgSz w:w="11900" w:h="16838" w:orient="portrait"/>
      <w:cols w:equalWidth="0" w:num="1">
        <w:col w:w="9140"/>
      </w:cols>
      <w:pgMar w:left="1380" w:top="112"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lowerRoman"/>
      <w:start w:val="2"/>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1."/>
      <w:numFmt w:val="decimal"/>
      <w:start w:val="4"/>
    </w:lvl>
  </w:abstractNum>
  <w:abstractNum w:abstractNumId="18">
    <w:nsid w:val="614FD4A1"/>
    <w:multiLevelType w:val="hybridMultilevel"/>
    <w:lvl w:ilvl="0">
      <w:lvlJc w:val="left"/>
      <w:lvlText w:val="%1."/>
      <w:numFmt w:val="decimal"/>
      <w:start w:val="6"/>
    </w:lvl>
  </w:abstractNum>
  <w:abstractNum w:abstractNumId="19">
    <w:nsid w:val="419AC241"/>
    <w:multiLevelType w:val="hybridMultilevel"/>
    <w:lvl w:ilvl="0">
      <w:lvlJc w:val="left"/>
      <w:lvlText w:val="%1."/>
      <w:numFmt w:val="decimal"/>
      <w:start w:val="7"/>
    </w:lvl>
  </w:abstractNum>
  <w:abstractNum w:abstractNumId="20">
    <w:nsid w:val="5577F8E1"/>
    <w:multiLevelType w:val="hybridMultilevel"/>
    <w:lvl w:ilvl="0">
      <w:lvlJc w:val="left"/>
      <w:lvlText w:val="%1."/>
      <w:numFmt w:val="decimal"/>
      <w:start w:val="8"/>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9"/>
    </w:lvl>
  </w:abstractNum>
  <w:abstractNum w:abstractNumId="23">
    <w:nsid w:val="3804823E"/>
    <w:multiLevelType w:val="hybridMultilevel"/>
    <w:lvl w:ilvl="0">
      <w:lvlJc w:val="left"/>
      <w:lvlText w:val="%1."/>
      <w:numFmt w:val="decimal"/>
      <w:start w:val="10"/>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lvl w:ilvl="1">
      <w:lvlJc w:val="left"/>
      <w:lvlText w:val="(%2)"/>
      <w:numFmt w:val="lowerLetter"/>
      <w:start w:val="1"/>
    </w:lvl>
  </w:abstractNum>
  <w:abstractNum w:abstractNumId="26">
    <w:nsid w:val="5C482A97"/>
    <w:multiLevelType w:val="hybridMultilevel"/>
    <w:lvl w:ilvl="0">
      <w:lvlJc w:val="left"/>
      <w:lvlText w:val="(%1)"/>
      <w:numFmt w:val="lowerLetter"/>
      <w:start w:val="3"/>
    </w:lvl>
  </w:abstractNum>
  <w:abstractNum w:abstractNumId="27">
    <w:nsid w:val="2463B9EA"/>
    <w:multiLevelType w:val="hybridMultilevel"/>
    <w:lvl w:ilvl="0">
      <w:lvlJc w:val="left"/>
      <w:lvlText w:val="(%1)"/>
      <w:numFmt w:val="lowerLetter"/>
      <w:start w:val="4"/>
    </w:lvl>
  </w:abstractNum>
  <w:abstractNum w:abstractNumId="28">
    <w:nsid w:val="5E884ADC"/>
    <w:multiLevelType w:val="hybridMultilevel"/>
    <w:lvl w:ilvl="0">
      <w:lvlJc w:val="left"/>
      <w:lvlText w:val="%1"/>
      <w:numFmt w:val="decimal"/>
      <w:start w:val="1"/>
    </w:lvl>
    <w:lvl w:ilvl="1">
      <w:lvlJc w:val="left"/>
      <w:lvlText w:val="(%2)"/>
      <w:numFmt w:val="lowerLetter"/>
      <w:start w:val="5"/>
    </w:lvl>
  </w:abstractNum>
  <w:abstractNum w:abstractNumId="29">
    <w:nsid w:val="51EAD36B"/>
    <w:multiLevelType w:val="hybridMultilevel"/>
    <w:lvl w:ilvl="0">
      <w:lvlJc w:val="left"/>
      <w:lvlText w:val="%1."/>
      <w:numFmt w:val="decimal"/>
      <w:start w:val="4"/>
    </w:lvl>
    <w:lvl w:ilvl="1">
      <w:lvlJc w:val="left"/>
      <w:lvlText w:val="%2"/>
      <w:numFmt w:val="lowerLetter"/>
      <w:start w:val="1"/>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6"/>
    </w:lvl>
  </w:abstractNum>
  <w:abstractNum w:abstractNumId="32">
    <w:nsid w:val="153EA438"/>
    <w:multiLevelType w:val="hybridMultilevel"/>
    <w:lvl w:ilvl="0">
      <w:lvlJc w:val="left"/>
      <w:lvlText w:val="%1."/>
      <w:numFmt w:val="decimal"/>
      <w:start w:val="8"/>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decimal"/>
      <w:start w:val="11"/>
    </w:lvl>
    <w:lvl w:ilvl="1">
      <w:lvlJc w:val="left"/>
      <w:lvlText w:val="(%2)"/>
      <w:numFmt w:val="lowerLetter"/>
      <w:start w:val="1"/>
    </w:lvl>
  </w:abstractNum>
  <w:abstractNum w:abstractNumId="35">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37">
    <w:nsid w:val="1D4ED43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8">
    <w:nsid w:val="725A06FB"/>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39">
    <w:nsid w:val="2CD89A32"/>
    <w:multiLevelType w:val="hybridMultilevel"/>
    <w:lvl w:ilvl="0">
      <w:lvlJc w:val="left"/>
      <w:lvlText w:val="%1"/>
      <w:numFmt w:val="decimal"/>
      <w:start w:val="1"/>
    </w:lvl>
    <w:lvl w:ilvl="1">
      <w:lvlJc w:val="left"/>
      <w:lvlText w:val="(%2)"/>
      <w:numFmt w:val="lowerRoman"/>
      <w:start w:val="5"/>
    </w:lvl>
  </w:abstractNum>
  <w:abstractNum w:abstractNumId="40">
    <w:nsid w:val="57E4CCAF"/>
    <w:multiLevelType w:val="hybridMultilevel"/>
    <w:lvl w:ilvl="0">
      <w:lvlJc w:val="left"/>
      <w:lvlText w:val="%1."/>
      <w:numFmt w:val="decimal"/>
      <w:start w:val="2"/>
    </w:lvl>
    <w:lvl w:ilvl="1">
      <w:lvlJc w:val="left"/>
      <w:lvlText w:val="%2"/>
      <w:numFmt w:val="lowerRoman"/>
      <w:start w:val="1"/>
    </w:lvl>
  </w:abstractNum>
  <w:abstractNum w:abstractNumId="41">
    <w:nsid w:val="7A6D8D3C"/>
    <w:multiLevelType w:val="hybridMultilevel"/>
    <w:lvl w:ilvl="0">
      <w:lvlJc w:val="left"/>
      <w:lvlText w:val="%1."/>
      <w:numFmt w:val="decimal"/>
      <w:start w:val="3"/>
    </w:lvl>
    <w:lvl w:ilvl="1">
      <w:lvlJc w:val="left"/>
      <w:lvlText w:val="%2."/>
      <w:numFmt w:val="decimal"/>
      <w:start w:val="5"/>
    </w:lvl>
  </w:abstractNum>
  <w:abstractNum w:abstractNumId="42">
    <w:nsid w:val="4B588F54"/>
    <w:multiLevelType w:val="hybridMultilevel"/>
    <w:lvl w:ilvl="0">
      <w:lvlJc w:val="left"/>
      <w:lvlText w:val="%1."/>
      <w:numFmt w:val="decimal"/>
      <w:start w:val="6"/>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44" Type="http://schemas.openxmlformats.org/officeDocument/2006/relationships/hyperlink" Target="http://www.sec.gov/Archives/edgar/data/1318484/000110465906057184/a06-18658_1ex3d1.htm" TargetMode="External"/><Relationship Id="rId45" Type="http://schemas.openxmlformats.org/officeDocument/2006/relationships/hyperlink" Target="http://www.sec.gov/Archives/edgar/data/1318484/000110465918038871/a18-15022_1ex3d2.htm" TargetMode="External"/><Relationship Id="rId46" Type="http://schemas.openxmlformats.org/officeDocument/2006/relationships/hyperlink" Target="http://www.sec.gov/Archives/edgar/data/1318484/000095012305005222/y05802a2exv4w1.txt" TargetMode="External"/><Relationship Id="rId47" Type="http://schemas.openxmlformats.org/officeDocument/2006/relationships/hyperlink" Target="https://www.sec.gov/Archives/edgar/data/0001318484/000155837020006617/ctrn-20200201ex421c67fa8.htm" TargetMode="External"/><Relationship Id="rId48" Type="http://schemas.openxmlformats.org/officeDocument/2006/relationships/hyperlink" Target="http://www.sec.gov/Archives/edgar/data/1318484/000110465911067772/a11-28294_1ex10d1.htm" TargetMode="External"/><Relationship Id="rId49" Type="http://schemas.openxmlformats.org/officeDocument/2006/relationships/hyperlink" Target="http://www.sec.gov/Archives/edgar/data/1318484/000110465915060817/a15-18205_1ex10d1.htm" TargetMode="External"/><Relationship Id="rId50" Type="http://schemas.openxmlformats.org/officeDocument/2006/relationships/hyperlink" Target="https://www.sec.gov/Archives/edgar/data/0001318484/000155837020006617/ctrn-20200201ex1028693c0.htm" TargetMode="External"/><Relationship Id="rId51" Type="http://schemas.openxmlformats.org/officeDocument/2006/relationships/hyperlink" Target="http://www.sec.gov/Archives/edgar/data/1318484/000110465912060562/a12-14842_1ex10d1.htm" TargetMode="External"/><Relationship Id="rId52" Type="http://schemas.openxmlformats.org/officeDocument/2006/relationships/hyperlink" Target="http://www.sec.gov/Archives/edgar/data/1318484/000110465912060562/a12-14842_1ex10d2.htm" TargetMode="External"/><Relationship Id="rId53" Type="http://schemas.openxmlformats.org/officeDocument/2006/relationships/hyperlink" Target="http://www.sec.gov/Archives/edgar/data/1318484/000110465912060562/a12-14842_1ex10d3.htm" TargetMode="External"/><Relationship Id="rId54" Type="http://schemas.openxmlformats.org/officeDocument/2006/relationships/hyperlink" Target="http://www.sec.gov/Archives/edgar/data/1318484/000155837017004561/ctrn-20170429ex103c7a2bd.htm" TargetMode="External"/><Relationship Id="rId55" Type="http://schemas.openxmlformats.org/officeDocument/2006/relationships/hyperlink" Target="http://www.sec.gov/Archives/edgar/data/1318484/000155837017004561/ctrn-20170429ex101238e63.htm" TargetMode="External"/><Relationship Id="rId58" Type="http://schemas.openxmlformats.org/officeDocument/2006/relationships/hyperlink" Target="http://www.sec.gov/Archives/edgar/data/1318484/000155837019003051/ctrn-20190202ex1041d6ec2.htm" TargetMode="External"/><Relationship Id="rId59" Type="http://schemas.openxmlformats.org/officeDocument/2006/relationships/hyperlink" Target="http://www.sec.gov/Archives/edgar/data/1318484/000155837019003051/ctrn-20190202ex104231fc0.htm" TargetMode="External"/><Relationship Id="rId60" Type="http://schemas.openxmlformats.org/officeDocument/2006/relationships/hyperlink" Target="https://www.sec.gov/Archives/edgar/data/0001318484/000155837020007443/ctrn-20200502ex102531653.htm" TargetMode="External"/><Relationship Id="rId61" Type="http://schemas.openxmlformats.org/officeDocument/2006/relationships/hyperlink" Target="http://www.sec.gov/Archives/edgar/data/1318484/000110465919015325/a19-6573_1ex10d5.htm" TargetMode="External"/><Relationship Id="rId62" Type="http://schemas.openxmlformats.org/officeDocument/2006/relationships/hyperlink" Target="http://www.sec.gov/Archives/edgar/data/1318484/000110465919015325/a19-6573_1ex10d6.htm" TargetMode="External"/><Relationship Id="rId63" Type="http://schemas.openxmlformats.org/officeDocument/2006/relationships/hyperlink" Target="http://www.sec.gov/Archives/edgar/data/1318484/000110465919015325/a19-6573_1ex10d7.htm" TargetMode="External"/><Relationship Id="rId64" Type="http://schemas.openxmlformats.org/officeDocument/2006/relationships/hyperlink" Target="http://www.sec.gov/Archives/edgar/data/1318484/000110465919015325/a19-6573_1ex10d8.htm" TargetMode="External"/><Relationship Id="rId65" Type="http://schemas.openxmlformats.org/officeDocument/2006/relationships/hyperlink" Target="http://www.sec.gov/Archives/edgar/data/1318484/000110465919015325/a19-6573_1ex10d13.htm" TargetMode="External"/><Relationship Id="rId66" Type="http://schemas.openxmlformats.org/officeDocument/2006/relationships/hyperlink" Target="http://www.sec.gov/Archives/edgar/data/1318484/000110465919015325/a19-6573_1ex10d14.htm" TargetMode="External"/><Relationship Id="rId67" Type="http://schemas.openxmlformats.org/officeDocument/2006/relationships/hyperlink" Target="https://www.sec.gov/Archives/edgar/data/0001318484/000155837020006617/ctrn-20200201ex10206e041.htm" TargetMode="External"/><Relationship Id="rId68" Type="http://schemas.openxmlformats.org/officeDocument/2006/relationships/hyperlink" Target="https://www.sec.gov/Archives/edgar/data/0001318484/000155837020006617/ctrn-20200201ex102136afd.htm" TargetMode="External"/><Relationship Id="rId69" Type="http://schemas.openxmlformats.org/officeDocument/2006/relationships/hyperlink" Target="https://www.sec.gov/Archives/edgar/data/0001318484/000155837020006617/ctrn-20200201ex1022a34e9.htm" TargetMode="External"/><Relationship Id="rId70" Type="http://schemas.openxmlformats.org/officeDocument/2006/relationships/hyperlink" Target="https://www.sec.gov/Archives/edgar/data/0001318484/000155837020006617/ctrn-20200201ex1023881d0.htm" TargetMode="External"/><Relationship Id="rId71" Type="http://schemas.openxmlformats.org/officeDocument/2006/relationships/hyperlink" Target="https://www.sec.gov/Archives/edgar/data/0001318484/000110465920023641/tm209523d1_ex10-1.htm" TargetMode="External"/><Relationship Id="rId74" Type="http://schemas.openxmlformats.org/officeDocument/2006/relationships/hyperlink" Target="https://www.sec.gov/Archives/edgar/data/0001318484/000110465920023641/tm209523d1_ex10-2.htm" TargetMode="External"/><Relationship Id="rId75" Type="http://schemas.openxmlformats.org/officeDocument/2006/relationships/hyperlink" Target="https://www.sec.gov/Archives/edgar/data/0001318484/000110465920118998/tm2034437d1_ex10-1.htm" TargetMode="External"/><Relationship Id="rId76" Type="http://schemas.openxmlformats.org/officeDocument/2006/relationships/hyperlink" Target="https://www.sec.gov/Archives/edgar/data/0001318484/000110465920118998/tm203443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2021-04-14T11:55:59Z</dcterms:created>
  <dcterms:modified xsi:type="dcterms:W3CDTF">2021-04-14T11:55:59Z</dcterms:modified>
</cp:coreProperties>
</file>