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394970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86" w:lineRule="exact"/>
        <w:rPr>
          <w:sz w:val="24"/>
          <w:szCs w:val="24"/>
          <w:color w:val="auto"/>
        </w:rPr>
      </w:pPr>
    </w:p>
    <w:p>
      <w:pPr>
        <w:ind w:left="660" w:hanging="401"/>
        <w:spacing w:after="0"/>
        <w:tabs>
          <w:tab w:leader="none" w:pos="6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5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November 1, 2025</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302" w:lineRule="exact"/>
        <w:rPr>
          <w:sz w:val="24"/>
          <w:szCs w:val="24"/>
          <w:color w:val="auto"/>
        </w:rPr>
      </w:pPr>
    </w:p>
    <w:p>
      <w:pPr>
        <w:ind w:left="3580" w:right="980" w:hanging="3321"/>
        <w:spacing w:after="0" w:line="457" w:lineRule="auto"/>
        <w:tabs>
          <w:tab w:leader="none" w:pos="6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Commission File Number 000-41886</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381" w:lineRule="exact"/>
        <w:rPr>
          <w:sz w:val="24"/>
          <w:szCs w:val="24"/>
          <w:color w:val="auto"/>
        </w:rPr>
      </w:pPr>
    </w:p>
    <w:tbl>
      <w:tblPr>
        <w:tblLayout w:type="fixed"/>
        <w:tblInd w:w="800" w:type="dxa"/>
        <w:tblCellMar>
          <w:top w:w="0" w:type="dxa"/>
          <w:left w:w="0" w:type="dxa"/>
          <w:bottom w:w="0" w:type="dxa"/>
          <w:right w:w="0" w:type="dxa"/>
        </w:tblCellMar>
      </w:tblPr>
      <w:tr>
        <w:trPr>
          <w:trHeight w:val="189"/>
        </w:trPr>
        <w:tc>
          <w:tcPr>
            <w:tcW w:w="4680" w:type="dxa"/>
            <w:vAlign w:val="bottom"/>
          </w:tcPr>
          <w:p>
            <w:pPr>
              <w:jc w:val="center"/>
              <w:ind w:right="1319"/>
              <w:spacing w:after="0"/>
              <w:rPr>
                <w:sz w:val="20"/>
                <w:szCs w:val="20"/>
                <w:color w:val="auto"/>
              </w:rPr>
            </w:pPr>
            <w:r>
              <w:rPr>
                <w:rFonts w:ascii="Arial" w:cs="Arial" w:eastAsia="Arial" w:hAnsi="Arial"/>
                <w:sz w:val="16"/>
                <w:szCs w:val="16"/>
                <w:b w:val="1"/>
                <w:bCs w:val="1"/>
                <w:color w:val="auto"/>
              </w:rPr>
              <w:t>Delaware</w:t>
            </w:r>
          </w:p>
        </w:tc>
        <w:tc>
          <w:tcPr>
            <w:tcW w:w="2640" w:type="dxa"/>
            <w:vAlign w:val="bottom"/>
          </w:tcPr>
          <w:p>
            <w:pPr>
              <w:jc w:val="right"/>
              <w:ind w:right="119"/>
              <w:spacing w:after="0"/>
              <w:rPr>
                <w:sz w:val="20"/>
                <w:szCs w:val="20"/>
                <w:color w:val="auto"/>
              </w:rPr>
            </w:pPr>
            <w:r>
              <w:rPr>
                <w:rFonts w:ascii="Arial" w:cs="Arial" w:eastAsia="Arial" w:hAnsi="Arial"/>
                <w:sz w:val="16"/>
                <w:szCs w:val="16"/>
                <w:b w:val="1"/>
                <w:bCs w:val="1"/>
                <w:color w:val="auto"/>
              </w:rPr>
              <w:t>52-2150697</w:t>
            </w:r>
          </w:p>
        </w:tc>
      </w:tr>
      <w:tr>
        <w:trPr>
          <w:trHeight w:val="189"/>
        </w:trPr>
        <w:tc>
          <w:tcPr>
            <w:tcW w:w="4680" w:type="dxa"/>
            <w:vAlign w:val="bottom"/>
          </w:tcPr>
          <w:p>
            <w:pPr>
              <w:jc w:val="center"/>
              <w:ind w:right="1319"/>
              <w:spacing w:after="0"/>
              <w:rPr>
                <w:sz w:val="20"/>
                <w:szCs w:val="20"/>
                <w:color w:val="auto"/>
              </w:rPr>
            </w:pPr>
            <w:r>
              <w:rPr>
                <w:rFonts w:ascii="Arial" w:cs="Arial" w:eastAsia="Arial" w:hAnsi="Arial"/>
                <w:sz w:val="16"/>
                <w:szCs w:val="16"/>
                <w:color w:val="auto"/>
              </w:rPr>
              <w:t>(State or other jurisdiction of</w:t>
            </w:r>
          </w:p>
        </w:tc>
        <w:tc>
          <w:tcPr>
            <w:tcW w:w="2640" w:type="dxa"/>
            <w:vAlign w:val="bottom"/>
          </w:tcPr>
          <w:p>
            <w:pPr>
              <w:jc w:val="center"/>
              <w:ind w:left="1299"/>
              <w:spacing w:after="0"/>
              <w:rPr>
                <w:sz w:val="20"/>
                <w:szCs w:val="20"/>
                <w:color w:val="auto"/>
              </w:rPr>
            </w:pPr>
            <w:r>
              <w:rPr>
                <w:rFonts w:ascii="Arial" w:cs="Arial" w:eastAsia="Arial" w:hAnsi="Arial"/>
                <w:sz w:val="16"/>
                <w:szCs w:val="16"/>
                <w:color w:val="auto"/>
              </w:rPr>
              <w:t>(I.R.S. Employer</w:t>
            </w:r>
          </w:p>
        </w:tc>
      </w:tr>
      <w:tr>
        <w:trPr>
          <w:trHeight w:val="215"/>
        </w:trPr>
        <w:tc>
          <w:tcPr>
            <w:tcW w:w="4680" w:type="dxa"/>
            <w:vAlign w:val="bottom"/>
          </w:tcPr>
          <w:p>
            <w:pPr>
              <w:jc w:val="center"/>
              <w:ind w:right="1319"/>
              <w:spacing w:after="0"/>
              <w:rPr>
                <w:sz w:val="20"/>
                <w:szCs w:val="20"/>
                <w:color w:val="auto"/>
              </w:rPr>
            </w:pPr>
            <w:r>
              <w:rPr>
                <w:rFonts w:ascii="Arial" w:cs="Arial" w:eastAsia="Arial" w:hAnsi="Arial"/>
                <w:sz w:val="16"/>
                <w:szCs w:val="16"/>
                <w:color w:val="auto"/>
              </w:rPr>
              <w:t>incorporation or organization)</w:t>
            </w:r>
          </w:p>
        </w:tc>
        <w:tc>
          <w:tcPr>
            <w:tcW w:w="2640" w:type="dxa"/>
            <w:vAlign w:val="bottom"/>
          </w:tcPr>
          <w:p>
            <w:pPr>
              <w:jc w:val="center"/>
              <w:ind w:left="1299"/>
              <w:spacing w:after="0"/>
              <w:rPr>
                <w:sz w:val="20"/>
                <w:szCs w:val="20"/>
                <w:color w:val="auto"/>
              </w:rPr>
            </w:pPr>
            <w:r>
              <w:rPr>
                <w:rFonts w:ascii="Arial" w:cs="Arial" w:eastAsia="Arial" w:hAnsi="Arial"/>
                <w:sz w:val="16"/>
                <w:szCs w:val="16"/>
                <w:color w:val="auto"/>
              </w:rPr>
              <w:t>Identification No.)</w:t>
            </w:r>
          </w:p>
        </w:tc>
      </w:tr>
      <w:tr>
        <w:trPr>
          <w:trHeight w:val="352"/>
        </w:trPr>
        <w:tc>
          <w:tcPr>
            <w:tcW w:w="4680" w:type="dxa"/>
            <w:vAlign w:val="bottom"/>
          </w:tcPr>
          <w:p>
            <w:pPr>
              <w:jc w:val="center"/>
              <w:ind w:right="1319"/>
              <w:spacing w:after="0"/>
              <w:rPr>
                <w:sz w:val="20"/>
                <w:szCs w:val="20"/>
                <w:color w:val="auto"/>
              </w:rPr>
            </w:pPr>
            <w:r>
              <w:rPr>
                <w:rFonts w:ascii="Arial" w:cs="Arial" w:eastAsia="Arial" w:hAnsi="Arial"/>
                <w:sz w:val="16"/>
                <w:szCs w:val="16"/>
                <w:b w:val="1"/>
                <w:bCs w:val="1"/>
                <w:color w:val="auto"/>
              </w:rPr>
              <w:t>17 Park of Commerce Boulevard, Suite 200</w:t>
            </w:r>
          </w:p>
        </w:tc>
        <w:tc>
          <w:tcPr>
            <w:tcW w:w="2640" w:type="dxa"/>
            <w:vAlign w:val="bottom"/>
          </w:tcPr>
          <w:p>
            <w:pPr>
              <w:spacing w:after="0"/>
              <w:rPr>
                <w:sz w:val="24"/>
                <w:szCs w:val="24"/>
                <w:color w:val="auto"/>
              </w:rPr>
            </w:pPr>
          </w:p>
        </w:tc>
      </w:tr>
      <w:tr>
        <w:trPr>
          <w:trHeight w:val="189"/>
        </w:trPr>
        <w:tc>
          <w:tcPr>
            <w:tcW w:w="4680" w:type="dxa"/>
            <w:vAlign w:val="bottom"/>
          </w:tcPr>
          <w:p>
            <w:pPr>
              <w:jc w:val="center"/>
              <w:ind w:right="1319"/>
              <w:spacing w:after="0"/>
              <w:rPr>
                <w:sz w:val="20"/>
                <w:szCs w:val="20"/>
                <w:color w:val="auto"/>
              </w:rPr>
            </w:pPr>
            <w:r>
              <w:rPr>
                <w:rFonts w:ascii="Arial" w:cs="Arial" w:eastAsia="Arial" w:hAnsi="Arial"/>
                <w:sz w:val="16"/>
                <w:szCs w:val="16"/>
                <w:b w:val="1"/>
                <w:bCs w:val="1"/>
                <w:color w:val="auto"/>
              </w:rPr>
              <w:t>Savannah, Georgia</w:t>
            </w:r>
          </w:p>
        </w:tc>
        <w:tc>
          <w:tcPr>
            <w:tcW w:w="2640" w:type="dxa"/>
            <w:vAlign w:val="bottom"/>
          </w:tcPr>
          <w:p>
            <w:pPr>
              <w:jc w:val="right"/>
              <w:ind w:right="319"/>
              <w:spacing w:after="0"/>
              <w:rPr>
                <w:sz w:val="20"/>
                <w:szCs w:val="20"/>
                <w:color w:val="auto"/>
              </w:rPr>
            </w:pPr>
            <w:r>
              <w:rPr>
                <w:rFonts w:ascii="Arial" w:cs="Arial" w:eastAsia="Arial" w:hAnsi="Arial"/>
                <w:sz w:val="16"/>
                <w:szCs w:val="16"/>
                <w:b w:val="1"/>
                <w:bCs w:val="1"/>
                <w:color w:val="auto"/>
              </w:rPr>
              <w:t>31405</w:t>
            </w:r>
          </w:p>
        </w:tc>
      </w:tr>
      <w:tr>
        <w:trPr>
          <w:trHeight w:val="215"/>
        </w:trPr>
        <w:tc>
          <w:tcPr>
            <w:tcW w:w="4680" w:type="dxa"/>
            <w:vAlign w:val="bottom"/>
          </w:tcPr>
          <w:p>
            <w:pPr>
              <w:jc w:val="center"/>
              <w:ind w:right="1319"/>
              <w:spacing w:after="0"/>
              <w:rPr>
                <w:sz w:val="20"/>
                <w:szCs w:val="20"/>
                <w:color w:val="auto"/>
              </w:rPr>
            </w:pPr>
            <w:r>
              <w:rPr>
                <w:rFonts w:ascii="Arial" w:cs="Arial" w:eastAsia="Arial" w:hAnsi="Arial"/>
                <w:sz w:val="16"/>
                <w:szCs w:val="16"/>
                <w:color w:val="auto"/>
              </w:rPr>
              <w:t>(Address of principal executive offices)</w:t>
            </w:r>
          </w:p>
        </w:tc>
        <w:tc>
          <w:tcPr>
            <w:tcW w:w="2640" w:type="dxa"/>
            <w:vAlign w:val="bottom"/>
          </w:tcPr>
          <w:p>
            <w:pPr>
              <w:jc w:val="center"/>
              <w:ind w:left="1319"/>
              <w:spacing w:after="0"/>
              <w:rPr>
                <w:sz w:val="20"/>
                <w:szCs w:val="20"/>
                <w:color w:val="auto"/>
              </w:rPr>
            </w:pPr>
            <w:r>
              <w:rPr>
                <w:rFonts w:ascii="Arial" w:cs="Arial" w:eastAsia="Arial" w:hAnsi="Arial"/>
                <w:sz w:val="16"/>
                <w:szCs w:val="16"/>
                <w:color w:val="auto"/>
              </w:rPr>
              <w:t>(Zip Code)</w:t>
            </w:r>
          </w:p>
        </w:tc>
      </w:tr>
    </w:tbl>
    <w:p>
      <w:pPr>
        <w:spacing w:after="0" w:line="9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 (</w:t>
      </w:r>
      <w:r>
        <w:rPr>
          <w:rFonts w:ascii="Arial" w:cs="Arial" w:eastAsia="Arial" w:hAnsi="Arial"/>
          <w:sz w:val="16"/>
          <w:szCs w:val="16"/>
          <w:b w:val="1"/>
          <w:bCs w:val="1"/>
          <w:color w:val="auto"/>
        </w:rPr>
        <w:t>912) 236-1561</w:t>
      </w:r>
    </w:p>
    <w:p>
      <w:pPr>
        <w:spacing w:after="0" w:line="34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5"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3140" w:type="dxa"/>
            <w:vAlign w:val="bottom"/>
            <w:tcBorders>
              <w:top w:val="single" w:sz="8" w:color="auto"/>
              <w:left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Title of each class</w:t>
            </w:r>
          </w:p>
        </w:tc>
        <w:tc>
          <w:tcPr>
            <w:tcW w:w="25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Trading symbol</w:t>
            </w:r>
          </w:p>
        </w:tc>
        <w:tc>
          <w:tcPr>
            <w:tcW w:w="4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83"/>
        </w:trPr>
        <w:tc>
          <w:tcPr>
            <w:tcW w:w="2900" w:type="dxa"/>
            <w:vAlign w:val="bottom"/>
            <w:tcBorders>
              <w:top w:val="single" w:sz="8" w:color="auto"/>
              <w:left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Common Stock, $0.01 par value</w:t>
            </w:r>
          </w:p>
        </w:tc>
        <w:tc>
          <w:tcPr>
            <w:tcW w:w="240" w:type="dxa"/>
            <w:vAlign w:val="bottom"/>
            <w:tcBorders>
              <w:bottom w:val="single" w:sz="8" w:color="auto"/>
            </w:tcBorders>
          </w:tcPr>
          <w:p>
            <w:pPr>
              <w:spacing w:after="0"/>
              <w:rPr>
                <w:sz w:val="15"/>
                <w:szCs w:val="15"/>
                <w:color w:val="auto"/>
              </w:rPr>
            </w:pPr>
          </w:p>
        </w:tc>
        <w:tc>
          <w:tcPr>
            <w:tcW w:w="2300" w:type="dxa"/>
            <w:vAlign w:val="bottom"/>
            <w:tcBorders>
              <w:top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CTRN</w:t>
            </w:r>
          </w:p>
        </w:tc>
        <w:tc>
          <w:tcPr>
            <w:tcW w:w="260" w:type="dxa"/>
            <w:vAlign w:val="bottom"/>
            <w:tcBorders>
              <w:bottom w:val="single" w:sz="8" w:color="auto"/>
            </w:tcBorders>
          </w:tcPr>
          <w:p>
            <w:pPr>
              <w:spacing w:after="0"/>
              <w:rPr>
                <w:sz w:val="15"/>
                <w:szCs w:val="15"/>
                <w:color w:val="auto"/>
              </w:rPr>
            </w:pPr>
          </w:p>
        </w:tc>
        <w:tc>
          <w:tcPr>
            <w:tcW w:w="4240" w:type="dxa"/>
            <w:vAlign w:val="bottom"/>
            <w:tcBorders>
              <w:top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NASDAQ Stock Market</w:t>
            </w:r>
          </w:p>
        </w:tc>
      </w:tr>
    </w:tbl>
    <w:p>
      <w:pPr>
        <w:spacing w:after="0" w:line="80" w:lineRule="exact"/>
        <w:rPr>
          <w:sz w:val="24"/>
          <w:szCs w:val="24"/>
          <w:color w:val="auto"/>
        </w:rPr>
      </w:pPr>
    </w:p>
    <w:p>
      <w:pPr>
        <w:ind w:right="60"/>
        <w:spacing w:after="0" w:line="272"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84" w:lineRule="exact"/>
        <w:tabs>
          <w:tab w:leader="none" w:pos="5580" w:val="left"/>
        </w:tabs>
        <w:rPr>
          <w:sz w:val="20"/>
          <w:szCs w:val="20"/>
          <w:color w:val="auto"/>
        </w:rPr>
      </w:pPr>
      <w:r>
        <w:rPr>
          <w:rFonts w:ascii="Arial" w:cs="Arial" w:eastAsia="Arial" w:hAnsi="Arial"/>
          <w:sz w:val="16"/>
          <w:szCs w:val="16"/>
          <w:color w:val="auto"/>
        </w:rPr>
        <w:t xml:space="preserve">(2)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8" w:lineRule="exact"/>
        <w:rPr>
          <w:sz w:val="24"/>
          <w:szCs w:val="24"/>
          <w:color w:val="auto"/>
        </w:rPr>
      </w:pPr>
    </w:p>
    <w:p>
      <w:pPr>
        <w:ind w:right="60"/>
        <w:spacing w:after="0" w:line="216"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6" w:lineRule="exact"/>
        <w:rPr>
          <w:sz w:val="24"/>
          <w:szCs w:val="24"/>
          <w:color w:val="auto"/>
        </w:rPr>
      </w:pPr>
    </w:p>
    <w:p>
      <w:pPr>
        <w:jc w:val="both"/>
        <w:ind w:right="160"/>
        <w:spacing w:after="0" w:line="29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661" w:right="979" w:bottom="1440" w:gutter="0" w:footer="0" w:header="0"/>
        </w:sectPr>
      </w:pPr>
    </w:p>
    <w:p>
      <w:pPr>
        <w:spacing w:after="0" w:line="1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11" w:lineRule="exact"/>
        <w:rPr>
          <w:sz w:val="24"/>
          <w:szCs w:val="24"/>
          <w:color w:val="auto"/>
        </w:rPr>
      </w:pPr>
    </w:p>
    <w:p>
      <w:pPr>
        <w:sectPr>
          <w:pgSz w:w="11900" w:h="16838" w:orient="portrait"/>
          <w:cols w:equalWidth="0" w:num="3">
            <w:col w:w="2960" w:space="720"/>
            <w:col w:w="2140" w:space="720"/>
            <w:col w:w="3400"/>
          </w:cols>
          <w:pgMar w:left="980" w:top="661" w:right="979" w:bottom="1440" w:gutter="0" w:footer="0" w:header="0"/>
          <w:type w:val="continuous"/>
        </w:sectPr>
      </w:pPr>
    </w:p>
    <w:p>
      <w:pPr>
        <w:spacing w:after="0" w:line="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2"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6" w:lineRule="exact"/>
        <w:rPr>
          <w:sz w:val="24"/>
          <w:szCs w:val="24"/>
          <w:color w:val="auto"/>
        </w:rPr>
      </w:pPr>
    </w:p>
    <w:p>
      <w:pPr>
        <w:sectPr>
          <w:pgSz w:w="11900" w:h="16838" w:orient="portrait"/>
          <w:cols w:equalWidth="0" w:num="2">
            <w:col w:w="5820" w:space="720"/>
            <w:col w:w="3400"/>
          </w:cols>
          <w:pgMar w:left="980" w:top="661" w:right="979" w:bottom="1440" w:gutter="0" w:footer="0" w:header="0"/>
          <w:type w:val="continuous"/>
        </w:sectPr>
      </w:pPr>
    </w:p>
    <w:p>
      <w:pPr>
        <w:ind w:right="780"/>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right="760"/>
        <w:spacing w:after="0" w:line="29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28, 2025, the registrant had 8,345,260 outstanding shares of common stock, $0.01 par value per share</w:t>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528955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151765</wp:posOffset>
            </wp:positionV>
            <wp:extent cx="629221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134620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900" w:type="dxa"/>
            <w:vAlign w:val="bottom"/>
            <w:gridSpan w:val="13"/>
          </w:tcPr>
          <w:p>
            <w:pPr>
              <w:jc w:val="center"/>
              <w:ind w:right="3180"/>
              <w:spacing w:after="0"/>
              <w:rPr>
                <w:sz w:val="20"/>
                <w:szCs w:val="20"/>
                <w:color w:val="auto"/>
              </w:rPr>
            </w:pPr>
            <w:r>
              <w:rPr>
                <w:rFonts w:ascii="Arial" w:cs="Arial" w:eastAsia="Arial" w:hAnsi="Arial"/>
                <w:sz w:val="16"/>
                <w:szCs w:val="16"/>
                <w:b w:val="1"/>
                <w:bCs w:val="1"/>
                <w:color w:val="auto"/>
              </w:rPr>
              <w:t>CITI TRENDS, INC.</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8"/>
          </w:tcPr>
          <w:p>
            <w:pPr>
              <w:jc w:val="center"/>
              <w:ind w:right="280"/>
              <w:spacing w:after="0" w:line="169" w:lineRule="exact"/>
              <w:rPr>
                <w:sz w:val="20"/>
                <w:szCs w:val="20"/>
                <w:color w:val="auto"/>
              </w:rPr>
            </w:pPr>
            <w:r>
              <w:rPr>
                <w:rFonts w:ascii="Arial" w:cs="Arial" w:eastAsia="Arial" w:hAnsi="Arial"/>
                <w:sz w:val="16"/>
                <w:szCs w:val="16"/>
                <w:b w:val="1"/>
                <w:bCs w:val="1"/>
                <w:color w:val="auto"/>
              </w:rPr>
              <w:t>FORM 10-Q</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w w:val="74"/>
              </w:rPr>
              <w:t>TABLE</w:t>
            </w: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10"/>
          </w:tcPr>
          <w:p>
            <w:pPr>
              <w:ind w:left="40"/>
              <w:spacing w:after="0" w:line="169" w:lineRule="exact"/>
              <w:rPr>
                <w:sz w:val="20"/>
                <w:szCs w:val="20"/>
                <w:color w:val="auto"/>
              </w:rPr>
            </w:pPr>
            <w:r>
              <w:rPr>
                <w:rFonts w:ascii="Arial" w:cs="Arial" w:eastAsia="Arial" w:hAnsi="Arial"/>
                <w:sz w:val="16"/>
                <w:szCs w:val="16"/>
                <w:b w:val="1"/>
                <w:bCs w:val="1"/>
                <w:color w:val="auto"/>
              </w:rPr>
              <w:t>OF CONTENTS</w:t>
            </w:r>
          </w:p>
        </w:tc>
        <w:tc>
          <w:tcPr>
            <w:tcW w:w="9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NUMBER</w:t>
            </w:r>
          </w:p>
        </w:tc>
        <w:tc>
          <w:tcPr>
            <w:tcW w:w="0" w:type="dxa"/>
            <w:vAlign w:val="bottom"/>
          </w:tcPr>
          <w:p>
            <w:pPr>
              <w:spacing w:after="0"/>
              <w:rPr>
                <w:sz w:val="1"/>
                <w:szCs w:val="1"/>
                <w:color w:val="auto"/>
              </w:rPr>
            </w:pPr>
          </w:p>
        </w:tc>
      </w:tr>
      <w:tr>
        <w:trPr>
          <w:trHeight w:val="169"/>
        </w:trPr>
        <w:tc>
          <w:tcPr>
            <w:tcW w:w="520" w:type="dxa"/>
            <w:vAlign w:val="bottom"/>
            <w:tcBorders>
              <w:bottom w:val="single" w:sz="8" w:color="0000EE"/>
            </w:tcBorders>
            <w:gridSpan w:val="2"/>
          </w:tcPr>
          <w:p>
            <w:pPr>
              <w:spacing w:after="0" w:line="169" w:lineRule="exact"/>
              <w:rPr>
                <w:sz w:val="20"/>
                <w:szCs w:val="20"/>
                <w:color w:val="auto"/>
              </w:rPr>
            </w:pPr>
            <w:r>
              <w:rPr>
                <w:rFonts w:ascii="Arial" w:cs="Arial" w:eastAsia="Arial" w:hAnsi="Arial"/>
                <w:sz w:val="16"/>
                <w:szCs w:val="16"/>
                <w:color w:val="0000EE"/>
                <w:w w:val="96"/>
              </w:rPr>
              <w:t>PART I</w:t>
            </w:r>
          </w:p>
        </w:tc>
        <w:tc>
          <w:tcPr>
            <w:tcW w:w="420" w:type="dxa"/>
            <w:vAlign w:val="bottom"/>
            <w:gridSpan w:val="2"/>
          </w:tcPr>
          <w:p>
            <w:pPr>
              <w:spacing w:after="0"/>
              <w:rPr>
                <w:sz w:val="14"/>
                <w:szCs w:val="14"/>
                <w:color w:val="auto"/>
              </w:rPr>
            </w:pPr>
          </w:p>
        </w:tc>
        <w:tc>
          <w:tcPr>
            <w:tcW w:w="2020" w:type="dxa"/>
            <w:vAlign w:val="bottom"/>
            <w:tcBorders>
              <w:bottom w:val="single" w:sz="8" w:color="0000EE"/>
            </w:tcBorders>
            <w:gridSpan w:val="8"/>
          </w:tcPr>
          <w:p>
            <w:pPr>
              <w:spacing w:after="0" w:line="169" w:lineRule="exact"/>
              <w:rPr>
                <w:sz w:val="20"/>
                <w:szCs w:val="20"/>
                <w:color w:val="auto"/>
              </w:rPr>
            </w:pPr>
            <w:r>
              <w:rPr>
                <w:rFonts w:ascii="Arial" w:cs="Arial" w:eastAsia="Arial" w:hAnsi="Arial"/>
                <w:sz w:val="16"/>
                <w:szCs w:val="16"/>
                <w:color w:val="0000EE"/>
                <w:w w:val="99"/>
              </w:rPr>
              <w:t>FINANCIAL INFORMATION</w:t>
            </w:r>
          </w:p>
        </w:tc>
        <w:tc>
          <w:tcPr>
            <w:tcW w:w="6040" w:type="dxa"/>
            <w:vAlign w:val="bottom"/>
            <w:gridSpan w:val="17"/>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4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8"/>
              </w:rPr>
              <w:t>Item 1</w:t>
            </w:r>
          </w:p>
        </w:tc>
        <w:tc>
          <w:tcPr>
            <w:tcW w:w="480" w:type="dxa"/>
            <w:vAlign w:val="bottom"/>
            <w:gridSpan w:val="3"/>
          </w:tcPr>
          <w:p>
            <w:pPr>
              <w:spacing w:after="0"/>
              <w:rPr>
                <w:sz w:val="24"/>
                <w:szCs w:val="24"/>
                <w:color w:val="auto"/>
              </w:rPr>
            </w:pPr>
          </w:p>
        </w:tc>
        <w:tc>
          <w:tcPr>
            <w:tcW w:w="238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rPr>
              <w:t>Financial Statements (unaudited)</w:t>
            </w:r>
          </w:p>
        </w:tc>
        <w:tc>
          <w:tcPr>
            <w:tcW w:w="5680" w:type="dxa"/>
            <w:vAlign w:val="bottom"/>
            <w:gridSpan w:val="15"/>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Condensed Consolidated Balance Sheets</w:t>
            </w:r>
          </w:p>
        </w:tc>
        <w:tc>
          <w:tcPr>
            <w:tcW w:w="5060" w:type="dxa"/>
            <w:vAlign w:val="bottom"/>
            <w:gridSpan w:val="1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Condensed Consolidated Statements of Operations</w:t>
            </w: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6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color w:val="0000EE"/>
              </w:rPr>
              <w:t>Condensed Consolidated Statements of Cash Flows</w:t>
            </w:r>
          </w:p>
        </w:tc>
        <w:tc>
          <w:tcPr>
            <w:tcW w:w="430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8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rPr>
              <w:t>Condensed Consolidated Statements of Stockholders’ Equity</w:t>
            </w:r>
          </w:p>
        </w:tc>
        <w:tc>
          <w:tcPr>
            <w:tcW w:w="368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0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rPr>
              <w:t>Notes to the Condensed Consolidated Financial Statements</w:t>
            </w:r>
          </w:p>
        </w:tc>
        <w:tc>
          <w:tcPr>
            <w:tcW w:w="376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12"/>
        </w:trPr>
        <w:tc>
          <w:tcPr>
            <w:tcW w:w="4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8"/>
              </w:rPr>
              <w:t>Item 2</w:t>
            </w:r>
          </w:p>
        </w:tc>
        <w:tc>
          <w:tcPr>
            <w:tcW w:w="480" w:type="dxa"/>
            <w:vAlign w:val="bottom"/>
            <w:gridSpan w:val="3"/>
          </w:tcPr>
          <w:p>
            <w:pPr>
              <w:spacing w:after="0"/>
              <w:rPr>
                <w:sz w:val="24"/>
                <w:szCs w:val="24"/>
                <w:color w:val="auto"/>
              </w:rPr>
            </w:pPr>
          </w:p>
        </w:tc>
        <w:tc>
          <w:tcPr>
            <w:tcW w:w="6380" w:type="dxa"/>
            <w:vAlign w:val="bottom"/>
            <w:tcBorders>
              <w:bottom w:val="single" w:sz="8" w:color="0000EE"/>
            </w:tcBorders>
            <w:gridSpan w:val="24"/>
          </w:tcPr>
          <w:p>
            <w:pPr>
              <w:spacing w:after="0"/>
              <w:rPr>
                <w:sz w:val="20"/>
                <w:szCs w:val="20"/>
                <w:color w:val="auto"/>
              </w:rPr>
            </w:pPr>
            <w:r>
              <w:rPr>
                <w:rFonts w:ascii="Arial" w:cs="Arial" w:eastAsia="Arial" w:hAnsi="Arial"/>
                <w:sz w:val="16"/>
                <w:szCs w:val="16"/>
                <w:color w:val="0000EE"/>
              </w:rPr>
              <w:t>Management’s Discussion and Analysis of Financial Condition and Results of Operations</w:t>
            </w:r>
          </w:p>
        </w:tc>
        <w:tc>
          <w:tcPr>
            <w:tcW w:w="1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6"/>
                <w:szCs w:val="16"/>
                <w:color w:val="0000EE"/>
                <w:w w:val="98"/>
              </w:rPr>
              <w:t>Item 3</w:t>
            </w:r>
          </w:p>
        </w:tc>
        <w:tc>
          <w:tcPr>
            <w:tcW w:w="480" w:type="dxa"/>
            <w:vAlign w:val="bottom"/>
            <w:gridSpan w:val="3"/>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Quantitative and Qualitative Disclosures About Market Risk</w:t>
            </w: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98"/>
              </w:rPr>
              <w:t>Item 4</w:t>
            </w:r>
          </w:p>
        </w:tc>
        <w:tc>
          <w:tcPr>
            <w:tcW w:w="480" w:type="dxa"/>
            <w:vAlign w:val="bottom"/>
            <w:gridSpan w:val="3"/>
          </w:tcPr>
          <w:p>
            <w:pPr>
              <w:spacing w:after="0"/>
              <w:rPr>
                <w:sz w:val="24"/>
                <w:szCs w:val="24"/>
                <w:color w:val="auto"/>
              </w:rPr>
            </w:pPr>
          </w:p>
        </w:tc>
        <w:tc>
          <w:tcPr>
            <w:tcW w:w="180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6"/>
                <w:szCs w:val="16"/>
                <w:color w:val="0000EE"/>
              </w:rPr>
              <w:t>Controls and Procedures</w:t>
            </w:r>
          </w:p>
        </w:tc>
        <w:tc>
          <w:tcPr>
            <w:tcW w:w="2440" w:type="dxa"/>
            <w:vAlign w:val="bottom"/>
            <w:tcBorders>
              <w:top w:val="single" w:sz="8" w:color="0000EE"/>
            </w:tcBorders>
            <w:gridSpan w:val="10"/>
          </w:tcPr>
          <w:p>
            <w:pPr>
              <w:spacing w:after="0"/>
              <w:rPr>
                <w:sz w:val="24"/>
                <w:szCs w:val="24"/>
                <w:color w:val="auto"/>
              </w:rPr>
            </w:pPr>
          </w:p>
        </w:tc>
        <w:tc>
          <w:tcPr>
            <w:tcW w:w="382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96"/>
              </w:rPr>
              <w:t>PART II</w:t>
            </w:r>
          </w:p>
        </w:tc>
        <w:tc>
          <w:tcPr>
            <w:tcW w:w="380" w:type="dxa"/>
            <w:vAlign w:val="bottom"/>
          </w:tcPr>
          <w:p>
            <w:pPr>
              <w:spacing w:after="0"/>
              <w:rPr>
                <w:sz w:val="24"/>
                <w:szCs w:val="24"/>
                <w:color w:val="auto"/>
              </w:rPr>
            </w:pPr>
          </w:p>
        </w:tc>
        <w:tc>
          <w:tcPr>
            <w:tcW w:w="17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w w:val="99"/>
              </w:rPr>
              <w:t>OTHER INFORMATION</w:t>
            </w:r>
          </w:p>
        </w:tc>
        <w:tc>
          <w:tcPr>
            <w:tcW w:w="6320" w:type="dxa"/>
            <w:vAlign w:val="bottom"/>
            <w:gridSpan w:val="19"/>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6"/>
                <w:szCs w:val="16"/>
                <w:color w:val="0000EE"/>
                <w:w w:val="98"/>
              </w:rPr>
              <w:t>Item 1</w:t>
            </w:r>
          </w:p>
        </w:tc>
        <w:tc>
          <w:tcPr>
            <w:tcW w:w="480" w:type="dxa"/>
            <w:vAlign w:val="bottom"/>
            <w:gridSpan w:val="3"/>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Legal Proceedings</w:t>
            </w: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4"/>
          </w:tcPr>
          <w:p>
            <w:pPr>
              <w:spacing w:after="0"/>
              <w:rPr>
                <w:sz w:val="20"/>
                <w:szCs w:val="20"/>
                <w:color w:val="auto"/>
              </w:rPr>
            </w:pPr>
            <w:r>
              <w:rPr>
                <w:rFonts w:ascii="Arial" w:cs="Arial" w:eastAsia="Arial" w:hAnsi="Arial"/>
                <w:sz w:val="16"/>
                <w:szCs w:val="16"/>
                <w:color w:val="0000EE"/>
              </w:rPr>
              <w:t>Item 1A</w:t>
            </w:r>
          </w:p>
        </w:tc>
        <w:tc>
          <w:tcPr>
            <w:tcW w:w="8060" w:type="dxa"/>
            <w:vAlign w:val="bottom"/>
            <w:gridSpan w:val="25"/>
          </w:tcPr>
          <w:p>
            <w:pPr>
              <w:spacing w:after="0"/>
              <w:rPr>
                <w:sz w:val="20"/>
                <w:szCs w:val="20"/>
                <w:color w:val="auto"/>
              </w:rPr>
            </w:pPr>
            <w:r>
              <w:rPr>
                <w:rFonts w:ascii="Arial" w:cs="Arial" w:eastAsia="Arial" w:hAnsi="Arial"/>
                <w:sz w:val="16"/>
                <w:szCs w:val="16"/>
                <w:color w:val="0000EE"/>
              </w:rPr>
              <w:t>Risk Factors</w:t>
            </w: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6"/>
                <w:szCs w:val="16"/>
                <w:color w:val="0000EE"/>
                <w:w w:val="98"/>
              </w:rPr>
              <w:t>Item 2</w:t>
            </w:r>
          </w:p>
        </w:tc>
        <w:tc>
          <w:tcPr>
            <w:tcW w:w="10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Unregistered Sales of Equity Securities and Use of Proceeds</w:t>
            </w: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98"/>
              </w:rPr>
              <w:t>Item 3</w:t>
            </w:r>
          </w:p>
        </w:tc>
        <w:tc>
          <w:tcPr>
            <w:tcW w:w="480" w:type="dxa"/>
            <w:vAlign w:val="bottom"/>
            <w:gridSpan w:val="3"/>
          </w:tcPr>
          <w:p>
            <w:pPr>
              <w:spacing w:after="0"/>
              <w:rPr>
                <w:sz w:val="24"/>
                <w:szCs w:val="24"/>
                <w:color w:val="auto"/>
              </w:rPr>
            </w:pPr>
          </w:p>
        </w:tc>
        <w:tc>
          <w:tcPr>
            <w:tcW w:w="230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6"/>
                <w:szCs w:val="16"/>
                <w:color w:val="0000EE"/>
              </w:rPr>
              <w:t>Defaults Upon Senior Securities</w:t>
            </w:r>
          </w:p>
        </w:tc>
        <w:tc>
          <w:tcPr>
            <w:tcW w:w="2060" w:type="dxa"/>
            <w:vAlign w:val="bottom"/>
            <w:tcBorders>
              <w:top w:val="single" w:sz="8" w:color="0000EE"/>
            </w:tcBorders>
            <w:gridSpan w:val="10"/>
          </w:tcPr>
          <w:p>
            <w:pPr>
              <w:spacing w:after="0"/>
              <w:rPr>
                <w:sz w:val="24"/>
                <w:szCs w:val="24"/>
                <w:color w:val="auto"/>
              </w:rPr>
            </w:pPr>
          </w:p>
        </w:tc>
        <w:tc>
          <w:tcPr>
            <w:tcW w:w="370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412"/>
        </w:trPr>
        <w:tc>
          <w:tcPr>
            <w:tcW w:w="4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8"/>
              </w:rPr>
              <w:t>Item 4</w:t>
            </w:r>
          </w:p>
        </w:tc>
        <w:tc>
          <w:tcPr>
            <w:tcW w:w="480" w:type="dxa"/>
            <w:vAlign w:val="bottom"/>
            <w:gridSpan w:val="3"/>
          </w:tcPr>
          <w:p>
            <w:pPr>
              <w:spacing w:after="0"/>
              <w:rPr>
                <w:sz w:val="24"/>
                <w:szCs w:val="24"/>
                <w:color w:val="auto"/>
              </w:rPr>
            </w:pPr>
          </w:p>
        </w:tc>
        <w:tc>
          <w:tcPr>
            <w:tcW w:w="17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rPr>
              <w:t>Mine Safety Disclosures</w:t>
            </w:r>
          </w:p>
        </w:tc>
        <w:tc>
          <w:tcPr>
            <w:tcW w:w="632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6"/>
                <w:szCs w:val="16"/>
                <w:color w:val="0000EE"/>
                <w:w w:val="98"/>
              </w:rPr>
              <w:t>Item 5</w:t>
            </w:r>
          </w:p>
        </w:tc>
        <w:tc>
          <w:tcPr>
            <w:tcW w:w="480" w:type="dxa"/>
            <w:vAlign w:val="bottom"/>
            <w:gridSpan w:val="3"/>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Other Information</w:t>
            </w: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tcBorders>
          </w:tcPr>
          <w:p>
            <w:pPr>
              <w:spacing w:after="0"/>
              <w:rPr>
                <w:sz w:val="20"/>
                <w:szCs w:val="20"/>
                <w:color w:val="auto"/>
              </w:rPr>
            </w:pPr>
            <w:r>
              <w:rPr>
                <w:rFonts w:ascii="Arial" w:cs="Arial" w:eastAsia="Arial" w:hAnsi="Arial"/>
                <w:sz w:val="16"/>
                <w:szCs w:val="16"/>
                <w:color w:val="0000EE"/>
                <w:w w:val="98"/>
              </w:rPr>
              <w:t>Item 6</w:t>
            </w:r>
          </w:p>
        </w:tc>
        <w:tc>
          <w:tcPr>
            <w:tcW w:w="480" w:type="dxa"/>
            <w:vAlign w:val="bottom"/>
            <w:gridSpan w:val="3"/>
          </w:tcPr>
          <w:p>
            <w:pPr>
              <w:spacing w:after="0"/>
              <w:rPr>
                <w:sz w:val="24"/>
                <w:szCs w:val="24"/>
                <w:color w:val="auto"/>
              </w:rPr>
            </w:pPr>
          </w:p>
        </w:tc>
        <w:tc>
          <w:tcPr>
            <w:tcW w:w="1260" w:type="dxa"/>
            <w:vAlign w:val="bottom"/>
            <w:tcBorders>
              <w:top w:val="single" w:sz="8" w:color="0000EE"/>
            </w:tcBorders>
            <w:gridSpan w:val="4"/>
          </w:tcPr>
          <w:p>
            <w:pPr>
              <w:spacing w:after="0"/>
              <w:rPr>
                <w:sz w:val="20"/>
                <w:szCs w:val="20"/>
                <w:color w:val="auto"/>
              </w:rPr>
            </w:pPr>
            <w:r>
              <w:rPr>
                <w:rFonts w:ascii="Arial" w:cs="Arial" w:eastAsia="Arial" w:hAnsi="Arial"/>
                <w:sz w:val="16"/>
                <w:szCs w:val="16"/>
                <w:color w:val="0000EE"/>
              </w:rPr>
              <w:t>Exhibits</w:t>
            </w:r>
          </w:p>
        </w:tc>
        <w:tc>
          <w:tcPr>
            <w:tcW w:w="6800" w:type="dxa"/>
            <w:vAlign w:val="bottom"/>
            <w:gridSpan w:val="21"/>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20" w:type="dxa"/>
            <w:vAlign w:val="bottom"/>
            <w:gridSpan w:val="2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SIGNATURES</w:t>
            </w: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 FINANCIAL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1,</w:t>
            </w:r>
          </w:p>
        </w:tc>
        <w:tc>
          <w:tcPr>
            <w:tcW w:w="2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February 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ind w:left="3240"/>
              <w:spacing w:after="0"/>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51,098</w:t>
            </w:r>
          </w:p>
        </w:tc>
        <w:tc>
          <w:tcPr>
            <w:tcW w:w="2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61,085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200"/>
              <w:spacing w:after="0"/>
              <w:rPr>
                <w:sz w:val="20"/>
                <w:szCs w:val="20"/>
                <w:color w:val="auto"/>
              </w:rPr>
            </w:pPr>
            <w:r>
              <w:rPr>
                <w:rFonts w:ascii="Arial" w:cs="Arial" w:eastAsia="Arial" w:hAnsi="Arial"/>
                <w:sz w:val="16"/>
                <w:szCs w:val="16"/>
                <w:color w:val="auto"/>
              </w:rPr>
              <w:t>Inventory</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123,536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122,640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and other current assets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10,216</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Income tax receivable</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3,119</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12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192,092</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197,060</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20" w:type="dxa"/>
            <w:vAlign w:val="bottom"/>
          </w:tcPr>
          <w:p>
            <w:pPr>
              <w:ind w:left="200"/>
              <w:spacing w:after="0" w:line="175" w:lineRule="exact"/>
              <w:rPr>
                <w:sz w:val="20"/>
                <w:szCs w:val="20"/>
                <w:color w:val="auto"/>
              </w:rPr>
            </w:pPr>
            <w:r>
              <w:rPr>
                <w:rFonts w:ascii="Arial" w:cs="Arial" w:eastAsia="Arial" w:hAnsi="Arial"/>
                <w:sz w:val="16"/>
                <w:szCs w:val="16"/>
                <w:color w:val="auto"/>
              </w:rPr>
              <w:t>Property and equipment, net of accumulated depreciation of $298,162 and $297,396 as of</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200"/>
              <w:spacing w:after="0"/>
              <w:rPr>
                <w:sz w:val="20"/>
                <w:szCs w:val="20"/>
                <w:color w:val="auto"/>
              </w:rPr>
            </w:pPr>
            <w:r>
              <w:rPr>
                <w:rFonts w:ascii="Arial" w:cs="Arial" w:eastAsia="Arial" w:hAnsi="Arial"/>
                <w:sz w:val="16"/>
                <w:szCs w:val="16"/>
                <w:color w:val="auto"/>
              </w:rPr>
              <w:t>November 1, 2025 and February 1, 2025, respectively.</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53,161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50,715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right of use assets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217,187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214,148</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120" w:type="dxa"/>
            <w:vAlign w:val="bottom"/>
            <w:tcBorders>
              <w:bottom w:val="single" w:sz="8" w:color="CCEEFF"/>
            </w:tcBorders>
            <w:shd w:val="clear" w:color="auto" w:fill="CCEEFF"/>
          </w:tcPr>
          <w:p>
            <w:pPr>
              <w:ind w:left="320"/>
              <w:spacing w:after="0" w:line="183" w:lineRule="exact"/>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464,260</w:t>
            </w: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462,769</w:t>
            </w:r>
          </w:p>
        </w:tc>
        <w:tc>
          <w:tcPr>
            <w:tcW w:w="2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214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97,986</w:t>
            </w:r>
          </w:p>
        </w:tc>
        <w:tc>
          <w:tcPr>
            <w:tcW w:w="2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102,456</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43,585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47,724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expenses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21,622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200"/>
              <w:spacing w:after="0"/>
              <w:rPr>
                <w:sz w:val="20"/>
                <w:szCs w:val="20"/>
                <w:color w:val="auto"/>
              </w:rPr>
            </w:pPr>
            <w:r>
              <w:rPr>
                <w:rFonts w:ascii="Arial" w:cs="Arial" w:eastAsia="Arial" w:hAnsi="Arial"/>
                <w:sz w:val="16"/>
                <w:szCs w:val="16"/>
                <w:color w:val="auto"/>
              </w:rPr>
              <w:t>Accrued compensation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14,646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7,176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Layaway deposits</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120" w:type="dxa"/>
            <w:vAlign w:val="bottom"/>
          </w:tcPr>
          <w:p>
            <w:pPr>
              <w:ind w:left="320"/>
              <w:spacing w:after="0" w:line="183" w:lineRule="exact"/>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179,847</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174,391</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Noncurrent operating lease liabilities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174,453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172,675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Deferred Tax Liability</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120" w:type="dxa"/>
            <w:vAlign w:val="bottom"/>
            <w:tcBorders>
              <w:bottom w:val="single" w:sz="8" w:color="CCEEFF"/>
            </w:tcBorders>
          </w:tcPr>
          <w:p>
            <w:pPr>
              <w:ind w:left="320"/>
              <w:spacing w:after="0" w:line="183" w:lineRule="exact"/>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356,430</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349,593</w:t>
            </w:r>
          </w:p>
        </w:tc>
        <w:tc>
          <w:tcPr>
            <w:tcW w:w="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20" w:type="dxa"/>
            <w:vAlign w:val="bottom"/>
            <w:shd w:val="clear" w:color="auto" w:fill="CCEEFF"/>
          </w:tcPr>
          <w:p>
            <w:pPr>
              <w:ind w:left="200"/>
              <w:spacing w:after="0" w:line="175" w:lineRule="exact"/>
              <w:rPr>
                <w:sz w:val="20"/>
                <w:szCs w:val="20"/>
                <w:color w:val="auto"/>
              </w:rPr>
            </w:pPr>
            <w:r>
              <w:rPr>
                <w:rFonts w:ascii="Arial" w:cs="Arial" w:eastAsia="Arial" w:hAnsi="Arial"/>
                <w:sz w:val="16"/>
                <w:szCs w:val="16"/>
                <w:color w:val="auto"/>
              </w:rPr>
              <w:t>Common stock, $0.01 par value. Authorized 32,000,000 shares; 16,500,334 shares issued as</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of November 1, 2025 and 16,497,092 shares issued as of February 1, 2025; 8,300,528 shares</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outstanding as of November 1, 2025 and 8,547,841 shares outstanding as of February 1, 2025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200"/>
              <w:spacing w:after="0"/>
              <w:rPr>
                <w:sz w:val="20"/>
                <w:szCs w:val="20"/>
                <w:color w:val="auto"/>
              </w:rPr>
            </w:pPr>
            <w:r>
              <w:rPr>
                <w:rFonts w:ascii="Arial" w:cs="Arial" w:eastAsia="Arial" w:hAnsi="Arial"/>
                <w:sz w:val="16"/>
                <w:szCs w:val="16"/>
                <w:color w:val="auto"/>
              </w:rPr>
              <w:t>Paid in capital</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111,275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108,101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Retained earnings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273,696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275,901</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20" w:type="dxa"/>
            <w:vAlign w:val="bottom"/>
          </w:tcPr>
          <w:p>
            <w:pPr>
              <w:ind w:left="200"/>
              <w:spacing w:after="0" w:line="175" w:lineRule="exact"/>
              <w:rPr>
                <w:sz w:val="20"/>
                <w:szCs w:val="20"/>
                <w:color w:val="auto"/>
              </w:rPr>
            </w:pPr>
            <w:r>
              <w:rPr>
                <w:rFonts w:ascii="Arial" w:cs="Arial" w:eastAsia="Arial" w:hAnsi="Arial"/>
                <w:sz w:val="16"/>
                <w:szCs w:val="16"/>
                <w:color w:val="auto"/>
              </w:rPr>
              <w:t>Treasury stock, at cost; 8,199,806 shares held as of November 1, 2025 and 7,949,251 shares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held as of February 1, 2025</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(277,303)</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(270,988)</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12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Total stockholders’ equity</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107,830</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113,176</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20" w:type="dxa"/>
            <w:vAlign w:val="bottom"/>
          </w:tcPr>
          <w:p>
            <w:pPr>
              <w:ind w:left="20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464,260</w:t>
            </w:r>
          </w:p>
        </w:tc>
        <w:tc>
          <w:tcPr>
            <w:tcW w:w="22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462,769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Borders>
              <w:top w:val="single" w:sz="8" w:color="auto"/>
            </w:tcBorders>
            <w:gridSpan w:val="3"/>
          </w:tcPr>
          <w:p>
            <w:pPr>
              <w:ind w:left="80"/>
              <w:spacing w:after="0" w:line="147" w:lineRule="exact"/>
              <w:rPr>
                <w:sz w:val="20"/>
                <w:szCs w:val="20"/>
                <w:color w:val="auto"/>
              </w:rPr>
            </w:pPr>
            <w:r>
              <w:rPr>
                <w:rFonts w:ascii="Arial" w:cs="Arial" w:eastAsia="Arial" w:hAnsi="Arial"/>
                <w:sz w:val="14"/>
                <w:szCs w:val="14"/>
                <w:b w:val="1"/>
                <w:bCs w:val="1"/>
                <w:color w:val="auto"/>
              </w:rPr>
              <w:t>November 1,</w:t>
            </w: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7" w:lineRule="exact"/>
              <w:rPr>
                <w:sz w:val="20"/>
                <w:szCs w:val="20"/>
                <w:color w:val="auto"/>
              </w:rPr>
            </w:pPr>
            <w:r>
              <w:rPr>
                <w:rFonts w:ascii="Arial" w:cs="Arial" w:eastAsia="Arial" w:hAnsi="Arial"/>
                <w:sz w:val="14"/>
                <w:szCs w:val="14"/>
                <w:b w:val="1"/>
                <w:bCs w:val="1"/>
                <w:color w:val="auto"/>
              </w:rPr>
              <w:t>November 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sales</w:t>
            </w:r>
          </w:p>
        </w:tc>
        <w:tc>
          <w:tcPr>
            <w:tcW w:w="34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197,091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179,066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Cost of sales (exclusive of depreciation)</w:t>
            </w:r>
          </w:p>
        </w:tc>
        <w:tc>
          <w:tcPr>
            <w:tcW w:w="3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(120,462)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(79,346)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(74,730)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3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Asset impairment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Loss from operations</w:t>
            </w:r>
          </w:p>
        </w:tc>
        <w:tc>
          <w:tcPr>
            <w:tcW w:w="3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7"/>
                <w:szCs w:val="17"/>
                <w:color w:val="auto"/>
              </w:rPr>
            </w:pPr>
          </w:p>
        </w:tc>
        <w:tc>
          <w:tcPr>
            <w:tcW w:w="220" w:type="dxa"/>
            <w:vAlign w:val="bottom"/>
            <w:tcBorders>
              <w:left w:val="single" w:sz="8" w:color="CCEEFF"/>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tcPr>
          <w:p>
            <w:pPr>
              <w:ind w:left="320"/>
              <w:spacing w:after="0" w:line="183" w:lineRule="exact"/>
              <w:rPr>
                <w:sz w:val="20"/>
                <w:szCs w:val="20"/>
                <w:color w:val="auto"/>
              </w:rPr>
            </w:pPr>
            <w:r>
              <w:rPr>
                <w:rFonts w:ascii="Arial" w:cs="Arial" w:eastAsia="Arial" w:hAnsi="Arial"/>
                <w:sz w:val="16"/>
                <w:szCs w:val="16"/>
                <w:color w:val="auto"/>
              </w:rPr>
              <w:t>Loss before income taxes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(6,894)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(8,423)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w:t>
            </w:r>
          </w:p>
        </w:tc>
        <w:tc>
          <w:tcPr>
            <w:tcW w:w="3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Borders>
              <w:bottom w:val="single" w:sz="8" w:color="CCEEFF"/>
            </w:tcBorders>
          </w:tcPr>
          <w:p>
            <w:pPr>
              <w:ind w:left="320"/>
              <w:spacing w:after="0" w:line="183" w:lineRule="exact"/>
              <w:rPr>
                <w:sz w:val="20"/>
                <w:szCs w:val="20"/>
                <w:color w:val="auto"/>
              </w:rPr>
            </w:pPr>
            <w:r>
              <w:rPr>
                <w:rFonts w:ascii="Arial" w:cs="Arial" w:eastAsia="Arial" w:hAnsi="Arial"/>
                <w:sz w:val="16"/>
                <w:szCs w:val="16"/>
                <w:color w:val="auto"/>
              </w:rPr>
              <w:t>Net loss</w:t>
            </w:r>
          </w:p>
        </w:tc>
        <w:tc>
          <w:tcPr>
            <w:tcW w:w="3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(6,894)</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(7,152)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7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Basic net earnings (loss)per common share</w:t>
            </w:r>
          </w:p>
        </w:tc>
        <w:tc>
          <w:tcPr>
            <w:tcW w:w="560" w:type="dxa"/>
            <w:vAlign w:val="bottom"/>
            <w:gridSpan w:val="2"/>
          </w:tcPr>
          <w:p>
            <w:pPr>
              <w:jc w:val="right"/>
              <w:ind w:right="63"/>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(0.86)</w:t>
            </w:r>
          </w:p>
        </w:tc>
        <w:tc>
          <w:tcPr>
            <w:tcW w:w="100" w:type="dxa"/>
            <w:vAlign w:val="bottom"/>
          </w:tcPr>
          <w:p>
            <w:pPr>
              <w:spacing w:after="0"/>
              <w:rPr>
                <w:sz w:val="19"/>
                <w:szCs w:val="19"/>
                <w:color w:val="auto"/>
              </w:rPr>
            </w:pPr>
          </w:p>
        </w:tc>
        <w:tc>
          <w:tcPr>
            <w:tcW w:w="320" w:type="dxa"/>
            <w:vAlign w:val="bottom"/>
            <w:gridSpan w:val="3"/>
          </w:tcPr>
          <w:p>
            <w:pPr>
              <w:jc w:val="right"/>
              <w:ind w:right="85"/>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8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6"/>
                <w:szCs w:val="16"/>
                <w:color w:val="auto"/>
              </w:rPr>
              <w:t>Diluted net earnings (loss) per common share</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left w:val="single" w:sz="8" w:color="CCEEFF"/>
              <w:bottom w:val="single" w:sz="8" w:color="auto"/>
            </w:tcBorders>
            <w:shd w:val="clear" w:color="auto" w:fill="CCEEFF"/>
          </w:tcPr>
          <w:p>
            <w:pPr>
              <w:jc w:val="right"/>
              <w:ind w:right="63"/>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(0.86)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gridSpan w:val="2"/>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(0.86)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 outstanding</w:t>
            </w:r>
          </w:p>
        </w:tc>
        <w:tc>
          <w:tcPr>
            <w:tcW w:w="3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8,050</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80" w:type="dxa"/>
            <w:vAlign w:val="bottom"/>
            <w:tcBorders>
              <w:bottom w:val="single" w:sz="8" w:color="CCEEFF"/>
            </w:tcBorders>
            <w:shd w:val="clear" w:color="auto" w:fill="CCEEFF"/>
          </w:tcPr>
          <w:p>
            <w:pPr>
              <w:ind w:left="200"/>
              <w:spacing w:after="0" w:line="170" w:lineRule="exact"/>
              <w:rPr>
                <w:sz w:val="20"/>
                <w:szCs w:val="20"/>
                <w:color w:val="auto"/>
              </w:rPr>
            </w:pPr>
            <w:r>
              <w:rPr>
                <w:rFonts w:ascii="Arial" w:cs="Arial" w:eastAsia="Arial" w:hAnsi="Arial"/>
                <w:sz w:val="16"/>
                <w:szCs w:val="16"/>
                <w:color w:val="auto"/>
              </w:rPr>
              <w:t>Diluted</w:t>
            </w:r>
          </w:p>
        </w:tc>
        <w:tc>
          <w:tcPr>
            <w:tcW w:w="3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left w:val="single" w:sz="8" w:color="CCEEFF"/>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8,050</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8,356</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restart"/>
          </w:tcPr>
          <w:p>
            <w:pPr>
              <w:jc w:val="center"/>
              <w:ind w:left="2519"/>
              <w:spacing w:after="0"/>
              <w:rPr>
                <w:sz w:val="20"/>
                <w:szCs w:val="20"/>
                <w:color w:val="auto"/>
              </w:rPr>
            </w:pPr>
            <w:r>
              <w:rPr>
                <w:rFonts w:ascii="Arial" w:cs="Arial" w:eastAsia="Arial" w:hAnsi="Arial"/>
                <w:sz w:val="16"/>
                <w:szCs w:val="16"/>
                <w:b w:val="1"/>
                <w:bCs w:val="1"/>
                <w:color w:val="auto"/>
                <w:w w:val="99"/>
              </w:rPr>
              <w:t>Citi Trends, Inc.</w:t>
            </w: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72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jc w:val="center"/>
              <w:ind w:left="2519"/>
              <w:spacing w:after="0"/>
              <w:rPr>
                <w:sz w:val="20"/>
                <w:szCs w:val="20"/>
                <w:color w:val="auto"/>
              </w:rPr>
            </w:pPr>
            <w:r>
              <w:rPr>
                <w:rFonts w:ascii="Arial" w:cs="Arial" w:eastAsia="Arial" w:hAnsi="Arial"/>
                <w:sz w:val="16"/>
                <w:szCs w:val="16"/>
                <w:b w:val="1"/>
                <w:bCs w:val="1"/>
                <w:color w:val="auto"/>
              </w:rPr>
              <w:t>Condensed Consolidated Statements of Operations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jc w:val="center"/>
              <w:ind w:left="2539"/>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jc w:val="center"/>
              <w:ind w:left="2539"/>
              <w:spacing w:after="0"/>
              <w:rPr>
                <w:sz w:val="20"/>
                <w:szCs w:val="20"/>
                <w:color w:val="auto"/>
              </w:rPr>
            </w:pPr>
            <w:r>
              <w:rPr>
                <w:rFonts w:ascii="Arial" w:cs="Arial" w:eastAsia="Arial" w:hAnsi="Arial"/>
                <w:sz w:val="16"/>
                <w:szCs w:val="16"/>
                <w:b w:val="1"/>
                <w:bCs w:val="1"/>
                <w:color w:val="auto"/>
              </w:rPr>
              <w:t>(in thousands, except per share amounts)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3"/>
          </w:tcPr>
          <w:p>
            <w:pPr>
              <w:jc w:val="right"/>
              <w:ind w:right="100"/>
              <w:spacing w:after="0" w:line="147" w:lineRule="exact"/>
              <w:rPr>
                <w:sz w:val="20"/>
                <w:szCs w:val="20"/>
                <w:color w:val="auto"/>
              </w:rPr>
            </w:pPr>
            <w:r>
              <w:rPr>
                <w:rFonts w:ascii="Arial" w:cs="Arial" w:eastAsia="Arial" w:hAnsi="Arial"/>
                <w:sz w:val="14"/>
                <w:szCs w:val="14"/>
                <w:b w:val="1"/>
                <w:bCs w:val="1"/>
                <w:color w:val="auto"/>
              </w:rPr>
              <w:t>November 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80"/>
              <w:spacing w:after="0" w:line="147" w:lineRule="exact"/>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sales</w:t>
            </w:r>
          </w:p>
        </w:tc>
        <w:tc>
          <w:tcPr>
            <w:tcW w:w="34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ind w:left="60"/>
              <w:spacing w:after="0" w:line="183" w:lineRule="exact"/>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589,569</w:t>
            </w:r>
          </w:p>
        </w:tc>
        <w:tc>
          <w:tcPr>
            <w:tcW w:w="160" w:type="dxa"/>
            <w:vAlign w:val="bottom"/>
            <w:gridSpan w:val="2"/>
            <w:shd w:val="clear" w:color="auto" w:fill="CCEEFF"/>
          </w:tcPr>
          <w:p>
            <w:pPr>
              <w:spacing w:after="0"/>
              <w:rPr>
                <w:sz w:val="15"/>
                <w:szCs w:val="15"/>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541,907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Cost of sales (exclusive of depreciation)</w:t>
            </w:r>
          </w:p>
        </w:tc>
        <w:tc>
          <w:tcPr>
            <w:tcW w:w="34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(356,857)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(343,710)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(233,138)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(222,721)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34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(13,545)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Asset impairment</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(327)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(1,835)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Gain on sale of building</w:t>
            </w:r>
          </w:p>
        </w:tc>
        <w:tc>
          <w:tcPr>
            <w:tcW w:w="340" w:type="dxa"/>
            <w:vAlign w:val="bottom"/>
            <w:shd w:val="clear" w:color="auto" w:fill="CCEEFF"/>
          </w:tcPr>
          <w:p>
            <w:pPr>
              <w:spacing w:after="0"/>
              <w:rPr>
                <w:sz w:val="16"/>
                <w:szCs w:val="16"/>
                <w:color w:val="auto"/>
              </w:rPr>
            </w:pPr>
          </w:p>
        </w:tc>
        <w:tc>
          <w:tcPr>
            <w:tcW w:w="220" w:type="dxa"/>
            <w:vAlign w:val="bottom"/>
            <w:tcBorders>
              <w:left w:val="single" w:sz="8" w:color="CCEEFF"/>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10,960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tcPr>
          <w:p>
            <w:pPr>
              <w:ind w:left="320"/>
              <w:spacing w:after="0" w:line="183" w:lineRule="exact"/>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(3,338)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(40,690)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34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1,388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(255)</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8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Loss before income taxes</w:t>
            </w:r>
          </w:p>
        </w:tc>
        <w:tc>
          <w:tcPr>
            <w:tcW w:w="34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88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(2,205)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(38,986)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benefit</w:t>
            </w:r>
          </w:p>
        </w:tc>
        <w:tc>
          <w:tcPr>
            <w:tcW w:w="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9,995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tcBorders>
              <w:bottom w:val="single" w:sz="8" w:color="CCEEFF"/>
            </w:tcBorders>
            <w:shd w:val="clear" w:color="auto" w:fill="CCEEFF"/>
          </w:tcPr>
          <w:p>
            <w:pPr>
              <w:ind w:left="320"/>
              <w:spacing w:after="0" w:line="183" w:lineRule="exact"/>
              <w:rPr>
                <w:sz w:val="20"/>
                <w:szCs w:val="20"/>
                <w:color w:val="auto"/>
              </w:rPr>
            </w:pPr>
            <w:r>
              <w:rPr>
                <w:rFonts w:ascii="Arial" w:cs="Arial" w:eastAsia="Arial" w:hAnsi="Arial"/>
                <w:sz w:val="16"/>
                <w:szCs w:val="16"/>
                <w:color w:val="auto"/>
              </w:rPr>
              <w:t>Net loss</w:t>
            </w:r>
          </w:p>
        </w:tc>
        <w:tc>
          <w:tcPr>
            <w:tcW w:w="3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left w:val="single" w:sz="8" w:color="CCEEFF"/>
              <w:bottom w:val="single" w:sz="8" w:color="auto"/>
            </w:tcBorders>
            <w:shd w:val="clear" w:color="auto" w:fill="CCEEFF"/>
          </w:tcPr>
          <w:p>
            <w:pPr>
              <w:ind w:left="6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(2,205)</w:t>
            </w:r>
          </w:p>
        </w:tc>
        <w:tc>
          <w:tcPr>
            <w:tcW w:w="16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(28,991)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Basic net earnings (loss)per common share</w:t>
            </w:r>
          </w:p>
        </w:tc>
        <w:tc>
          <w:tcPr>
            <w:tcW w:w="34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(0.27)</w:t>
            </w:r>
          </w:p>
        </w:tc>
        <w:tc>
          <w:tcPr>
            <w:tcW w:w="320" w:type="dxa"/>
            <w:vAlign w:val="bottom"/>
            <w:gridSpan w:val="3"/>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6"/>
                <w:szCs w:val="16"/>
                <w:color w:val="auto"/>
              </w:rPr>
              <w:t>Diluted net earnings (loss) per common share</w:t>
            </w:r>
          </w:p>
        </w:tc>
        <w:tc>
          <w:tcPr>
            <w:tcW w:w="3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220" w:type="dxa"/>
            <w:vAlign w:val="bottom"/>
            <w:tcBorders>
              <w:bottom w:val="single" w:sz="8" w:color="auto"/>
            </w:tcBorders>
          </w:tcPr>
          <w:p>
            <w:pPr>
              <w:ind w:left="60"/>
              <w:spacing w:after="0" w:line="170"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2"/>
          </w:tcPr>
          <w:p>
            <w:pPr>
              <w:jc w:val="right"/>
              <w:ind w:right="20"/>
              <w:spacing w:after="0" w:line="170" w:lineRule="exact"/>
              <w:rPr>
                <w:sz w:val="20"/>
                <w:szCs w:val="20"/>
                <w:color w:val="auto"/>
              </w:rPr>
            </w:pPr>
            <w:r>
              <w:rPr>
                <w:rFonts w:ascii="Arial" w:cs="Arial" w:eastAsia="Arial" w:hAnsi="Arial"/>
                <w:sz w:val="16"/>
                <w:szCs w:val="16"/>
                <w:color w:val="auto"/>
              </w:rPr>
              <w:t>(0.27)</w:t>
            </w:r>
          </w:p>
        </w:tc>
        <w:tc>
          <w:tcPr>
            <w:tcW w:w="16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72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left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Weighted average number of shares outstanding</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left w:val="single" w:sz="8" w:color="CCEEFF"/>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8,039</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restart"/>
          </w:tcPr>
          <w:p>
            <w:pPr>
              <w:ind w:left="200"/>
              <w:spacing w:after="0"/>
              <w:rPr>
                <w:sz w:val="20"/>
                <w:szCs w:val="20"/>
                <w:color w:val="auto"/>
              </w:rPr>
            </w:pPr>
            <w:r>
              <w:rPr>
                <w:rFonts w:ascii="Arial" w:cs="Arial" w:eastAsia="Arial" w:hAnsi="Arial"/>
                <w:sz w:val="16"/>
                <w:szCs w:val="16"/>
                <w:color w:val="auto"/>
              </w:rPr>
              <w:t>Diluted</w:t>
            </w: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2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60"/>
              <w:spacing w:after="0" w:line="170" w:lineRule="exact"/>
              <w:rPr>
                <w:sz w:val="20"/>
                <w:szCs w:val="20"/>
                <w:color w:val="auto"/>
              </w:rPr>
            </w:pPr>
            <w:r>
              <w:rPr>
                <w:rFonts w:ascii="Arial" w:cs="Arial" w:eastAsia="Arial" w:hAnsi="Arial"/>
                <w:sz w:val="16"/>
                <w:szCs w:val="16"/>
                <w:color w:val="auto"/>
              </w:rPr>
              <w:t>8,039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line="170" w:lineRule="exact"/>
              <w:rPr>
                <w:sz w:val="20"/>
                <w:szCs w:val="20"/>
                <w:color w:val="auto"/>
              </w:rPr>
            </w:pPr>
            <w:r>
              <w:rPr>
                <w:rFonts w:ascii="Arial" w:cs="Arial" w:eastAsia="Arial" w:hAnsi="Arial"/>
                <w:sz w:val="16"/>
                <w:szCs w:val="16"/>
                <w:color w:val="auto"/>
              </w:rPr>
              <w:t>8,315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ectPr>
          <w:pgSz w:w="11900" w:h="16838" w:orient="portrait"/>
          <w:cols w:equalWidth="0" w:num="1">
            <w:col w:w="9920"/>
          </w:cols>
          <w:pgMar w:left="980" w:top="512"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369570</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b w:val="1"/>
                <w:bCs w:val="1"/>
                <w:color w:val="auto"/>
              </w:rPr>
              <w:t>November 1,</w:t>
            </w: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0"/>
              <w:spacing w:after="0" w:line="147" w:lineRule="exact"/>
              <w:rPr>
                <w:sz w:val="20"/>
                <w:szCs w:val="20"/>
                <w:color w:val="auto"/>
              </w:rPr>
            </w:pPr>
            <w:r>
              <w:rPr>
                <w:rFonts w:ascii="Arial" w:cs="Arial" w:eastAsia="Arial" w:hAnsi="Arial"/>
                <w:sz w:val="14"/>
                <w:szCs w:val="14"/>
                <w:b w:val="1"/>
                <w:bCs w:val="1"/>
                <w:color w:val="auto"/>
                <w:w w:val="99"/>
              </w:rPr>
              <w:t>November 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Operating activities:</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200"/>
              <w:spacing w:after="0"/>
              <w:rPr>
                <w:sz w:val="20"/>
                <w:szCs w:val="20"/>
                <w:color w:val="auto"/>
              </w:rPr>
            </w:pPr>
            <w:r>
              <w:rPr>
                <w:rFonts w:ascii="Arial" w:cs="Arial" w:eastAsia="Arial" w:hAnsi="Arial"/>
                <w:sz w:val="16"/>
                <w:szCs w:val="16"/>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(2,205)</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(28,991)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13,545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14,331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Asset impairment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6"/>
                <w:szCs w:val="16"/>
                <w:color w:val="auto"/>
              </w:rPr>
              <w:t>Non-cash operating lease costs</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35,687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36,708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Loss on disposal of property and equipment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6"/>
                <w:szCs w:val="16"/>
                <w:color w:val="auto"/>
              </w:rPr>
              <w:t>Deferred income taxes</w:t>
            </w:r>
          </w:p>
        </w:tc>
        <w:tc>
          <w:tcPr>
            <w:tcW w:w="8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(10,197)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Non-cash stock-based compensation expense</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6"/>
                <w:szCs w:val="16"/>
                <w:color w:val="auto"/>
              </w:rPr>
              <w:t>Gain on sale of building</w:t>
            </w:r>
          </w:p>
        </w:tc>
        <w:tc>
          <w:tcPr>
            <w:tcW w:w="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(10,960)</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assets and liabilities:</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420"/>
              <w:spacing w:after="0"/>
              <w:rPr>
                <w:sz w:val="20"/>
                <w:szCs w:val="20"/>
                <w:color w:val="auto"/>
              </w:rPr>
            </w:pPr>
            <w:r>
              <w:rPr>
                <w:rFonts w:ascii="Arial" w:cs="Arial" w:eastAsia="Arial" w:hAnsi="Arial"/>
                <w:sz w:val="16"/>
                <w:szCs w:val="16"/>
                <w:color w:val="auto"/>
              </w:rPr>
              <w:t>Inventory</w:t>
            </w:r>
          </w:p>
        </w:tc>
        <w:tc>
          <w:tcPr>
            <w:tcW w:w="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(896)</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Prepaid and other current assets</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(5,868)</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420"/>
              <w:spacing w:after="0"/>
              <w:rPr>
                <w:sz w:val="20"/>
                <w:szCs w:val="20"/>
                <w:color w:val="auto"/>
              </w:rPr>
            </w:pPr>
            <w:r>
              <w:rPr>
                <w:rFonts w:ascii="Arial" w:cs="Arial" w:eastAsia="Arial" w:hAnsi="Arial"/>
                <w:sz w:val="16"/>
                <w:szCs w:val="16"/>
                <w:color w:val="auto"/>
              </w:rPr>
              <w:t>Other assets</w:t>
            </w:r>
          </w:p>
        </w:tc>
        <w:tc>
          <w:tcPr>
            <w:tcW w:w="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Accounts payable</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(5,130)</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(17,898)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40" w:type="dxa"/>
            <w:vAlign w:val="bottom"/>
          </w:tcPr>
          <w:p>
            <w:pPr>
              <w:ind w:left="420"/>
              <w:spacing w:after="0"/>
              <w:rPr>
                <w:sz w:val="20"/>
                <w:szCs w:val="20"/>
                <w:color w:val="auto"/>
              </w:rPr>
            </w:pPr>
            <w:r>
              <w:rPr>
                <w:rFonts w:ascii="Arial" w:cs="Arial" w:eastAsia="Arial" w:hAnsi="Arial"/>
                <w:sz w:val="16"/>
                <w:szCs w:val="16"/>
                <w:color w:val="auto"/>
              </w:rPr>
              <w:t>Accrued expenses and other long-term liabilities</w:t>
            </w:r>
          </w:p>
        </w:tc>
        <w:tc>
          <w:tcPr>
            <w:tcW w:w="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(36,919)</w:t>
            </w: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(35,916)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Accrued compensation</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420"/>
              <w:spacing w:after="0"/>
              <w:rPr>
                <w:sz w:val="20"/>
                <w:szCs w:val="20"/>
                <w:color w:val="auto"/>
              </w:rPr>
            </w:pPr>
            <w:r>
              <w:rPr>
                <w:rFonts w:ascii="Arial" w:cs="Arial" w:eastAsia="Arial" w:hAnsi="Arial"/>
                <w:sz w:val="16"/>
                <w:szCs w:val="16"/>
                <w:color w:val="auto"/>
              </w:rPr>
              <w:t>Income tax receivable/payable</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1,745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Layaway deposits</w:t>
            </w: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40" w:type="dxa"/>
            <w:vAlign w:val="bottom"/>
            <w:tcBorders>
              <w:bottom w:val="single" w:sz="8" w:color="CCEEFF"/>
            </w:tcBorders>
          </w:tcPr>
          <w:p>
            <w:pPr>
              <w:ind w:left="640"/>
              <w:spacing w:after="0" w:line="183" w:lineRule="exact"/>
              <w:rPr>
                <w:sz w:val="20"/>
                <w:szCs w:val="20"/>
                <w:color w:val="auto"/>
              </w:rPr>
            </w:pPr>
            <w:r>
              <w:rPr>
                <w:rFonts w:ascii="Arial" w:cs="Arial" w:eastAsia="Arial" w:hAnsi="Arial"/>
                <w:sz w:val="16"/>
                <w:szCs w:val="16"/>
                <w:color w:val="auto"/>
              </w:rPr>
              <w:t>Net cash provided by (used in) operating activities</w:t>
            </w: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1,467</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(32,348)</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Investing activities:</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200"/>
              <w:spacing w:after="0"/>
              <w:rPr>
                <w:sz w:val="20"/>
                <w:szCs w:val="20"/>
                <w:color w:val="auto"/>
              </w:rPr>
            </w:pPr>
            <w:r>
              <w:rPr>
                <w:rFonts w:ascii="Arial" w:cs="Arial" w:eastAsia="Arial" w:hAnsi="Arial"/>
                <w:sz w:val="16"/>
                <w:szCs w:val="16"/>
                <w:color w:val="auto"/>
              </w:rPr>
              <w:t>Purchases of property and equipment</w:t>
            </w:r>
          </w:p>
        </w:tc>
        <w:tc>
          <w:tcPr>
            <w:tcW w:w="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(15,519)</w:t>
            </w: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(7,606)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sale of building</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40" w:type="dxa"/>
            <w:vAlign w:val="bottom"/>
            <w:tcBorders>
              <w:bottom w:val="single" w:sz="8" w:color="CCEEFF"/>
            </w:tcBorders>
          </w:tcPr>
          <w:p>
            <w:pPr>
              <w:ind w:left="640"/>
              <w:spacing w:after="0" w:line="183" w:lineRule="exact"/>
              <w:rPr>
                <w:sz w:val="20"/>
                <w:szCs w:val="20"/>
                <w:color w:val="auto"/>
              </w:rPr>
            </w:pPr>
            <w:r>
              <w:rPr>
                <w:rFonts w:ascii="Arial" w:cs="Arial" w:eastAsia="Arial" w:hAnsi="Arial"/>
                <w:sz w:val="16"/>
                <w:szCs w:val="16"/>
                <w:color w:val="auto"/>
              </w:rPr>
              <w:t>Net cash used in investing activities</w:t>
            </w:r>
          </w:p>
        </w:tc>
        <w:tc>
          <w:tcPr>
            <w:tcW w:w="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(4,313)</w:t>
            </w:r>
          </w:p>
        </w:tc>
        <w:tc>
          <w:tcPr>
            <w:tcW w:w="2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(7,606)</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Financing activities:</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200"/>
              <w:spacing w:after="0"/>
              <w:rPr>
                <w:sz w:val="20"/>
                <w:szCs w:val="20"/>
                <w:color w:val="auto"/>
              </w:rPr>
            </w:pPr>
            <w:r>
              <w:rPr>
                <w:rFonts w:ascii="Arial" w:cs="Arial" w:eastAsia="Arial" w:hAnsi="Arial"/>
                <w:sz w:val="16"/>
                <w:szCs w:val="16"/>
                <w:color w:val="auto"/>
              </w:rPr>
              <w:t>Cash used to settle withholding taxes on the vesting of nonvested restricted stock</w:t>
            </w:r>
          </w:p>
        </w:tc>
        <w:tc>
          <w:tcPr>
            <w:tcW w:w="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Repurchases of common stock</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(6,315)</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40" w:type="dxa"/>
            <w:vAlign w:val="bottom"/>
            <w:tcBorders>
              <w:bottom w:val="single" w:sz="8" w:color="CCEEFF"/>
            </w:tcBorders>
          </w:tcPr>
          <w:p>
            <w:pPr>
              <w:ind w:left="640"/>
              <w:spacing w:after="0" w:line="183" w:lineRule="exact"/>
              <w:rPr>
                <w:sz w:val="20"/>
                <w:szCs w:val="20"/>
                <w:color w:val="auto"/>
              </w:rPr>
            </w:pPr>
            <w:r>
              <w:rPr>
                <w:rFonts w:ascii="Arial" w:cs="Arial" w:eastAsia="Arial" w:hAnsi="Arial"/>
                <w:sz w:val="16"/>
                <w:szCs w:val="16"/>
                <w:color w:val="auto"/>
              </w:rPr>
              <w:t>Net cash used in financing activities</w:t>
            </w:r>
          </w:p>
        </w:tc>
        <w:tc>
          <w:tcPr>
            <w:tcW w:w="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(7,141)</w:t>
            </w:r>
          </w:p>
        </w:tc>
        <w:tc>
          <w:tcPr>
            <w:tcW w:w="2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(880)</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40" w:type="dxa"/>
            <w:vAlign w:val="bottom"/>
            <w:shd w:val="clear" w:color="auto" w:fill="CCEEFF"/>
          </w:tcPr>
          <w:p>
            <w:pPr>
              <w:ind w:left="640"/>
              <w:spacing w:after="0" w:line="183" w:lineRule="exact"/>
              <w:rPr>
                <w:sz w:val="20"/>
                <w:szCs w:val="20"/>
                <w:color w:val="auto"/>
              </w:rPr>
            </w:pPr>
            <w:r>
              <w:rPr>
                <w:rFonts w:ascii="Arial" w:cs="Arial" w:eastAsia="Arial" w:hAnsi="Arial"/>
                <w:sz w:val="16"/>
                <w:szCs w:val="16"/>
                <w:color w:val="auto"/>
              </w:rPr>
              <w:t>Net decrease in cash and cash equivalents</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(9,987)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(40,834)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Beginning of period</w:t>
            </w: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61,085</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79,706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CCEEFF"/>
            </w:tcBorders>
          </w:tcPr>
          <w:p>
            <w:pPr>
              <w:ind w:left="200"/>
              <w:spacing w:after="0" w:line="183" w:lineRule="exact"/>
              <w:rPr>
                <w:sz w:val="20"/>
                <w:szCs w:val="20"/>
                <w:color w:val="auto"/>
              </w:rPr>
            </w:pPr>
            <w:r>
              <w:rPr>
                <w:rFonts w:ascii="Arial" w:cs="Arial" w:eastAsia="Arial" w:hAnsi="Arial"/>
                <w:sz w:val="16"/>
                <w:szCs w:val="16"/>
                <w:color w:val="auto"/>
              </w:rPr>
              <w:t>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51,098</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38,872</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7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6"/>
                <w:szCs w:val="16"/>
                <w:color w:val="auto"/>
              </w:rPr>
              <w:t>Supplemental disclosures of cash flow information:</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Cash paid for interest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vMerge w:val="restart"/>
          </w:tcPr>
          <w:p>
            <w:pPr>
              <w:ind w:left="640"/>
              <w:spacing w:after="0"/>
              <w:rPr>
                <w:sz w:val="20"/>
                <w:szCs w:val="20"/>
                <w:color w:val="auto"/>
              </w:rPr>
            </w:pPr>
            <w:r>
              <w:rPr>
                <w:rFonts w:ascii="Arial" w:cs="Arial" w:eastAsia="Arial" w:hAnsi="Arial"/>
                <w:sz w:val="16"/>
                <w:szCs w:val="16"/>
                <w:color w:val="auto"/>
              </w:rPr>
              <w:t>Cash refunds of income taxes</w:t>
            </w: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(1,694)</w:t>
            </w:r>
          </w:p>
        </w:tc>
        <w:tc>
          <w:tcPr>
            <w:tcW w:w="2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(340)</w:t>
            </w:r>
          </w:p>
        </w:tc>
        <w:tc>
          <w:tcPr>
            <w:tcW w:w="4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54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Supplemental disclosures of non-cash investing activities:</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40" w:type="dxa"/>
            <w:vAlign w:val="bottom"/>
          </w:tcPr>
          <w:p>
            <w:pPr>
              <w:ind w:left="640"/>
              <w:spacing w:after="0"/>
              <w:rPr>
                <w:sz w:val="20"/>
                <w:szCs w:val="20"/>
                <w:color w:val="auto"/>
              </w:rPr>
            </w:pPr>
            <w:r>
              <w:rPr>
                <w:rFonts w:ascii="Arial" w:cs="Arial" w:eastAsia="Arial" w:hAnsi="Arial"/>
                <w:sz w:val="16"/>
                <w:szCs w:val="16"/>
                <w:color w:val="auto"/>
              </w:rPr>
              <w:t>Accrual for purchases of property and equipment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w:t>
            </w:r>
          </w:p>
        </w:tc>
        <w:tc>
          <w:tcPr>
            <w:tcW w:w="2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right"/>
              <w:ind w:right="60"/>
              <w:spacing w:after="0"/>
              <w:rPr>
                <w:sz w:val="20"/>
                <w:szCs w:val="20"/>
                <w:color w:val="auto"/>
              </w:rPr>
            </w:pPr>
            <w:r>
              <w:rPr>
                <w:rFonts w:ascii="Arial" w:cs="Arial" w:eastAsia="Arial" w:hAnsi="Arial"/>
                <w:sz w:val="14"/>
                <w:szCs w:val="14"/>
                <w:b w:val="1"/>
                <w:bCs w:val="1"/>
                <w:color w:val="auto"/>
              </w:rPr>
              <w:t>Paid in</w:t>
            </w:r>
          </w:p>
        </w:tc>
        <w:tc>
          <w:tcPr>
            <w:tcW w:w="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80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9"/>
        </w:trPr>
        <w:tc>
          <w:tcPr>
            <w:tcW w:w="3820" w:type="dxa"/>
            <w:vAlign w:val="bottom"/>
          </w:tcPr>
          <w:p>
            <w:pPr>
              <w:spacing w:after="0"/>
              <w:rPr>
                <w:sz w:val="14"/>
                <w:szCs w:val="14"/>
                <w:color w:val="auto"/>
              </w:rPr>
            </w:pPr>
          </w:p>
        </w:tc>
        <w:tc>
          <w:tcPr>
            <w:tcW w:w="920" w:type="dxa"/>
            <w:vAlign w:val="bottom"/>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780" w:type="dxa"/>
            <w:vAlign w:val="bottom"/>
          </w:tcPr>
          <w:p>
            <w:pPr>
              <w:jc w:val="right"/>
              <w:ind w:right="6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840" w:type="dxa"/>
            <w:vAlign w:val="bottom"/>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60" w:type="dxa"/>
            <w:vAlign w:val="bottom"/>
          </w:tcPr>
          <w:p>
            <w:pPr>
              <w:jc w:val="right"/>
              <w:ind w:right="79"/>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59"/>
              <w:spacing w:after="0"/>
              <w:rPr>
                <w:sz w:val="20"/>
                <w:szCs w:val="20"/>
                <w:color w:val="auto"/>
              </w:rPr>
            </w:pPr>
            <w:r>
              <w:rPr>
                <w:rFonts w:ascii="Arial" w:cs="Arial" w:eastAsia="Arial" w:hAnsi="Arial"/>
                <w:sz w:val="14"/>
                <w:szCs w:val="14"/>
                <w:b w:val="1"/>
                <w:bCs w:val="1"/>
                <w:color w:val="auto"/>
              </w:rPr>
              <w:t>Total</w:t>
            </w:r>
          </w:p>
        </w:tc>
      </w:tr>
      <w:tr>
        <w:trPr>
          <w:trHeight w:val="183"/>
        </w:trPr>
        <w:tc>
          <w:tcPr>
            <w:tcW w:w="38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February 1, 2025</w:t>
            </w: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16,497,092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162</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$ 108,101</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$ 275,901</w:t>
            </w:r>
          </w:p>
        </w:tc>
        <w:tc>
          <w:tcPr>
            <w:tcW w:w="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7,949,251</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(270,988)</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113,176</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Grant of restricted shares</w:t>
            </w:r>
          </w:p>
        </w:tc>
        <w:tc>
          <w:tcPr>
            <w:tcW w:w="920" w:type="dxa"/>
            <w:vAlign w:val="bottom"/>
          </w:tcPr>
          <w:p>
            <w:pPr>
              <w:jc w:val="right"/>
              <w:spacing w:after="0"/>
              <w:rPr>
                <w:sz w:val="20"/>
                <w:szCs w:val="20"/>
                <w:color w:val="auto"/>
              </w:rPr>
            </w:pPr>
            <w:r>
              <w:rPr>
                <w:rFonts w:ascii="Arial" w:cs="Arial" w:eastAsia="Arial" w:hAnsi="Arial"/>
                <w:sz w:val="16"/>
                <w:szCs w:val="16"/>
                <w:color w:val="auto"/>
              </w:rPr>
              <w:t>2,089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Forfeiture of restricted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968</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968</w:t>
            </w:r>
          </w:p>
        </w:tc>
      </w:tr>
      <w:tr>
        <w:trPr>
          <w:trHeight w:val="175"/>
        </w:trPr>
        <w:tc>
          <w:tcPr>
            <w:tcW w:w="38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Shares withheld for settlement of employee taxes</w:t>
            </w: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03"/>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on vesting</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250,555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(6,315)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(6,315)</w:t>
            </w:r>
          </w:p>
        </w:tc>
      </w:tr>
      <w:tr>
        <w:trPr>
          <w:trHeight w:val="189"/>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r>
      <w:tr>
        <w:trPr>
          <w:trHeight w:val="223"/>
        </w:trPr>
        <w:tc>
          <w:tcPr>
            <w:tcW w:w="382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Balances — May 3, 2025</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16,472,844</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$ 108,928</w:t>
            </w:r>
          </w:p>
        </w:tc>
        <w:tc>
          <w:tcPr>
            <w:tcW w:w="8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$ 276,772</w:t>
            </w:r>
          </w:p>
        </w:tc>
        <w:tc>
          <w:tcPr>
            <w:tcW w:w="6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8,199,806</w:t>
            </w:r>
          </w:p>
        </w:tc>
        <w:tc>
          <w:tcPr>
            <w:tcW w:w="10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(277,303)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108,559</w:t>
            </w:r>
          </w:p>
        </w:tc>
      </w:tr>
      <w:tr>
        <w:trPr>
          <w:trHeight w:val="170"/>
        </w:trPr>
        <w:tc>
          <w:tcPr>
            <w:tcW w:w="382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Grant of restricted shares</w:t>
            </w: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60,357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Forfeiture of restricted shares</w:t>
            </w:r>
          </w:p>
        </w:tc>
        <w:tc>
          <w:tcPr>
            <w:tcW w:w="920" w:type="dxa"/>
            <w:vAlign w:val="bottom"/>
          </w:tcPr>
          <w:p>
            <w:pPr>
              <w:jc w:val="right"/>
              <w:spacing w:after="0"/>
              <w:rPr>
                <w:sz w:val="20"/>
                <w:szCs w:val="20"/>
                <w:color w:val="auto"/>
              </w:rPr>
            </w:pPr>
            <w:r>
              <w:rPr>
                <w:rFonts w:ascii="Arial" w:cs="Arial" w:eastAsia="Arial" w:hAnsi="Arial"/>
                <w:sz w:val="16"/>
                <w:szCs w:val="16"/>
                <w:color w:val="auto"/>
              </w:rPr>
              <w:t>(2,620)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1,483</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w:t>
            </w:r>
          </w:p>
        </w:tc>
      </w:tr>
      <w:tr>
        <w:trPr>
          <w:trHeight w:val="175"/>
        </w:trPr>
        <w:tc>
          <w:tcPr>
            <w:tcW w:w="3820" w:type="dxa"/>
            <w:vAlign w:val="bottom"/>
          </w:tcPr>
          <w:p>
            <w:pPr>
              <w:spacing w:after="0" w:line="175" w:lineRule="exact"/>
              <w:rPr>
                <w:sz w:val="20"/>
                <w:szCs w:val="20"/>
                <w:color w:val="auto"/>
              </w:rPr>
            </w:pPr>
            <w:r>
              <w:rPr>
                <w:rFonts w:ascii="Arial" w:cs="Arial" w:eastAsia="Arial" w:hAnsi="Arial"/>
                <w:sz w:val="16"/>
                <w:szCs w:val="16"/>
                <w:color w:val="auto"/>
              </w:rPr>
              <w:t>Shares withheld for settlement of employee taxes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3"/>
        </w:trPr>
        <w:tc>
          <w:tcPr>
            <w:tcW w:w="3820" w:type="dxa"/>
            <w:vAlign w:val="bottom"/>
          </w:tcPr>
          <w:p>
            <w:pPr>
              <w:spacing w:after="0"/>
              <w:rPr>
                <w:sz w:val="20"/>
                <w:szCs w:val="20"/>
                <w:color w:val="auto"/>
              </w:rPr>
            </w:pPr>
            <w:r>
              <w:rPr>
                <w:rFonts w:ascii="Arial" w:cs="Arial" w:eastAsia="Arial" w:hAnsi="Arial"/>
                <w:sz w:val="16"/>
                <w:szCs w:val="16"/>
                <w:color w:val="auto"/>
              </w:rPr>
              <w:t>on vesting</w:t>
            </w:r>
          </w:p>
        </w:tc>
        <w:tc>
          <w:tcPr>
            <w:tcW w:w="920" w:type="dxa"/>
            <w:vAlign w:val="bottom"/>
          </w:tcPr>
          <w:p>
            <w:pPr>
              <w:jc w:val="right"/>
              <w:spacing w:after="0"/>
              <w:rPr>
                <w:sz w:val="20"/>
                <w:szCs w:val="20"/>
                <w:color w:val="auto"/>
              </w:rPr>
            </w:pPr>
            <w:r>
              <w:rPr>
                <w:rFonts w:ascii="Arial" w:cs="Arial" w:eastAsia="Arial" w:hAnsi="Arial"/>
                <w:sz w:val="16"/>
                <w:szCs w:val="16"/>
                <w:color w:val="auto"/>
              </w:rPr>
              <w:t>(24,863)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(620)</w:t>
            </w:r>
          </w:p>
        </w:tc>
        <w:tc>
          <w:tcPr>
            <w:tcW w:w="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(620)</w:t>
            </w:r>
          </w:p>
        </w:tc>
      </w:tr>
      <w:tr>
        <w:trPr>
          <w:trHeight w:val="189"/>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3,818</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3,818</w:t>
            </w:r>
          </w:p>
        </w:tc>
      </w:tr>
      <w:tr>
        <w:trPr>
          <w:trHeight w:val="223"/>
        </w:trPr>
        <w:tc>
          <w:tcPr>
            <w:tcW w:w="382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Balances — August 2, 2025</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16,505,718</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$ 109,791</w:t>
            </w:r>
          </w:p>
        </w:tc>
        <w:tc>
          <w:tcPr>
            <w:tcW w:w="8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$ 280,590</w:t>
            </w:r>
          </w:p>
        </w:tc>
        <w:tc>
          <w:tcPr>
            <w:tcW w:w="6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8,199,806</w:t>
            </w:r>
          </w:p>
        </w:tc>
        <w:tc>
          <w:tcPr>
            <w:tcW w:w="10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(277,303)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113,240</w:t>
            </w:r>
          </w:p>
        </w:tc>
      </w:tr>
      <w:tr>
        <w:trPr>
          <w:trHeight w:val="169"/>
        </w:trPr>
        <w:tc>
          <w:tcPr>
            <w:tcW w:w="382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Forfeiture of restricted shares</w:t>
            </w: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(3,394)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1,550</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1,550</w:t>
            </w:r>
          </w:p>
        </w:tc>
      </w:tr>
      <w:tr>
        <w:trPr>
          <w:trHeight w:val="175"/>
        </w:trPr>
        <w:tc>
          <w:tcPr>
            <w:tcW w:w="38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Shares withheld for settlement of employee taxes</w:t>
            </w: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03"/>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on vesting</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Net income (loss)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(6,894)</w:t>
            </w: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(6,894)</w:t>
            </w:r>
          </w:p>
        </w:tc>
      </w:tr>
      <w:tr>
        <w:trPr>
          <w:trHeight w:val="183"/>
        </w:trPr>
        <w:tc>
          <w:tcPr>
            <w:tcW w:w="382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November 1, 2025</w:t>
            </w: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16,500,334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$ 111,275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$ 273,696</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8,199,806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(277,303)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107,830</w:t>
            </w:r>
          </w:p>
        </w:tc>
      </w:tr>
      <w:tr>
        <w:trPr>
          <w:trHeight w:val="20"/>
        </w:trPr>
        <w:tc>
          <w:tcPr>
            <w:tcW w:w="3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59"/>
        </w:trPr>
        <w:tc>
          <w:tcPr>
            <w:tcW w:w="3820" w:type="dxa"/>
            <w:vAlign w:val="bottom"/>
          </w:tcPr>
          <w:p>
            <w:pPr>
              <w:spacing w:after="0"/>
              <w:rPr>
                <w:sz w:val="24"/>
                <w:szCs w:val="24"/>
                <w:color w:val="auto"/>
              </w:rPr>
            </w:pPr>
          </w:p>
        </w:tc>
        <w:tc>
          <w:tcPr>
            <w:tcW w:w="158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jc w:val="right"/>
              <w:ind w:right="60"/>
              <w:spacing w:after="0"/>
              <w:rPr>
                <w:sz w:val="20"/>
                <w:szCs w:val="20"/>
                <w:color w:val="auto"/>
              </w:rPr>
            </w:pPr>
            <w:r>
              <w:rPr>
                <w:rFonts w:ascii="Arial" w:cs="Arial" w:eastAsia="Arial" w:hAnsi="Arial"/>
                <w:sz w:val="14"/>
                <w:szCs w:val="14"/>
                <w:b w:val="1"/>
                <w:bCs w:val="1"/>
                <w:color w:val="auto"/>
              </w:rPr>
              <w:t>Paid in</w:t>
            </w:r>
          </w:p>
        </w:tc>
        <w:tc>
          <w:tcPr>
            <w:tcW w:w="80" w:type="dxa"/>
            <w:vAlign w:val="bottom"/>
          </w:tcPr>
          <w:p>
            <w:pPr>
              <w:spacing w:after="0"/>
              <w:rPr>
                <w:sz w:val="24"/>
                <w:szCs w:val="2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80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9"/>
        </w:trPr>
        <w:tc>
          <w:tcPr>
            <w:tcW w:w="3820" w:type="dxa"/>
            <w:vAlign w:val="bottom"/>
          </w:tcPr>
          <w:p>
            <w:pPr>
              <w:spacing w:after="0"/>
              <w:rPr>
                <w:sz w:val="14"/>
                <w:szCs w:val="14"/>
                <w:color w:val="auto"/>
              </w:rPr>
            </w:pPr>
          </w:p>
        </w:tc>
        <w:tc>
          <w:tcPr>
            <w:tcW w:w="920" w:type="dxa"/>
            <w:vAlign w:val="bottom"/>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780" w:type="dxa"/>
            <w:vAlign w:val="bottom"/>
          </w:tcPr>
          <w:p>
            <w:pPr>
              <w:jc w:val="right"/>
              <w:ind w:right="6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840" w:type="dxa"/>
            <w:vAlign w:val="bottom"/>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60" w:type="dxa"/>
            <w:vAlign w:val="bottom"/>
          </w:tcPr>
          <w:p>
            <w:pPr>
              <w:jc w:val="right"/>
              <w:ind w:right="79"/>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59"/>
              <w:spacing w:after="0"/>
              <w:rPr>
                <w:sz w:val="20"/>
                <w:szCs w:val="20"/>
                <w:color w:val="auto"/>
              </w:rPr>
            </w:pPr>
            <w:r>
              <w:rPr>
                <w:rFonts w:ascii="Arial" w:cs="Arial" w:eastAsia="Arial" w:hAnsi="Arial"/>
                <w:sz w:val="14"/>
                <w:szCs w:val="14"/>
                <w:b w:val="1"/>
                <w:bCs w:val="1"/>
                <w:color w:val="auto"/>
              </w:rPr>
              <w:t>Total</w:t>
            </w:r>
          </w:p>
        </w:tc>
      </w:tr>
      <w:tr>
        <w:trPr>
          <w:trHeight w:val="183"/>
        </w:trPr>
        <w:tc>
          <w:tcPr>
            <w:tcW w:w="38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February 3, 2024</w:t>
            </w: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16,354,714</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160</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$ 105,686</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$ 319,071</w:t>
            </w:r>
          </w:p>
        </w:tc>
        <w:tc>
          <w:tcPr>
            <w:tcW w:w="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7,804,013</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(267,211)</w:t>
            </w:r>
          </w:p>
        </w:tc>
        <w:tc>
          <w:tcPr>
            <w:tcW w:w="100" w:type="dxa"/>
            <w:vAlign w:val="bottom"/>
            <w:tcBorders>
              <w:top w:val="single" w:sz="8" w:color="CCEEFF"/>
            </w:tcBorders>
            <w:gridSpan w:val="2"/>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157,706</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Vesting of nonvested restricted stock units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Grant of restricted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Forfeiture of restricted shares</w:t>
            </w:r>
          </w:p>
        </w:tc>
        <w:tc>
          <w:tcPr>
            <w:tcW w:w="920" w:type="dxa"/>
            <w:vAlign w:val="bottom"/>
          </w:tcPr>
          <w:p>
            <w:pPr>
              <w:jc w:val="right"/>
              <w:spacing w:after="0"/>
              <w:rPr>
                <w:sz w:val="20"/>
                <w:szCs w:val="20"/>
                <w:color w:val="auto"/>
              </w:rPr>
            </w:pPr>
            <w:r>
              <w:rPr>
                <w:rFonts w:ascii="Arial" w:cs="Arial" w:eastAsia="Arial" w:hAnsi="Arial"/>
                <w:sz w:val="16"/>
                <w:szCs w:val="16"/>
                <w:color w:val="auto"/>
              </w:rPr>
              <w:t>(5,178)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r>
      <w:tr>
        <w:trPr>
          <w:trHeight w:val="175"/>
        </w:trPr>
        <w:tc>
          <w:tcPr>
            <w:tcW w:w="3820" w:type="dxa"/>
            <w:vAlign w:val="bottom"/>
          </w:tcPr>
          <w:p>
            <w:pPr>
              <w:spacing w:after="0" w:line="175" w:lineRule="exact"/>
              <w:rPr>
                <w:sz w:val="20"/>
                <w:szCs w:val="20"/>
                <w:color w:val="auto"/>
              </w:rPr>
            </w:pPr>
            <w:r>
              <w:rPr>
                <w:rFonts w:ascii="Arial" w:cs="Arial" w:eastAsia="Arial" w:hAnsi="Arial"/>
                <w:sz w:val="16"/>
                <w:szCs w:val="16"/>
                <w:color w:val="auto"/>
              </w:rPr>
              <w:t>Shares withheld for settlement of employee taxes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3"/>
        </w:trPr>
        <w:tc>
          <w:tcPr>
            <w:tcW w:w="3820" w:type="dxa"/>
            <w:vAlign w:val="bottom"/>
          </w:tcPr>
          <w:p>
            <w:pPr>
              <w:spacing w:after="0"/>
              <w:rPr>
                <w:sz w:val="20"/>
                <w:szCs w:val="20"/>
                <w:color w:val="auto"/>
              </w:rPr>
            </w:pPr>
            <w:r>
              <w:rPr>
                <w:rFonts w:ascii="Arial" w:cs="Arial" w:eastAsia="Arial" w:hAnsi="Arial"/>
                <w:sz w:val="16"/>
                <w:szCs w:val="16"/>
                <w:color w:val="auto"/>
              </w:rPr>
              <w:t>on vesting</w:t>
            </w:r>
          </w:p>
        </w:tc>
        <w:tc>
          <w:tcPr>
            <w:tcW w:w="920" w:type="dxa"/>
            <w:vAlign w:val="bottom"/>
          </w:tcPr>
          <w:p>
            <w:pPr>
              <w:jc w:val="right"/>
              <w:spacing w:after="0"/>
              <w:rPr>
                <w:sz w:val="20"/>
                <w:szCs w:val="20"/>
                <w:color w:val="auto"/>
              </w:rPr>
            </w:pPr>
            <w:r>
              <w:rPr>
                <w:rFonts w:ascii="Arial" w:cs="Arial" w:eastAsia="Arial" w:hAnsi="Arial"/>
                <w:sz w:val="16"/>
                <w:szCs w:val="16"/>
                <w:color w:val="auto"/>
              </w:rPr>
              <w:t>(11,618)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(333)</w:t>
            </w:r>
          </w:p>
        </w:tc>
        <w:tc>
          <w:tcPr>
            <w:tcW w:w="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(333)</w:t>
            </w:r>
          </w:p>
        </w:tc>
      </w:tr>
      <w:tr>
        <w:trPr>
          <w:trHeight w:val="189"/>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(3,426)</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w:t>
            </w:r>
          </w:p>
        </w:tc>
      </w:tr>
      <w:tr>
        <w:trPr>
          <w:trHeight w:val="223"/>
        </w:trPr>
        <w:tc>
          <w:tcPr>
            <w:tcW w:w="382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Balances — May 4, 2024</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16,340,729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$ 106,237</w:t>
            </w:r>
          </w:p>
        </w:tc>
        <w:tc>
          <w:tcPr>
            <w:tcW w:w="8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$ 315,645</w:t>
            </w:r>
          </w:p>
        </w:tc>
        <w:tc>
          <w:tcPr>
            <w:tcW w:w="6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7,804,013</w:t>
            </w:r>
          </w:p>
        </w:tc>
        <w:tc>
          <w:tcPr>
            <w:tcW w:w="10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(267,211)</w:t>
            </w:r>
          </w:p>
        </w:tc>
        <w:tc>
          <w:tcPr>
            <w:tcW w:w="100" w:type="dxa"/>
            <w:vAlign w:val="bottom"/>
            <w:tcBorders>
              <w:bottom w:val="single" w:sz="8" w:color="CCEEFF"/>
            </w:tcBorders>
            <w:gridSpan w:val="2"/>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154,832</w:t>
            </w:r>
          </w:p>
        </w:tc>
      </w:tr>
      <w:tr>
        <w:trPr>
          <w:trHeight w:val="170"/>
        </w:trPr>
        <w:tc>
          <w:tcPr>
            <w:tcW w:w="382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Vesting of nonvested restricted stock units</w:t>
            </w: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1</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Grant of restricted shares</w:t>
            </w:r>
          </w:p>
        </w:tc>
        <w:tc>
          <w:tcPr>
            <w:tcW w:w="920" w:type="dxa"/>
            <w:vAlign w:val="bottom"/>
          </w:tcPr>
          <w:p>
            <w:pPr>
              <w:jc w:val="right"/>
              <w:spacing w:after="0"/>
              <w:rPr>
                <w:sz w:val="20"/>
                <w:szCs w:val="20"/>
                <w:color w:val="auto"/>
              </w:rPr>
            </w:pPr>
            <w:r>
              <w:rPr>
                <w:rFonts w:ascii="Arial" w:cs="Arial" w:eastAsia="Arial" w:hAnsi="Arial"/>
                <w:sz w:val="16"/>
                <w:szCs w:val="16"/>
                <w:color w:val="auto"/>
              </w:rPr>
              <w:t>110,870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Grant of vested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Forfeiture of restricted shares</w:t>
            </w:r>
          </w:p>
        </w:tc>
        <w:tc>
          <w:tcPr>
            <w:tcW w:w="920" w:type="dxa"/>
            <w:vAlign w:val="bottom"/>
          </w:tcPr>
          <w:p>
            <w:pPr>
              <w:jc w:val="right"/>
              <w:spacing w:after="0"/>
              <w:rPr>
                <w:sz w:val="20"/>
                <w:szCs w:val="20"/>
                <w:color w:val="auto"/>
              </w:rPr>
            </w:pPr>
            <w:r>
              <w:rPr>
                <w:rFonts w:ascii="Arial" w:cs="Arial" w:eastAsia="Arial" w:hAnsi="Arial"/>
                <w:sz w:val="16"/>
                <w:szCs w:val="16"/>
                <w:color w:val="auto"/>
              </w:rPr>
              <w:t>(24,845)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r>
      <w:tr>
        <w:trPr>
          <w:trHeight w:val="175"/>
        </w:trPr>
        <w:tc>
          <w:tcPr>
            <w:tcW w:w="3820" w:type="dxa"/>
            <w:vAlign w:val="bottom"/>
          </w:tcPr>
          <w:p>
            <w:pPr>
              <w:spacing w:after="0" w:line="175" w:lineRule="exact"/>
              <w:rPr>
                <w:sz w:val="20"/>
                <w:szCs w:val="20"/>
                <w:color w:val="auto"/>
              </w:rPr>
            </w:pPr>
            <w:r>
              <w:rPr>
                <w:rFonts w:ascii="Arial" w:cs="Arial" w:eastAsia="Arial" w:hAnsi="Arial"/>
                <w:sz w:val="16"/>
                <w:szCs w:val="16"/>
                <w:color w:val="auto"/>
              </w:rPr>
              <w:t>Shares withheld for settlement of employee taxes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3"/>
        </w:trPr>
        <w:tc>
          <w:tcPr>
            <w:tcW w:w="3820" w:type="dxa"/>
            <w:vAlign w:val="bottom"/>
          </w:tcPr>
          <w:p>
            <w:pPr>
              <w:spacing w:after="0"/>
              <w:rPr>
                <w:sz w:val="20"/>
                <w:szCs w:val="20"/>
                <w:color w:val="auto"/>
              </w:rPr>
            </w:pPr>
            <w:r>
              <w:rPr>
                <w:rFonts w:ascii="Arial" w:cs="Arial" w:eastAsia="Arial" w:hAnsi="Arial"/>
                <w:sz w:val="16"/>
                <w:szCs w:val="16"/>
                <w:color w:val="auto"/>
              </w:rPr>
              <w:t>on vesting</w:t>
            </w:r>
          </w:p>
        </w:tc>
        <w:tc>
          <w:tcPr>
            <w:tcW w:w="920" w:type="dxa"/>
            <w:vAlign w:val="bottom"/>
          </w:tcPr>
          <w:p>
            <w:pPr>
              <w:jc w:val="right"/>
              <w:spacing w:after="0"/>
              <w:rPr>
                <w:sz w:val="20"/>
                <w:szCs w:val="20"/>
                <w:color w:val="auto"/>
              </w:rPr>
            </w:pPr>
            <w:r>
              <w:rPr>
                <w:rFonts w:ascii="Arial" w:cs="Arial" w:eastAsia="Arial" w:hAnsi="Arial"/>
                <w:sz w:val="16"/>
                <w:szCs w:val="16"/>
                <w:color w:val="auto"/>
              </w:rPr>
              <w:t>(23,771)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(524)</w:t>
            </w:r>
          </w:p>
        </w:tc>
        <w:tc>
          <w:tcPr>
            <w:tcW w:w="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189"/>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(18,413)</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(18,413)</w:t>
            </w:r>
          </w:p>
        </w:tc>
      </w:tr>
      <w:tr>
        <w:trPr>
          <w:trHeight w:val="223"/>
        </w:trPr>
        <w:tc>
          <w:tcPr>
            <w:tcW w:w="382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Balances — August 3, 2024</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16,419,356</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$ 106,407</w:t>
            </w:r>
          </w:p>
        </w:tc>
        <w:tc>
          <w:tcPr>
            <w:tcW w:w="8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$ 297,232</w:t>
            </w:r>
          </w:p>
        </w:tc>
        <w:tc>
          <w:tcPr>
            <w:tcW w:w="6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7,804,013</w:t>
            </w:r>
          </w:p>
        </w:tc>
        <w:tc>
          <w:tcPr>
            <w:tcW w:w="10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(267,211)</w:t>
            </w:r>
          </w:p>
        </w:tc>
        <w:tc>
          <w:tcPr>
            <w:tcW w:w="100" w:type="dxa"/>
            <w:vAlign w:val="bottom"/>
            <w:tcBorders>
              <w:bottom w:val="single" w:sz="8" w:color="CCEEFF"/>
            </w:tcBorders>
            <w:gridSpan w:val="2"/>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136,590</w:t>
            </w:r>
          </w:p>
        </w:tc>
      </w:tr>
      <w:tr>
        <w:trPr>
          <w:trHeight w:val="170"/>
        </w:trPr>
        <w:tc>
          <w:tcPr>
            <w:tcW w:w="382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Grant of restricted shares</w:t>
            </w: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19,698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Forfeiture of restricted shares</w:t>
            </w:r>
          </w:p>
        </w:tc>
        <w:tc>
          <w:tcPr>
            <w:tcW w:w="920" w:type="dxa"/>
            <w:vAlign w:val="bottom"/>
          </w:tcPr>
          <w:p>
            <w:pPr>
              <w:jc w:val="right"/>
              <w:spacing w:after="0"/>
              <w:rPr>
                <w:sz w:val="20"/>
                <w:szCs w:val="20"/>
                <w:color w:val="auto"/>
              </w:rPr>
            </w:pPr>
            <w:r>
              <w:rPr>
                <w:rFonts w:ascii="Arial" w:cs="Arial" w:eastAsia="Arial" w:hAnsi="Arial"/>
                <w:sz w:val="16"/>
                <w:szCs w:val="16"/>
                <w:color w:val="auto"/>
              </w:rPr>
              <w:t>(3,757)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w:t>
            </w:r>
          </w:p>
        </w:tc>
      </w:tr>
      <w:tr>
        <w:trPr>
          <w:trHeight w:val="175"/>
        </w:trPr>
        <w:tc>
          <w:tcPr>
            <w:tcW w:w="3820" w:type="dxa"/>
            <w:vAlign w:val="bottom"/>
          </w:tcPr>
          <w:p>
            <w:pPr>
              <w:spacing w:after="0" w:line="175" w:lineRule="exact"/>
              <w:rPr>
                <w:sz w:val="20"/>
                <w:szCs w:val="20"/>
                <w:color w:val="auto"/>
              </w:rPr>
            </w:pPr>
            <w:r>
              <w:rPr>
                <w:rFonts w:ascii="Arial" w:cs="Arial" w:eastAsia="Arial" w:hAnsi="Arial"/>
                <w:sz w:val="16"/>
                <w:szCs w:val="16"/>
                <w:color w:val="auto"/>
              </w:rPr>
              <w:t>Shares withheld for settlement of employee taxes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3"/>
        </w:trPr>
        <w:tc>
          <w:tcPr>
            <w:tcW w:w="3820" w:type="dxa"/>
            <w:vAlign w:val="bottom"/>
          </w:tcPr>
          <w:p>
            <w:pPr>
              <w:spacing w:after="0"/>
              <w:rPr>
                <w:sz w:val="20"/>
                <w:szCs w:val="20"/>
                <w:color w:val="auto"/>
              </w:rPr>
            </w:pPr>
            <w:r>
              <w:rPr>
                <w:rFonts w:ascii="Arial" w:cs="Arial" w:eastAsia="Arial" w:hAnsi="Arial"/>
                <w:sz w:val="16"/>
                <w:szCs w:val="16"/>
                <w:color w:val="auto"/>
              </w:rPr>
              <w:t>on vesting</w:t>
            </w:r>
          </w:p>
        </w:tc>
        <w:tc>
          <w:tcPr>
            <w:tcW w:w="920" w:type="dxa"/>
            <w:vAlign w:val="bottom"/>
          </w:tcPr>
          <w:p>
            <w:pPr>
              <w:jc w:val="right"/>
              <w:spacing w:after="0"/>
              <w:rPr>
                <w:sz w:val="20"/>
                <w:szCs w:val="20"/>
                <w:color w:val="auto"/>
              </w:rPr>
            </w:pPr>
            <w:r>
              <w:rPr>
                <w:rFonts w:ascii="Arial" w:cs="Arial" w:eastAsia="Arial" w:hAnsi="Arial"/>
                <w:sz w:val="16"/>
                <w:szCs w:val="16"/>
                <w:color w:val="auto"/>
              </w:rPr>
              <w:t>(1,260)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89"/>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(7,152)</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(7,152)</w:t>
            </w:r>
          </w:p>
        </w:tc>
      </w:tr>
      <w:tr>
        <w:trPr>
          <w:trHeight w:val="183"/>
        </w:trPr>
        <w:tc>
          <w:tcPr>
            <w:tcW w:w="3820" w:type="dxa"/>
            <w:vAlign w:val="bottom"/>
          </w:tcPr>
          <w:p>
            <w:pPr>
              <w:spacing w:after="0" w:line="183" w:lineRule="exact"/>
              <w:rPr>
                <w:sz w:val="20"/>
                <w:szCs w:val="20"/>
                <w:color w:val="auto"/>
              </w:rPr>
            </w:pPr>
            <w:r>
              <w:rPr>
                <w:rFonts w:ascii="Arial" w:cs="Arial" w:eastAsia="Arial" w:hAnsi="Arial"/>
                <w:sz w:val="16"/>
                <w:szCs w:val="16"/>
                <w:color w:val="auto"/>
              </w:rPr>
              <w:t>Balances — November 2, 2024</w:t>
            </w: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16,434,037</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162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$ 107,239</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$ 290,080</w:t>
            </w:r>
          </w:p>
        </w:tc>
        <w:tc>
          <w:tcPr>
            <w:tcW w:w="60" w:type="dxa"/>
            <w:vAlign w:val="bottom"/>
          </w:tcPr>
          <w:p>
            <w:pPr>
              <w:spacing w:after="0"/>
              <w:rPr>
                <w:sz w:val="15"/>
                <w:szCs w:val="15"/>
                <w:color w:val="auto"/>
              </w:rPr>
            </w:pPr>
          </w:p>
        </w:tc>
        <w:tc>
          <w:tcPr>
            <w:tcW w:w="8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7,804,013</w:t>
            </w:r>
          </w:p>
        </w:tc>
        <w:tc>
          <w:tcPr>
            <w:tcW w:w="100" w:type="dxa"/>
            <w:vAlign w:val="bottom"/>
          </w:tcPr>
          <w:p>
            <w:pPr>
              <w:spacing w:after="0"/>
              <w:rPr>
                <w:sz w:val="15"/>
                <w:szCs w:val="15"/>
                <w:color w:val="auto"/>
              </w:rPr>
            </w:pPr>
          </w:p>
        </w:tc>
        <w:tc>
          <w:tcPr>
            <w:tcW w:w="8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 (267,211)</w:t>
            </w:r>
          </w:p>
        </w:tc>
        <w:tc>
          <w:tcPr>
            <w:tcW w:w="100" w:type="dxa"/>
            <w:vAlign w:val="bottom"/>
            <w:gridSpan w:val="2"/>
          </w:tcPr>
          <w:p>
            <w:pPr>
              <w:spacing w:after="0"/>
              <w:rPr>
                <w:sz w:val="15"/>
                <w:szCs w:val="15"/>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130,270</w:t>
            </w:r>
          </w:p>
        </w:tc>
      </w:tr>
      <w:tr>
        <w:trPr>
          <w:trHeight w:val="20"/>
        </w:trPr>
        <w:tc>
          <w:tcPr>
            <w:tcW w:w="3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Citi Trends,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Notes to the Condensed Consolidated Financial Statements (unaudited)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November 1, 2025</w:t>
      </w:r>
    </w:p>
    <w:p>
      <w:pPr>
        <w:spacing w:after="0" w:line="289"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Significant Accounting Policies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w:t>
      </w:r>
    </w:p>
    <w:p>
      <w:pPr>
        <w:spacing w:after="0" w:line="30"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Citi Trends, Inc. and its subsidiary (the “Company”) is a leading off-price value retailer of apparel, accessories and home trends primarily for African American families in the United States. As of November 1, 2025, the Company operated 593 stores in urban, suburban and rural markets in 33 states.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condensed consolidated financial statements are prepared in accordance with U.S. generally accepted accounting principles (“U.S. GAAP”) for interim reporting and are unaudited. In the opinion of management, the condensed consolidated financial statements reflect all adjustments, which are normal and recurring in nature, necessary for fair financial statement presentation. The condensed consolidated balance sheet as of February 1, 2025 is derived from the audited financial statements in the Company’s Annual Report on Form 10-K for the fiscal year ended February 1, 2025 (the “2024 Form 10-K”). These condensed consolidated financial statements should be read in conjunction with the audited consolidated financial statements and notes thereto included in the 2024 Form 10-K. Operating results for the first three quarters of 2025 are not necessarily indicative of the results that may be expected for the fiscal year as a result of the seasonality of the business, and the current economic uncertainty.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w:t>
      </w:r>
    </w:p>
    <w:p>
      <w:pPr>
        <w:spacing w:after="0" w:line="29" w:lineRule="exact"/>
        <w:rPr>
          <w:sz w:val="20"/>
          <w:szCs w:val="20"/>
          <w:color w:val="auto"/>
        </w:rPr>
      </w:pPr>
    </w:p>
    <w:p>
      <w:pPr>
        <w:ind w:right="160"/>
        <w:spacing w:after="0" w:line="305" w:lineRule="auto"/>
        <w:rPr>
          <w:sz w:val="20"/>
          <w:szCs w:val="20"/>
          <w:color w:val="auto"/>
        </w:rPr>
      </w:pPr>
      <w:r>
        <w:rPr>
          <w:rFonts w:ascii="Arial" w:cs="Arial" w:eastAsia="Arial" w:hAnsi="Arial"/>
          <w:sz w:val="16"/>
          <w:szCs w:val="16"/>
          <w:color w:val="auto"/>
        </w:rPr>
        <w:t>The following contains references to fiscal years 2025 and 2024, which represent fiscal years ending or ended on January 31, 2026 and February 1, 2025, respectively. Fiscal 2025 and fiscal 2024 both have 52-week accounting periods.</w:t>
      </w:r>
    </w:p>
    <w:p>
      <w:pPr>
        <w:spacing w:after="0" w:line="195"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Cash and Cash Equivalents/Concentration of Credit Risk</w:t>
      </w:r>
    </w:p>
    <w:p>
      <w:pPr>
        <w:spacing w:after="0" w:line="235"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For purposes of the condensed consolidated balance sheets and condensed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21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Earnings per Share</w:t>
      </w:r>
    </w:p>
    <w:p>
      <w:pPr>
        <w:spacing w:after="0" w:line="248"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257"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The dilutive effect of stock-based compensation arrangements is accounted for using the treasury stock method. The Company includes the amount of compensation cost attributed to future services and not yet recognized as assumed proceeds. For the third quarter of 2025 and 2024, there were 410,000 and 258,000 shares of nonvested restricted stock, respectively, excluded from the calculation of diluted earnings per share because of antidilution. For the thirty-nine weeks ended November 1, 2025 and November 2, 2024, there were 381,000 and 242,000 shares of nonvested restricted stock, respectively, excluded from the calculation of diluted earnings per share because of antidilution.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2" w:right="10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The following table provides the weighted average number of common shares outstanding used to calculate basic earnings per share to the number of common shares and common stock equivalents outstanding used in calculating diluted earnings per share: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501"/>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55"/>
        </w:trPr>
        <w:tc>
          <w:tcPr>
            <w:tcW w:w="7240" w:type="dxa"/>
            <w:vAlign w:val="bottom"/>
          </w:tcPr>
          <w:p>
            <w:pPr>
              <w:spacing w:after="0"/>
              <w:rPr>
                <w:sz w:val="13"/>
                <w:szCs w:val="13"/>
                <w:color w:val="auto"/>
              </w:rPr>
            </w:pPr>
          </w:p>
        </w:tc>
        <w:tc>
          <w:tcPr>
            <w:tcW w:w="14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November 1, 2025</w:t>
            </w:r>
          </w:p>
        </w:tc>
        <w:tc>
          <w:tcPr>
            <w:tcW w:w="12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November 2, 2024</w:t>
            </w:r>
          </w:p>
        </w:tc>
        <w:tc>
          <w:tcPr>
            <w:tcW w:w="0" w:type="dxa"/>
            <w:vAlign w:val="bottom"/>
          </w:tcPr>
          <w:p>
            <w:pPr>
              <w:spacing w:after="0"/>
              <w:rPr>
                <w:sz w:val="1"/>
                <w:szCs w:val="1"/>
                <w:color w:val="auto"/>
              </w:rPr>
            </w:pPr>
          </w:p>
        </w:tc>
      </w:tr>
      <w:tr>
        <w:trPr>
          <w:trHeight w:val="183"/>
        </w:trPr>
        <w:tc>
          <w:tcPr>
            <w:tcW w:w="72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Weighted average number of common shares outstanding (basic)</w:t>
            </w:r>
          </w:p>
        </w:tc>
        <w:tc>
          <w:tcPr>
            <w:tcW w:w="12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8,050,214</w:t>
            </w:r>
          </w:p>
        </w:tc>
        <w:tc>
          <w:tcPr>
            <w:tcW w:w="1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8,356,085</w:t>
            </w:r>
          </w:p>
        </w:tc>
        <w:tc>
          <w:tcPr>
            <w:tcW w:w="0" w:type="dxa"/>
            <w:vAlign w:val="bottom"/>
          </w:tcPr>
          <w:p>
            <w:pPr>
              <w:spacing w:after="0"/>
              <w:rPr>
                <w:sz w:val="1"/>
                <w:szCs w:val="1"/>
                <w:color w:val="auto"/>
              </w:rPr>
            </w:pP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72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Weighted average number of common shares and common stock equivalents outstanding</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8,050,214</w:t>
            </w:r>
          </w:p>
        </w:tc>
        <w:tc>
          <w:tcPr>
            <w:tcW w:w="18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8,356,085</w:t>
            </w:r>
          </w:p>
        </w:tc>
        <w:tc>
          <w:tcPr>
            <w:tcW w:w="0" w:type="dxa"/>
            <w:vAlign w:val="bottom"/>
          </w:tcPr>
          <w:p>
            <w:pPr>
              <w:spacing w:after="0"/>
              <w:rPr>
                <w:sz w:val="1"/>
                <w:szCs w:val="1"/>
                <w:color w:val="auto"/>
              </w:rPr>
            </w:pPr>
          </w:p>
        </w:tc>
      </w:tr>
      <w:tr>
        <w:trPr>
          <w:trHeight w:val="190"/>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(diluted)</w:t>
            </w: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240" w:type="dxa"/>
            <w:vAlign w:val="bottom"/>
          </w:tcPr>
          <w:p>
            <w:pPr>
              <w:spacing w:after="0"/>
              <w:rPr>
                <w:sz w:val="24"/>
                <w:szCs w:val="24"/>
                <w:color w:val="auto"/>
              </w:rPr>
            </w:pPr>
          </w:p>
        </w:tc>
        <w:tc>
          <w:tcPr>
            <w:tcW w:w="268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6"/>
        </w:trPr>
        <w:tc>
          <w:tcPr>
            <w:tcW w:w="7240" w:type="dxa"/>
            <w:vAlign w:val="bottom"/>
          </w:tcPr>
          <w:p>
            <w:pPr>
              <w:spacing w:after="0"/>
              <w:rPr>
                <w:sz w:val="13"/>
                <w:szCs w:val="13"/>
                <w:color w:val="auto"/>
              </w:rPr>
            </w:pPr>
          </w:p>
        </w:tc>
        <w:tc>
          <w:tcPr>
            <w:tcW w:w="14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November 1, 2025</w:t>
            </w:r>
          </w:p>
        </w:tc>
        <w:tc>
          <w:tcPr>
            <w:tcW w:w="12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November 2, 2024</w:t>
            </w:r>
          </w:p>
        </w:tc>
        <w:tc>
          <w:tcPr>
            <w:tcW w:w="0" w:type="dxa"/>
            <w:vAlign w:val="bottom"/>
          </w:tcPr>
          <w:p>
            <w:pPr>
              <w:spacing w:after="0"/>
              <w:rPr>
                <w:sz w:val="1"/>
                <w:szCs w:val="1"/>
                <w:color w:val="auto"/>
              </w:rPr>
            </w:pPr>
          </w:p>
        </w:tc>
      </w:tr>
      <w:tr>
        <w:trPr>
          <w:trHeight w:val="183"/>
        </w:trPr>
        <w:tc>
          <w:tcPr>
            <w:tcW w:w="72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Weighted average number of common shares outstanding (basic)</w:t>
            </w:r>
          </w:p>
        </w:tc>
        <w:tc>
          <w:tcPr>
            <w:tcW w:w="12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8,038,979</w:t>
            </w:r>
          </w:p>
        </w:tc>
        <w:tc>
          <w:tcPr>
            <w:tcW w:w="1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8,315,090</w:t>
            </w:r>
          </w:p>
        </w:tc>
        <w:tc>
          <w:tcPr>
            <w:tcW w:w="0" w:type="dxa"/>
            <w:vAlign w:val="bottom"/>
          </w:tcPr>
          <w:p>
            <w:pPr>
              <w:spacing w:after="0"/>
              <w:rPr>
                <w:sz w:val="1"/>
                <w:szCs w:val="1"/>
                <w:color w:val="auto"/>
              </w:rPr>
            </w:pP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72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Weighted average number of common shares and common stock equivalents outstanding</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8,038,979</w:t>
            </w:r>
          </w:p>
        </w:tc>
        <w:tc>
          <w:tcPr>
            <w:tcW w:w="18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8,315,090</w:t>
            </w:r>
          </w:p>
        </w:tc>
        <w:tc>
          <w:tcPr>
            <w:tcW w:w="0" w:type="dxa"/>
            <w:vAlign w:val="bottom"/>
          </w:tcPr>
          <w:p>
            <w:pPr>
              <w:spacing w:after="0"/>
              <w:rPr>
                <w:sz w:val="1"/>
                <w:szCs w:val="1"/>
                <w:color w:val="auto"/>
              </w:rPr>
            </w:pPr>
          </w:p>
        </w:tc>
      </w:tr>
      <w:tr>
        <w:trPr>
          <w:trHeight w:val="190"/>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(diluted)</w:t>
            </w: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Revolving Credit Facility</w:t>
      </w:r>
    </w:p>
    <w:p>
      <w:pPr>
        <w:spacing w:after="0" w:line="24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October 2011, the Company entered into a five-year, $50 million credit facility with Bank of America. The facility was amended in August 2015, May 2020 and April 2021 to modify terms and extend the maturity dates. The facility was further amended on April 10, 2025 to extend the maturity date to April 10, 2030. The amended facility provides a $75 million credit commitment and a $25 million uncommitted “accordion” feature that under certain circumstances could allow the Company to increase the size of the facility to $100 million.</w:t>
      </w:r>
    </w:p>
    <w:p>
      <w:pPr>
        <w:spacing w:after="0" w:line="25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The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w:t>
      </w:r>
    </w:p>
    <w:p>
      <w:pPr>
        <w:spacing w:after="0" w:line="246"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Borrowings under the credit facility bear interest (a) for SOFR Loans, at a rate equal to the SOFR Rate plus a SOFR adjustment equal to 0.10% plus either 1.50%, 1.75% or 2.00%, or (b) for Base Rate Loans, at a rate equal to the highest of (i) the prime rate, (ii) the Federal Funds Rate plus 0.5% and (iii) the Term SOFR Rate plus 1.0%, plus, in each case either 0.50%, 0.75% or 1.00%, based in any such case on the average daily availability for borrowings under the facility.</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1, 2025, the Company had no borrowings under the credit facility and $2.2 million of letters of credit outstanding.</w:t>
      </w:r>
    </w:p>
    <w:p>
      <w:pPr>
        <w:spacing w:after="0" w:line="343"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Impairment of Assets</w:t>
      </w:r>
    </w:p>
    <w:p>
      <w:pPr>
        <w:spacing w:after="0" w:line="235"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If facts and circumstances indicate that a long-lived asset or operating lease right-of-use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No impairments were recorded in the third quarter of 2025. In the third quarter of 2024, non-cash impairment expense related to underperforming stores totaled $0.6 million, comprised of $0.3 million for leasehold improvements and fixtures and equipment, and $0.3 million for operating lease right of use assets. In the thirty-nine weeks ended November 1, 2025, non-cash impairment expense related to underperforming stores totaled $0.3 million, comprised of $0.2 million for leasehold improvements and fixtures and equipment, and $0.1 million for operating lease right of use assets. In the thirty-nine weeks ended November 2, 2024, non-cash impairment expense related to underperforming stores totaled $1.8 million, comprised of $0.9 million for leasehold improvements and fixtures and equipment, and $0.9 million for operating lease right of use assets.</w:t>
      </w:r>
    </w:p>
    <w:p>
      <w:pPr>
        <w:spacing w:after="0" w:line="277"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Income Taxes</w:t>
      </w:r>
    </w:p>
    <w:p>
      <w:pPr>
        <w:spacing w:after="0" w:line="248"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w:t>
      </w:r>
    </w:p>
    <w:p>
      <w:pPr>
        <w:sectPr>
          <w:pgSz w:w="11900" w:h="16838" w:orient="portrait"/>
          <w:cols w:equalWidth="0" w:num="1">
            <w:col w:w="9920"/>
          </w:cols>
          <w:pgMar w:left="980" w:top="512" w:right="99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369570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 If realization of the deferred tax asset is not considered more likely than not, then a valuation allowance is recorded to reduce the deferred tax asset to its net realizable value.</w:t>
      </w:r>
    </w:p>
    <w:p>
      <w:pPr>
        <w:spacing w:after="0" w:line="172"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and income tax credits may be utilized, management believes sufficient negative evidence exists to require a valuation allowance. We intend to maintain a valuation allowance until sufficient positive evidence exists to support its reversal, resulting in no deferred tax asset balance being recognized.</w:t>
      </w:r>
    </w:p>
    <w:p>
      <w:pPr>
        <w:spacing w:after="0" w:line="175"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On July 4, 2025, the President signed H.R. 1, the “One Big Beautiful Bill Act,” into law. The legislation has multiple effective dates, with certain provisions effective in 2025 and others implemented through 2027.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 The Company expects to utilize the more favorable tax legislation in its corresponding tax filings.</w:t>
      </w:r>
    </w:p>
    <w:p>
      <w:pPr>
        <w:spacing w:after="0" w:line="153"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Commitments and Contingencies</w:t>
      </w:r>
    </w:p>
    <w:p>
      <w:pPr>
        <w:spacing w:after="0" w:line="248"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The Company from time to time is involved in various legal proceedings incidental to the conduct of its business, including claims by customers, landlords, employees or former employees. Once it becomes probable that the Company will incur costs in connection with a legal proceeding and such costs can be reasonably estimated, the Company establishes appropriate reserves.</w:t>
      </w:r>
    </w:p>
    <w:p>
      <w:pPr>
        <w:spacing w:after="0" w:line="184"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16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Stock Repurchases</w:t>
      </w:r>
    </w:p>
    <w:p>
      <w:pPr>
        <w:spacing w:after="0" w:line="23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periodically repurchases shares of its common stock under board-authorized repurchase programs. Such repurchases may be made in the open market, through block trades or through other negotiated transactions. Share repurchases were as follows (in thousands, except per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Thirteen Weeks Ended</w:t>
            </w:r>
          </w:p>
        </w:tc>
        <w:tc>
          <w:tcPr>
            <w:tcW w:w="6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Thirty-Nine Weeks Ended</w:t>
            </w:r>
          </w:p>
        </w:tc>
        <w:tc>
          <w:tcPr>
            <w:tcW w:w="340" w:type="dxa"/>
            <w:vAlign w:val="bottom"/>
            <w:tcBorders>
              <w:bottom w:val="single" w:sz="8" w:color="auto"/>
            </w:tcBorders>
          </w:tcPr>
          <w:p>
            <w:pPr>
              <w:spacing w:after="0"/>
              <w:rPr>
                <w:sz w:val="14"/>
                <w:szCs w:val="14"/>
                <w:color w:val="auto"/>
              </w:rPr>
            </w:pPr>
          </w:p>
        </w:tc>
      </w:tr>
      <w:tr>
        <w:trPr>
          <w:trHeight w:val="169"/>
        </w:trPr>
        <w:tc>
          <w:tcPr>
            <w:tcW w:w="4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900" w:type="dxa"/>
            <w:vAlign w:val="bottom"/>
            <w:gridSpan w:val="6"/>
          </w:tcPr>
          <w:p>
            <w:pPr>
              <w:ind w:left="20"/>
              <w:spacing w:after="0"/>
              <w:rPr>
                <w:sz w:val="20"/>
                <w:szCs w:val="20"/>
                <w:color w:val="auto"/>
              </w:rPr>
            </w:pPr>
            <w:r>
              <w:rPr>
                <w:rFonts w:ascii="Arial" w:cs="Arial" w:eastAsia="Arial" w:hAnsi="Arial"/>
                <w:sz w:val="14"/>
                <w:szCs w:val="14"/>
                <w:b w:val="1"/>
                <w:bCs w:val="1"/>
                <w:color w:val="auto"/>
              </w:rPr>
              <w:t>November 1, 2025  November 2, 2024November 1, 2025</w:t>
            </w:r>
          </w:p>
        </w:tc>
        <w:tc>
          <w:tcPr>
            <w:tcW w:w="16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November 2, 2024</w:t>
            </w:r>
          </w:p>
        </w:tc>
      </w:tr>
      <w:tr>
        <w:trPr>
          <w:trHeight w:val="183"/>
        </w:trPr>
        <w:tc>
          <w:tcPr>
            <w:tcW w:w="42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number of shares purchased</w:t>
            </w:r>
          </w:p>
        </w:tc>
        <w:tc>
          <w:tcPr>
            <w:tcW w:w="3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ind w:left="720"/>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251</w:t>
            </w:r>
          </w:p>
        </w:tc>
        <w:tc>
          <w:tcPr>
            <w:tcW w:w="1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ind w:left="120"/>
              <w:spacing w:after="0" w:line="183" w:lineRule="exact"/>
              <w:rPr>
                <w:sz w:val="20"/>
                <w:szCs w:val="20"/>
                <w:color w:val="auto"/>
              </w:rPr>
            </w:pPr>
            <w:r>
              <w:rPr>
                <w:rFonts w:ascii="Arial" w:cs="Arial" w:eastAsia="Arial" w:hAnsi="Arial"/>
                <w:sz w:val="16"/>
                <w:szCs w:val="16"/>
                <w:color w:val="auto"/>
              </w:rPr>
              <w:t>—</w:t>
            </w:r>
          </w:p>
        </w:tc>
      </w:tr>
      <w:tr>
        <w:trPr>
          <w:trHeight w:val="189"/>
        </w:trPr>
        <w:tc>
          <w:tcPr>
            <w:tcW w:w="4240" w:type="dxa"/>
            <w:vAlign w:val="bottom"/>
          </w:tcPr>
          <w:p>
            <w:pPr>
              <w:spacing w:after="0"/>
              <w:rPr>
                <w:sz w:val="20"/>
                <w:szCs w:val="20"/>
                <w:color w:val="auto"/>
              </w:rPr>
            </w:pPr>
            <w:r>
              <w:rPr>
                <w:rFonts w:ascii="Arial" w:cs="Arial" w:eastAsia="Arial" w:hAnsi="Arial"/>
                <w:sz w:val="16"/>
                <w:szCs w:val="16"/>
                <w:color w:val="auto"/>
              </w:rPr>
              <w:t>Average price paid per share (including commissions)</w:t>
            </w: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920" w:type="dxa"/>
            <w:vAlign w:val="bottom"/>
          </w:tcPr>
          <w:p>
            <w:pPr>
              <w:ind w:left="7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760"/>
              <w:spacing w:after="0"/>
              <w:rPr>
                <w:sz w:val="20"/>
                <w:szCs w:val="20"/>
                <w:color w:val="auto"/>
              </w:rPr>
            </w:pPr>
            <w:r>
              <w:rPr>
                <w:rFonts w:ascii="Arial" w:cs="Arial" w:eastAsia="Arial" w:hAnsi="Arial"/>
                <w:sz w:val="16"/>
                <w:szCs w:val="16"/>
                <w:color w:val="auto"/>
              </w:rPr>
              <w:t>$</w:t>
            </w:r>
          </w:p>
        </w:tc>
        <w:tc>
          <w:tcPr>
            <w:tcW w:w="660" w:type="dxa"/>
            <w:vAlign w:val="bottom"/>
          </w:tcPr>
          <w:p>
            <w:pPr>
              <w:ind w:left="18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25</w:t>
            </w:r>
          </w:p>
        </w:tc>
        <w:tc>
          <w:tcPr>
            <w:tcW w:w="10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189"/>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Total investment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6,315</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r>
    </w:tbl>
    <w:p>
      <w:pPr>
        <w:spacing w:after="0" w:line="17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On November 30, 2021, the Company announced that its board of directors approved a $30 million stock repurchase program. On March 15, 2022, the Company announced that its board of directors approved an additional $30 million stock repurchase program. The programs do not have expiration dates.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At November 1, 2025, $40.0 million remained available under the Company’s stock repurchase authorization.</w:t>
      </w:r>
    </w:p>
    <w:p>
      <w:pPr>
        <w:spacing w:after="0" w:line="22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Recent Accounting Pronouncements</w:t>
      </w:r>
    </w:p>
    <w:p>
      <w:pPr>
        <w:spacing w:after="0" w:line="248"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In December 2023, the FASB issued ASU 2023-09, “Improvement to Income Tax Disclosures (Topic 740)”, (“ASU 2023-09”) which requires additional disclosures for income tax rate reconciliations, income taxes paid, and certain other tax disclosures.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Adoption is required for annual periods beginning after December 15, 2024. The Company is currently evaluating the impact this standard will have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In November 2024, the FASB issued ASU 2024-03, “Expense Disaggregation Disclosures (Topic 220): Disaggregation of Income Statement Expenses” which requires public entities to disclose additional information that disaggregates certain expense captions into specified categories in the Notes to the consolidated financial statements. The new standard is effective for fiscal years beginning after December 15, 2026, and interim periods after December 15, 2027, with early adoption permitted. The disclosure updates are required to be applied prospectively with the option for retrospective application. The Company is currently evaluating the impact this standard will have on its disclosures.</w:t>
      </w:r>
    </w:p>
    <w:p>
      <w:pPr>
        <w:spacing w:after="0" w:line="175"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Revenue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30"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Company’s primary source of revenue is derived from the sale of clothing and accessories to its customers with the Company’s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Returns</w:t>
      </w:r>
    </w:p>
    <w:p>
      <w:pPr>
        <w:spacing w:after="0" w:line="30" w:lineRule="exact"/>
        <w:rPr>
          <w:sz w:val="20"/>
          <w:szCs w:val="20"/>
          <w:color w:val="auto"/>
        </w:rPr>
      </w:pPr>
    </w:p>
    <w:p>
      <w:pPr>
        <w:ind w:right="620"/>
        <w:spacing w:after="0" w:line="304" w:lineRule="auto"/>
        <w:rPr>
          <w:sz w:val="20"/>
          <w:szCs w:val="20"/>
          <w:color w:val="auto"/>
        </w:rPr>
      </w:pPr>
      <w:r>
        <w:rPr>
          <w:rFonts w:ascii="Arial" w:cs="Arial" w:eastAsia="Arial" w:hAnsi="Arial"/>
          <w:sz w:val="16"/>
          <w:szCs w:val="16"/>
          <w:color w:val="auto"/>
        </w:rPr>
        <w:t>The Company allows customers to return merchandise for up to 30 days after the date of sale. Expected refunds to customers are recorded based on estimated margin using historical return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Disaggregation of Revenue</w:t>
      </w:r>
    </w:p>
    <w:p>
      <w:pPr>
        <w:spacing w:after="0" w:line="29"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The Company’s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w:t>
      </w:r>
    </w:p>
    <w:p>
      <w:pPr>
        <w:spacing w:after="0" w:line="175" w:lineRule="exact"/>
        <w:rPr>
          <w:sz w:val="20"/>
          <w:szCs w:val="20"/>
          <w:color w:val="auto"/>
        </w:rPr>
      </w:pPr>
    </w:p>
    <w:p>
      <w:pPr>
        <w:ind w:right="420"/>
        <w:spacing w:after="0" w:line="304" w:lineRule="auto"/>
        <w:rPr>
          <w:sz w:val="20"/>
          <w:szCs w:val="20"/>
          <w:color w:val="auto"/>
        </w:rPr>
      </w:pPr>
      <w:r>
        <w:rPr>
          <w:rFonts w:ascii="Arial" w:cs="Arial" w:eastAsia="Arial" w:hAnsi="Arial"/>
          <w:sz w:val="16"/>
          <w:szCs w:val="16"/>
          <w:color w:val="auto"/>
        </w:rPr>
        <w:t>In the following table, the Company’s revenue from contracts with customers is disaggregated by Division or product category. It also provides the percentage of net sales for each Division within the merchandise assortment.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10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14"/>
                <w:szCs w:val="14"/>
                <w:b w:val="1"/>
                <w:bCs w:val="1"/>
                <w:color w:val="auto"/>
              </w:rPr>
              <w:t>Thirty-Nine Weeks Ended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280" w:type="dxa"/>
            <w:vAlign w:val="bottom"/>
            <w:vMerge w:val="restart"/>
          </w:tcPr>
          <w:p>
            <w:pPr>
              <w:spacing w:after="0"/>
              <w:rPr>
                <w:sz w:val="20"/>
                <w:szCs w:val="20"/>
                <w:color w:val="auto"/>
              </w:rPr>
            </w:pPr>
            <w:r>
              <w:rPr>
                <w:rFonts w:ascii="Arial" w:cs="Arial" w:eastAsia="Arial" w:hAnsi="Arial"/>
                <w:sz w:val="16"/>
                <w:szCs w:val="16"/>
                <w:b w:val="1"/>
                <w:bCs w:val="1"/>
                <w:color w:val="auto"/>
              </w:rPr>
              <w:t>Division</w:t>
            </w:r>
          </w:p>
        </w:tc>
        <w:tc>
          <w:tcPr>
            <w:tcW w:w="2000" w:type="dxa"/>
            <w:vAlign w:val="bottom"/>
          </w:tcPr>
          <w:p>
            <w:pPr>
              <w:spacing w:after="0"/>
              <w:rPr>
                <w:sz w:val="19"/>
                <w:szCs w:val="19"/>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November 1,</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November 2,</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November 1,</w:t>
            </w: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91"/>
        </w:trPr>
        <w:tc>
          <w:tcPr>
            <w:tcW w:w="3280" w:type="dxa"/>
            <w:vAlign w:val="bottom"/>
            <w:tcBorders>
              <w:bottom w:val="single" w:sz="8" w:color="auto"/>
            </w:tcBorders>
            <w:vMerge w:val="continue"/>
          </w:tcPr>
          <w:p>
            <w:pPr>
              <w:spacing w:after="0"/>
              <w:rPr>
                <w:sz w:val="16"/>
                <w:szCs w:val="16"/>
                <w:color w:val="auto"/>
              </w:rPr>
            </w:pPr>
          </w:p>
        </w:tc>
        <w:tc>
          <w:tcPr>
            <w:tcW w:w="2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Womens</w:t>
            </w:r>
          </w:p>
        </w:tc>
        <w:tc>
          <w:tcPr>
            <w:tcW w:w="26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26</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rPr>
              <w:t>27</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28</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28</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line="189" w:lineRule="exact"/>
              <w:rPr>
                <w:sz w:val="20"/>
                <w:szCs w:val="20"/>
                <w:color w:val="auto"/>
              </w:rPr>
            </w:pPr>
            <w:r>
              <w:rPr>
                <w:rFonts w:ascii="Arial" w:cs="Arial" w:eastAsia="Arial" w:hAnsi="Arial"/>
                <w:sz w:val="17"/>
                <w:szCs w:val="17"/>
                <w:color w:val="auto"/>
              </w:rPr>
              <w:t>Kids</w:t>
            </w:r>
          </w:p>
        </w:tc>
        <w:tc>
          <w:tcPr>
            <w:tcW w:w="266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Mens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line="189" w:lineRule="exact"/>
              <w:rPr>
                <w:sz w:val="20"/>
                <w:szCs w:val="20"/>
                <w:color w:val="auto"/>
              </w:rPr>
            </w:pPr>
            <w:r>
              <w:rPr>
                <w:rFonts w:ascii="Arial" w:cs="Arial" w:eastAsia="Arial" w:hAnsi="Arial"/>
                <w:sz w:val="17"/>
                <w:szCs w:val="17"/>
                <w:color w:val="auto"/>
              </w:rPr>
              <w:t>Accessories &amp; Beauty</w:t>
            </w:r>
          </w:p>
        </w:tc>
        <w:tc>
          <w:tcPr>
            <w:tcW w:w="266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Home &amp; Lifestyle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20"/>
                <w:szCs w:val="20"/>
                <w:color w:val="auto"/>
              </w:rPr>
            </w:pPr>
            <w:r>
              <w:rPr>
                <w:rFonts w:ascii="Arial" w:cs="Arial" w:eastAsia="Arial" w:hAnsi="Arial"/>
                <w:sz w:val="17"/>
                <w:szCs w:val="17"/>
                <w:color w:val="auto"/>
              </w:rPr>
              <w:t>Footwear</w:t>
            </w:r>
          </w:p>
        </w:tc>
        <w:tc>
          <w:tcPr>
            <w:tcW w:w="266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0"/>
        </w:trPr>
        <w:tc>
          <w:tcPr>
            <w:tcW w:w="3280" w:type="dxa"/>
            <w:vAlign w:val="bottom"/>
          </w:tcPr>
          <w:p>
            <w:pPr>
              <w:spacing w:after="0"/>
              <w:rPr>
                <w:sz w:val="24"/>
                <w:szCs w:val="24"/>
                <w:color w:val="auto"/>
              </w:rPr>
            </w:pPr>
          </w:p>
        </w:tc>
        <w:tc>
          <w:tcPr>
            <w:tcW w:w="2000" w:type="dxa"/>
            <w:vAlign w:val="bottom"/>
          </w:tcPr>
          <w:p>
            <w:pPr>
              <w:jc w:val="right"/>
              <w:ind w:right="140"/>
              <w:spacing w:after="0"/>
              <w:rPr>
                <w:sz w:val="20"/>
                <w:szCs w:val="20"/>
                <w:color w:val="auto"/>
              </w:rPr>
            </w:pPr>
            <w:r>
              <w:rPr>
                <w:rFonts w:ascii="Arial" w:cs="Arial" w:eastAsia="Arial" w:hAnsi="Arial"/>
                <w:sz w:val="16"/>
                <w:szCs w:val="16"/>
                <w:color w:val="auto"/>
              </w:rPr>
              <w:t>10</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3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2"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Leases</w:t>
      </w:r>
    </w:p>
    <w:p>
      <w:pPr>
        <w:spacing w:after="0" w:line="248"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The Company leases its retail store locations, distribution centers, and certain office space and equipment. Leases for store locations are typically for a term of five years with options to extend for one or more five-year periods.</w:t>
      </w:r>
    </w:p>
    <w:p>
      <w:pPr>
        <w:spacing w:after="0" w:line="15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The Company analyzes all leases at inception to determine if a right-of-use asset and lease liability should be recognized. Leases with an initial term of 12 months or less and leases with mutual termination clauses are not included on the condensed consolidated balance sheets. The lease liability is measured at the present value of future lease payments as of the lease commencement date.</w:t>
      </w:r>
    </w:p>
    <w:p>
      <w:pPr>
        <w:spacing w:after="0" w:line="165" w:lineRule="exact"/>
        <w:rPr>
          <w:sz w:val="20"/>
          <w:szCs w:val="20"/>
          <w:color w:val="auto"/>
        </w:rPr>
      </w:pPr>
    </w:p>
    <w:p>
      <w:pPr>
        <w:jc w:val="both"/>
        <w:ind w:right="480"/>
        <w:spacing w:after="0" w:line="292" w:lineRule="auto"/>
        <w:rPr>
          <w:sz w:val="20"/>
          <w:szCs w:val="20"/>
          <w:color w:val="auto"/>
        </w:rPr>
      </w:pPr>
      <w:r>
        <w:rPr>
          <w:rFonts w:ascii="Arial" w:cs="Arial" w:eastAsia="Arial" w:hAnsi="Arial"/>
          <w:sz w:val="16"/>
          <w:szCs w:val="16"/>
          <w:color w:val="auto"/>
        </w:rPr>
        <w:t>Total lease cost is comprised of operating lease costs, short-term lease costs and variable lease costs, which include rent paid as a percentage of sales, common area maintenance, real estate taxes and insurance for the Company’s real estate leases. Lease costs consisted of the following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4"/>
                <w:szCs w:val="14"/>
                <w:b w:val="1"/>
                <w:bCs w:val="1"/>
                <w:color w:val="auto"/>
              </w:rPr>
              <w:t>Thirty-Nine Weeks Ended</w:t>
            </w:r>
          </w:p>
        </w:tc>
      </w:tr>
      <w:tr>
        <w:trPr>
          <w:trHeight w:val="196"/>
        </w:trPr>
        <w:tc>
          <w:tcPr>
            <w:tcW w:w="7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November 1, 2025</w:t>
            </w:r>
          </w:p>
        </w:tc>
        <w:tc>
          <w:tcPr>
            <w:tcW w:w="140" w:type="dxa"/>
            <w:vAlign w:val="bottom"/>
          </w:tcPr>
          <w:p>
            <w:pPr>
              <w:spacing w:after="0"/>
              <w:rPr>
                <w:sz w:val="17"/>
                <w:szCs w:val="17"/>
                <w:color w:val="auto"/>
              </w:rPr>
            </w:pPr>
          </w:p>
        </w:tc>
        <w:tc>
          <w:tcPr>
            <w:tcW w:w="1400" w:type="dxa"/>
            <w:vAlign w:val="bottom"/>
            <w:gridSpan w:val="5"/>
          </w:tcPr>
          <w:p>
            <w:pPr>
              <w:ind w:left="20"/>
              <w:spacing w:after="0"/>
              <w:rPr>
                <w:sz w:val="20"/>
                <w:szCs w:val="20"/>
                <w:color w:val="auto"/>
              </w:rPr>
            </w:pPr>
            <w:r>
              <w:rPr>
                <w:rFonts w:ascii="Arial" w:cs="Arial" w:eastAsia="Arial" w:hAnsi="Arial"/>
                <w:sz w:val="14"/>
                <w:szCs w:val="14"/>
                <w:b w:val="1"/>
                <w:bCs w:val="1"/>
                <w:color w:val="auto"/>
              </w:rPr>
              <w:t>November 2, 2024</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November 1, 2025</w:t>
            </w: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November 2, 2024</w:t>
            </w:r>
          </w:p>
        </w:tc>
      </w:tr>
      <w:tr>
        <w:trPr>
          <w:trHeight w:val="196"/>
        </w:trPr>
        <w:tc>
          <w:tcPr>
            <w:tcW w:w="3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Operating lease cost</w:t>
            </w:r>
          </w:p>
        </w:tc>
        <w:tc>
          <w:tcPr>
            <w:tcW w:w="5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15,374</w:t>
            </w: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16,441</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45,760</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ind w:right="357"/>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46,232</w:t>
            </w:r>
          </w:p>
        </w:tc>
      </w:tr>
      <w:tr>
        <w:trPr>
          <w:trHeight w:val="216"/>
        </w:trPr>
        <w:tc>
          <w:tcPr>
            <w:tcW w:w="3960" w:type="dxa"/>
            <w:vAlign w:val="bottom"/>
            <w:gridSpan w:val="2"/>
          </w:tcPr>
          <w:p>
            <w:pPr>
              <w:spacing w:after="0"/>
              <w:rPr>
                <w:sz w:val="20"/>
                <w:szCs w:val="20"/>
                <w:color w:val="auto"/>
              </w:rPr>
            </w:pPr>
            <w:r>
              <w:rPr>
                <w:rFonts w:ascii="Arial" w:cs="Arial" w:eastAsia="Arial" w:hAnsi="Arial"/>
                <w:sz w:val="16"/>
                <w:szCs w:val="16"/>
                <w:color w:val="auto"/>
              </w:rPr>
              <w:t>Variable lease cost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3,302</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1,997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9,117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8,160</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Short term lease cost</w:t>
            </w:r>
          </w:p>
        </w:tc>
        <w:tc>
          <w:tcPr>
            <w:tcW w:w="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w:t>
            </w:r>
          </w:p>
        </w:tc>
      </w:tr>
      <w:tr>
        <w:trPr>
          <w:trHeight w:val="183"/>
        </w:trPr>
        <w:tc>
          <w:tcPr>
            <w:tcW w:w="3960" w:type="dxa"/>
            <w:vAlign w:val="bottom"/>
            <w:gridSpan w:val="2"/>
          </w:tcPr>
          <w:p>
            <w:pPr>
              <w:spacing w:after="0" w:line="183" w:lineRule="exact"/>
              <w:rPr>
                <w:sz w:val="20"/>
                <w:szCs w:val="20"/>
                <w:color w:val="auto"/>
              </w:rPr>
            </w:pPr>
            <w:r>
              <w:rPr>
                <w:rFonts w:ascii="Arial" w:cs="Arial" w:eastAsia="Arial" w:hAnsi="Arial"/>
                <w:sz w:val="16"/>
                <w:szCs w:val="16"/>
                <w:color w:val="auto"/>
              </w:rPr>
              <w:t>Total lease cost</w:t>
            </w:r>
          </w:p>
        </w:tc>
        <w:tc>
          <w:tcPr>
            <w:tcW w:w="540" w:type="dxa"/>
            <w:vAlign w:val="bottom"/>
          </w:tcPr>
          <w:p>
            <w:pPr>
              <w:spacing w:after="0"/>
              <w:rPr>
                <w:sz w:val="15"/>
                <w:szCs w:val="15"/>
                <w:color w:val="auto"/>
              </w:rPr>
            </w:pPr>
          </w:p>
        </w:tc>
        <w:tc>
          <w:tcPr>
            <w:tcW w:w="3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19,192</w:t>
            </w:r>
          </w:p>
        </w:tc>
        <w:tc>
          <w:tcPr>
            <w:tcW w:w="140" w:type="dxa"/>
            <w:vAlign w:val="bottom"/>
          </w:tcPr>
          <w:p>
            <w:pPr>
              <w:spacing w:after="0"/>
              <w:rPr>
                <w:sz w:val="15"/>
                <w:szCs w:val="15"/>
                <w:color w:val="auto"/>
              </w:rPr>
            </w:pPr>
          </w:p>
        </w:tc>
        <w:tc>
          <w:tcPr>
            <w:tcW w:w="5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gridSpan w:val="2"/>
          </w:tcPr>
          <w:p>
            <w:pPr>
              <w:jc w:val="right"/>
              <w:ind w:right="40"/>
              <w:spacing w:after="0" w:line="183" w:lineRule="exact"/>
              <w:rPr>
                <w:sz w:val="20"/>
                <w:szCs w:val="20"/>
                <w:color w:val="auto"/>
              </w:rPr>
            </w:pPr>
            <w:r>
              <w:rPr>
                <w:rFonts w:ascii="Arial" w:cs="Arial" w:eastAsia="Arial" w:hAnsi="Arial"/>
                <w:sz w:val="16"/>
                <w:szCs w:val="16"/>
                <w:color w:val="auto"/>
              </w:rPr>
              <w:t>18,688</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56,391</w:t>
            </w:r>
          </w:p>
        </w:tc>
        <w:tc>
          <w:tcPr>
            <w:tcW w:w="140" w:type="dxa"/>
            <w:vAlign w:val="bottom"/>
          </w:tcPr>
          <w:p>
            <w:pPr>
              <w:spacing w:after="0"/>
              <w:rPr>
                <w:sz w:val="15"/>
                <w:szCs w:val="15"/>
                <w:color w:val="auto"/>
              </w:rPr>
            </w:pPr>
          </w:p>
        </w:tc>
        <w:tc>
          <w:tcPr>
            <w:tcW w:w="520" w:type="dxa"/>
            <w:vAlign w:val="bottom"/>
            <w:tcBorders>
              <w:bottom w:val="single" w:sz="8" w:color="auto"/>
            </w:tcBorders>
            <w:gridSpan w:val="2"/>
          </w:tcPr>
          <w:p>
            <w:pPr>
              <w:jc w:val="right"/>
              <w:ind w:right="357"/>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55,736</w:t>
            </w:r>
          </w:p>
        </w:tc>
      </w:tr>
      <w:tr>
        <w:trPr>
          <w:trHeight w:val="20"/>
        </w:trPr>
        <w:tc>
          <w:tcPr>
            <w:tcW w:w="76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70"/>
        </w:trPr>
        <w:tc>
          <w:tcPr>
            <w:tcW w:w="6420" w:type="dxa"/>
            <w:vAlign w:val="bottom"/>
            <w:gridSpan w:val="7"/>
          </w:tcPr>
          <w:p>
            <w:pPr>
              <w:spacing w:after="0"/>
              <w:rPr>
                <w:sz w:val="20"/>
                <w:szCs w:val="20"/>
                <w:color w:val="auto"/>
              </w:rPr>
            </w:pPr>
            <w:r>
              <w:rPr>
                <w:rFonts w:ascii="Arial" w:cs="Arial" w:eastAsia="Arial" w:hAnsi="Arial"/>
                <w:sz w:val="16"/>
                <w:szCs w:val="16"/>
                <w:color w:val="auto"/>
              </w:rPr>
              <w:t>Future minimum lease payments as of November 1, 2025 are as follows (in thousands):</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86"/>
        </w:trPr>
        <w:tc>
          <w:tcPr>
            <w:tcW w:w="760" w:type="dxa"/>
            <w:vAlign w:val="bottom"/>
          </w:tcPr>
          <w:p>
            <w:pPr>
              <w:spacing w:after="0"/>
              <w:rPr>
                <w:sz w:val="24"/>
                <w:szCs w:val="24"/>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Lease Costs</w:t>
            </w: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74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32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Remainder of 2025</w:t>
            </w: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16,497</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tcPr>
          <w:p>
            <w:pPr>
              <w:spacing w:after="0"/>
              <w:rPr>
                <w:sz w:val="15"/>
                <w:szCs w:val="15"/>
                <w:color w:val="auto"/>
              </w:rPr>
            </w:pPr>
          </w:p>
        </w:tc>
      </w:tr>
      <w:tr>
        <w:trPr>
          <w:trHeight w:val="189"/>
        </w:trPr>
        <w:tc>
          <w:tcPr>
            <w:tcW w:w="76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2026</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61,745</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60" w:type="dxa"/>
            <w:vAlign w:val="bottom"/>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49,128</w:t>
            </w: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6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2028</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39,738</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60" w:type="dxa"/>
            <w:vAlign w:val="bottom"/>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2029</w:t>
            </w: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30,384</w:t>
            </w: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60" w:type="dxa"/>
            <w:vAlign w:val="bottom"/>
          </w:tcPr>
          <w:p>
            <w:pPr>
              <w:spacing w:after="0"/>
              <w:rPr>
                <w:sz w:val="16"/>
                <w:szCs w:val="16"/>
                <w:color w:val="auto"/>
              </w:rPr>
            </w:pPr>
          </w:p>
        </w:tc>
        <w:tc>
          <w:tcPr>
            <w:tcW w:w="3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5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118,281</w:t>
            </w:r>
          </w:p>
        </w:tc>
        <w:tc>
          <w:tcPr>
            <w:tcW w:w="60" w:type="dxa"/>
            <w:vAlign w:val="bottom"/>
            <w:tcBorders>
              <w:bottom w:val="single" w:sz="8" w:color="auto"/>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740" w:type="dxa"/>
            <w:vAlign w:val="bottom"/>
          </w:tcPr>
          <w:p>
            <w:pPr>
              <w:spacing w:after="0"/>
              <w:rPr>
                <w:sz w:val="16"/>
                <w:szCs w:val="16"/>
                <w:color w:val="auto"/>
              </w:rPr>
            </w:pPr>
          </w:p>
        </w:tc>
      </w:tr>
      <w:tr>
        <w:trPr>
          <w:trHeight w:val="183"/>
        </w:trPr>
        <w:tc>
          <w:tcPr>
            <w:tcW w:w="760" w:type="dxa"/>
            <w:vAlign w:val="bottom"/>
          </w:tcPr>
          <w:p>
            <w:pPr>
              <w:spacing w:after="0"/>
              <w:rPr>
                <w:sz w:val="15"/>
                <w:szCs w:val="15"/>
                <w:color w:val="auto"/>
              </w:rPr>
            </w:pPr>
          </w:p>
        </w:tc>
        <w:tc>
          <w:tcPr>
            <w:tcW w:w="32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future minimum lease payments</w:t>
            </w: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315,773</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tcPr>
          <w:p>
            <w:pPr>
              <w:spacing w:after="0"/>
              <w:rPr>
                <w:sz w:val="15"/>
                <w:szCs w:val="15"/>
                <w:color w:val="auto"/>
              </w:rPr>
            </w:pPr>
          </w:p>
        </w:tc>
      </w:tr>
      <w:tr>
        <w:trPr>
          <w:trHeight w:val="189"/>
        </w:trPr>
        <w:tc>
          <w:tcPr>
            <w:tcW w:w="76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Less: imputed interest</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right"/>
              <w:ind w:right="177"/>
              <w:spacing w:after="0"/>
              <w:rPr>
                <w:sz w:val="20"/>
                <w:szCs w:val="20"/>
                <w:color w:val="auto"/>
              </w:rPr>
            </w:pPr>
            <w:r>
              <w:rPr>
                <w:rFonts w:ascii="Arial" w:cs="Arial" w:eastAsia="Arial" w:hAnsi="Arial"/>
                <w:sz w:val="16"/>
                <w:szCs w:val="16"/>
                <w:color w:val="auto"/>
              </w:rPr>
              <w:t xml:space="preserve">(97,735) </w:t>
            </w:r>
            <w:r>
              <w:rPr>
                <w:rFonts w:ascii="Arial" w:cs="Arial" w:eastAsia="Arial" w:hAnsi="Arial"/>
                <w:sz w:val="12"/>
                <w:szCs w:val="12"/>
                <w:color w:val="auto"/>
              </w:rPr>
              <w:t>(1)</w:t>
            </w:r>
          </w:p>
        </w:tc>
        <w:tc>
          <w:tcPr>
            <w:tcW w:w="740" w:type="dxa"/>
            <w:vAlign w:val="bottom"/>
          </w:tcPr>
          <w:p>
            <w:pPr>
              <w:spacing w:after="0"/>
              <w:rPr>
                <w:sz w:val="16"/>
                <w:szCs w:val="16"/>
                <w:color w:val="auto"/>
              </w:rPr>
            </w:pPr>
          </w:p>
        </w:tc>
      </w:tr>
      <w:tr>
        <w:trPr>
          <w:trHeight w:val="183"/>
        </w:trPr>
        <w:tc>
          <w:tcPr>
            <w:tcW w:w="760" w:type="dxa"/>
            <w:vAlign w:val="bottom"/>
          </w:tcPr>
          <w:p>
            <w:pPr>
              <w:spacing w:after="0"/>
              <w:rPr>
                <w:sz w:val="15"/>
                <w:szCs w:val="15"/>
                <w:color w:val="auto"/>
              </w:rPr>
            </w:pPr>
          </w:p>
        </w:tc>
        <w:tc>
          <w:tcPr>
            <w:tcW w:w="320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present value of lease liabilities</w:t>
            </w: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218,038</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rPr>
              <w:t>(2)</w:t>
            </w:r>
          </w:p>
        </w:tc>
        <w:tc>
          <w:tcPr>
            <w:tcW w:w="74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58" w:lineRule="exact"/>
        <w:rPr>
          <w:sz w:val="20"/>
          <w:szCs w:val="20"/>
          <w:color w:val="auto"/>
        </w:rPr>
      </w:pPr>
    </w:p>
    <w:p>
      <w:pPr>
        <w:ind w:left="1380" w:hanging="319"/>
        <w:spacing w:after="0"/>
        <w:tabs>
          <w:tab w:leader="none" w:pos="1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Calculated using the incremental borrowing rate.</w:t>
      </w:r>
    </w:p>
    <w:p>
      <w:pPr>
        <w:spacing w:after="0" w:line="55" w:lineRule="exact"/>
        <w:rPr>
          <w:rFonts w:ascii="Arial" w:cs="Arial" w:eastAsia="Arial" w:hAnsi="Arial"/>
          <w:sz w:val="14"/>
          <w:szCs w:val="14"/>
          <w:color w:val="auto"/>
        </w:rPr>
      </w:pPr>
    </w:p>
    <w:p>
      <w:pPr>
        <w:ind w:left="1380" w:hanging="319"/>
        <w:spacing w:after="0"/>
        <w:tabs>
          <w:tab w:leader="none" w:pos="1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short-term and long-term portions of operating lease liabilities.</w:t>
      </w:r>
    </w:p>
    <w:p>
      <w:pPr>
        <w:spacing w:after="0" w:line="320"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spacing w:after="0" w:line="155" w:lineRule="exact"/>
        <w:rPr>
          <w:sz w:val="20"/>
          <w:szCs w:val="20"/>
          <w:color w:val="auto"/>
        </w:rPr>
      </w:pPr>
    </w:p>
    <w:p>
      <w:pPr>
        <w:ind w:right="420"/>
        <w:spacing w:after="0" w:line="284" w:lineRule="auto"/>
        <w:rPr>
          <w:sz w:val="20"/>
          <w:szCs w:val="20"/>
          <w:color w:val="auto"/>
        </w:rPr>
      </w:pPr>
      <w:r>
        <w:rPr>
          <w:rFonts w:ascii="Arial" w:cs="Arial" w:eastAsia="Arial" w:hAnsi="Arial"/>
          <w:sz w:val="16"/>
          <w:szCs w:val="16"/>
          <w:color w:val="auto"/>
        </w:rPr>
        <w:t>Supplemental cash flows and other information related to operating leases are as follows (in thousands, except for weighted average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4"/>
          </w:tcPr>
          <w:p>
            <w:pPr>
              <w:jc w:val="right"/>
              <w:ind w:right="841"/>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22"/>
              <w:spacing w:after="0" w:line="155" w:lineRule="exact"/>
              <w:rPr>
                <w:sz w:val="20"/>
                <w:szCs w:val="20"/>
                <w:color w:val="auto"/>
              </w:rPr>
            </w:pPr>
            <w:r>
              <w:rPr>
                <w:rFonts w:ascii="Arial" w:cs="Arial" w:eastAsia="Arial" w:hAnsi="Arial"/>
                <w:sz w:val="14"/>
                <w:szCs w:val="14"/>
                <w:b w:val="1"/>
                <w:bCs w:val="1"/>
                <w:color w:val="auto"/>
              </w:rPr>
              <w:t>November 1, 2025</w:t>
            </w:r>
          </w:p>
        </w:tc>
        <w:tc>
          <w:tcPr>
            <w:tcW w:w="3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November 2, 2024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Cash paid for operating leases</w:t>
            </w: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46,127</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46,735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Pr>
          <w:p>
            <w:pPr>
              <w:spacing w:after="0"/>
              <w:rPr>
                <w:sz w:val="20"/>
                <w:szCs w:val="20"/>
                <w:color w:val="auto"/>
              </w:rPr>
            </w:pPr>
            <w:r>
              <w:rPr>
                <w:rFonts w:ascii="Arial" w:cs="Arial" w:eastAsia="Arial" w:hAnsi="Arial"/>
                <w:sz w:val="16"/>
                <w:szCs w:val="16"/>
                <w:color w:val="auto"/>
              </w:rPr>
              <w:t>Right of use assets obtained in exchange for new operating lease liabilities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38,790</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25,182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40" w:type="dxa"/>
            <w:vAlign w:val="bottom"/>
          </w:tcPr>
          <w:p>
            <w:pPr>
              <w:spacing w:after="0"/>
              <w:rPr>
                <w:sz w:val="20"/>
                <w:szCs w:val="20"/>
                <w:color w:val="auto"/>
              </w:rPr>
            </w:pPr>
            <w:r>
              <w:rPr>
                <w:rFonts w:ascii="Arial" w:cs="Arial" w:eastAsia="Arial" w:hAnsi="Arial"/>
                <w:sz w:val="16"/>
                <w:szCs w:val="16"/>
                <w:color w:val="auto"/>
              </w:rPr>
              <w:t>Weighted average remaining lease term (years) - operating leases</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6.95</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discount rate - operating leases</w:t>
            </w: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Segment Reporting</w:t>
      </w:r>
    </w:p>
    <w:p>
      <w:pPr>
        <w:spacing w:after="0" w:line="248"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Company is an off-price value retailer of fashion apparel, accessories and home trends primarily for African American families. The retail operations represent a single operating segment based on the way the Company manages its business. The Company’s Chief Executive Officer, as our chief operating decision maker (“CODM”), manages and allocates resources to the operations of the Company on a consolidated basis. This enables the Chief Executive Officer to assess the Company’s overall level of available resources and determine how best to deploy these resources across retail stores that are in line with the Company’s long-term company-wide strategic goals. The Company’s retail stores sell similar products, use similar processes to sell those products, and sell</w:t>
      </w:r>
    </w:p>
    <w:p>
      <w:pPr>
        <w:sectPr>
          <w:pgSz w:w="11900" w:h="16838" w:orient="portrait"/>
          <w:cols w:equalWidth="0" w:num="1">
            <w:col w:w="9920"/>
          </w:cols>
          <w:pgMar w:left="980" w:top="512" w:right="9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369570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their products to similar classes of customers. All sales and assets are located within the United States. The CODM assesses performance based on consolidated net (loss) income that is reported on the statement of operations as part of the annual budgeting and forecasting process. The CODM considers budget-to-actual variances on a monthly basis when making decisions about allocating capital and personnel. The CODM does not review assets in evaluating results, therefore such information is not provided.</w:t>
      </w:r>
    </w:p>
    <w:p>
      <w:pPr>
        <w:spacing w:after="0" w:line="172" w:lineRule="exact"/>
        <w:rPr>
          <w:sz w:val="20"/>
          <w:szCs w:val="20"/>
          <w:color w:val="auto"/>
        </w:rPr>
      </w:pPr>
    </w:p>
    <w:p>
      <w:pPr>
        <w:ind w:right="580"/>
        <w:spacing w:after="0" w:line="321" w:lineRule="auto"/>
        <w:rPr>
          <w:sz w:val="20"/>
          <w:szCs w:val="20"/>
          <w:color w:val="auto"/>
        </w:rPr>
      </w:pPr>
      <w:r>
        <w:rPr>
          <w:rFonts w:ascii="Arial" w:cs="Arial" w:eastAsia="Arial" w:hAnsi="Arial"/>
          <w:sz w:val="16"/>
          <w:szCs w:val="16"/>
          <w:color w:val="auto"/>
        </w:rPr>
        <w:t>The following table summarizes the Company’s one reportable segment profit or loss, including significant segment expenses, and includes the reconciliation to consolidated net (loss) income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Thirteen Weeks Ended</w:t>
            </w: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Thirty-Nine Weeks Ended</w:t>
            </w:r>
          </w:p>
        </w:tc>
      </w:tr>
      <w:tr>
        <w:trPr>
          <w:trHeight w:val="196"/>
        </w:trPr>
        <w:tc>
          <w:tcPr>
            <w:tcW w:w="4780" w:type="dxa"/>
            <w:vAlign w:val="bottom"/>
          </w:tcPr>
          <w:p>
            <w:pPr>
              <w:spacing w:after="0"/>
              <w:rPr>
                <w:sz w:val="17"/>
                <w:szCs w:val="17"/>
                <w:color w:val="auto"/>
              </w:rPr>
            </w:pPr>
          </w:p>
        </w:tc>
        <w:tc>
          <w:tcPr>
            <w:tcW w:w="3800" w:type="dxa"/>
            <w:vAlign w:val="bottom"/>
            <w:gridSpan w:val="8"/>
          </w:tcPr>
          <w:p>
            <w:pPr>
              <w:ind w:left="20"/>
              <w:spacing w:after="0"/>
              <w:rPr>
                <w:sz w:val="20"/>
                <w:szCs w:val="20"/>
                <w:color w:val="auto"/>
              </w:rPr>
            </w:pPr>
            <w:r>
              <w:rPr>
                <w:rFonts w:ascii="Arial" w:cs="Arial" w:eastAsia="Arial" w:hAnsi="Arial"/>
                <w:sz w:val="14"/>
                <w:szCs w:val="14"/>
                <w:b w:val="1"/>
                <w:bCs w:val="1"/>
                <w:color w:val="auto"/>
              </w:rPr>
              <w:t>November 1, 2025 November 2, 2024 November 1, 2025</w:t>
            </w:r>
          </w:p>
        </w:tc>
        <w:tc>
          <w:tcPr>
            <w:tcW w:w="10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November 2, 2024</w:t>
            </w:r>
          </w:p>
        </w:tc>
      </w:tr>
      <w:tr>
        <w:trPr>
          <w:trHeight w:val="196"/>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197,091</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179,066</w:t>
            </w: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589,569</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541,907</w:t>
            </w:r>
          </w:p>
        </w:tc>
      </w:tr>
      <w:tr>
        <w:trPr>
          <w:trHeight w:val="216"/>
        </w:trPr>
        <w:tc>
          <w:tcPr>
            <w:tcW w:w="4780" w:type="dxa"/>
            <w:vAlign w:val="bottom"/>
          </w:tcPr>
          <w:p>
            <w:pPr>
              <w:spacing w:after="0"/>
              <w:rPr>
                <w:sz w:val="20"/>
                <w:szCs w:val="20"/>
                <w:color w:val="auto"/>
              </w:rPr>
            </w:pPr>
            <w:r>
              <w:rPr>
                <w:rFonts w:ascii="Arial" w:cs="Arial" w:eastAsia="Arial" w:hAnsi="Arial"/>
                <w:sz w:val="16"/>
                <w:szCs w:val="16"/>
                <w:color w:val="auto"/>
              </w:rPr>
              <w:t>Cost of sales (exclusive of depreciation shown separately below)</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Merchandising and other</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(109,056)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(97,131)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(325,117)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(312,719)</w:t>
            </w:r>
          </w:p>
        </w:tc>
      </w:tr>
      <w:tr>
        <w:trPr>
          <w:trHeight w:val="216"/>
        </w:trPr>
        <w:tc>
          <w:tcPr>
            <w:tcW w:w="4780" w:type="dxa"/>
            <w:vAlign w:val="bottom"/>
          </w:tcPr>
          <w:p>
            <w:pPr>
              <w:ind w:left="120"/>
              <w:spacing w:after="0"/>
              <w:rPr>
                <w:sz w:val="20"/>
                <w:szCs w:val="20"/>
                <w:color w:val="auto"/>
              </w:rPr>
            </w:pPr>
            <w:r>
              <w:rPr>
                <w:rFonts w:ascii="Arial" w:cs="Arial" w:eastAsia="Arial" w:hAnsi="Arial"/>
                <w:sz w:val="16"/>
                <w:szCs w:val="16"/>
                <w:color w:val="auto"/>
              </w:rPr>
              <w:t>Freight in and out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(11,406)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(10,702)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(31,740)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(30,991)</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6"/>
                <w:szCs w:val="16"/>
                <w:color w:val="auto"/>
              </w:rPr>
              <w:t>Store expenses - payroll and related expenses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(23,516)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(22,822)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(69,549)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(67,226)</w:t>
            </w:r>
          </w:p>
        </w:tc>
      </w:tr>
      <w:tr>
        <w:trPr>
          <w:trHeight w:val="216"/>
        </w:trPr>
        <w:tc>
          <w:tcPr>
            <w:tcW w:w="4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Store expenses - rent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(49,877)</w:t>
            </w:r>
          </w:p>
        </w:tc>
      </w:tr>
      <w:tr>
        <w:trPr>
          <w:trHeight w:val="216"/>
        </w:trPr>
        <w:tc>
          <w:tcPr>
            <w:tcW w:w="4780" w:type="dxa"/>
            <w:vAlign w:val="bottom"/>
          </w:tcPr>
          <w:p>
            <w:pPr>
              <w:ind w:left="120"/>
              <w:spacing w:after="0"/>
              <w:rPr>
                <w:sz w:val="20"/>
                <w:szCs w:val="20"/>
                <w:color w:val="auto"/>
              </w:rPr>
            </w:pPr>
            <w:r>
              <w:rPr>
                <w:rFonts w:ascii="Arial" w:cs="Arial" w:eastAsia="Arial" w:hAnsi="Arial"/>
                <w:sz w:val="16"/>
                <w:szCs w:val="16"/>
                <w:color w:val="auto"/>
              </w:rPr>
              <w:t>Corporate expenses - payroll and related expenses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(7,175)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(7,089)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(21,731)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(22,547)</w:t>
            </w:r>
          </w:p>
        </w:tc>
      </w:tr>
      <w:tr>
        <w:trPr>
          <w:trHeight w:val="216"/>
        </w:trPr>
        <w:tc>
          <w:tcPr>
            <w:tcW w:w="4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 center expenses - payroll and related expenses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(12,266)</w:t>
            </w:r>
          </w:p>
        </w:tc>
      </w:tr>
      <w:tr>
        <w:trPr>
          <w:trHeight w:val="216"/>
        </w:trPr>
        <w:tc>
          <w:tcPr>
            <w:tcW w:w="478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Other segment expenses </w:t>
            </w:r>
            <w:r>
              <w:rPr>
                <w:rFonts w:ascii="Arial" w:cs="Arial" w:eastAsia="Arial" w:hAnsi="Arial"/>
                <w:sz w:val="24"/>
                <w:szCs w:val="24"/>
                <w:color w:val="auto"/>
                <w:vertAlign w:val="superscript"/>
              </w:rPr>
              <w:t>(1)</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(27,075)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(23,989)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(77,860)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(70,805)</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Gain on sale of building</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780" w:type="dxa"/>
            <w:vAlign w:val="bottom"/>
          </w:tcPr>
          <w:p>
            <w:pPr>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(4,627)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(4,755)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(14,331)</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Asset impairment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w:t>
            </w:r>
          </w:p>
        </w:tc>
      </w:tr>
      <w:tr>
        <w:trPr>
          <w:trHeight w:val="216"/>
        </w:trPr>
        <w:tc>
          <w:tcPr>
            <w:tcW w:w="4780" w:type="dxa"/>
            <w:vAlign w:val="bottom"/>
          </w:tcPr>
          <w:p>
            <w:pPr>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1,942</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16"/>
        </w:trPr>
        <w:tc>
          <w:tcPr>
            <w:tcW w:w="4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benefit</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w:t>
            </w: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9,995</w:t>
            </w:r>
          </w:p>
        </w:tc>
      </w:tr>
      <w:tr>
        <w:trPr>
          <w:trHeight w:val="183"/>
        </w:trPr>
        <w:tc>
          <w:tcPr>
            <w:tcW w:w="47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(6,894)</w:t>
            </w:r>
          </w:p>
        </w:tc>
        <w:tc>
          <w:tcPr>
            <w:tcW w:w="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(7,152)</w:t>
            </w: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(2,205)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(28,991)</w:t>
            </w:r>
          </w:p>
        </w:tc>
      </w:tr>
      <w:tr>
        <w:trPr>
          <w:trHeight w:val="20"/>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660" w:firstLine="8"/>
        <w:spacing w:after="0" w:line="247" w:lineRule="auto"/>
        <w:tabs>
          <w:tab w:leader="none" w:pos="193" w:val="left"/>
        </w:tabs>
        <w:numPr>
          <w:ilvl w:val="0"/>
          <w:numId w:val="15"/>
        </w:numPr>
        <w:rPr>
          <w:rFonts w:ascii="Arial" w:cs="Arial" w:eastAsia="Arial" w:hAnsi="Arial"/>
          <w:sz w:val="22"/>
          <w:szCs w:val="22"/>
          <w:color w:val="auto"/>
          <w:vertAlign w:val="superscript"/>
        </w:rPr>
      </w:pPr>
      <w:r>
        <w:rPr>
          <w:rFonts w:ascii="Arial" w:cs="Arial" w:eastAsia="Arial" w:hAnsi="Arial"/>
          <w:sz w:val="15"/>
          <w:szCs w:val="15"/>
          <w:color w:val="auto"/>
        </w:rPr>
        <w:t>Other segment expenses represent other store, corporate and distribution center expenses including utilities, repairs, supplies, insurance, professional fees and other miscellaneous fees.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48"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as defined in the Private Securities Litigation Reform Act of 1995,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“believe,” “anticipate,” “project,” “plan,” “expect,” “estimate,” “objective,” “forecast,” “goal,” “intend,” “could,” “will likely result,” or “will continue” 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spacing w:after="0" w:line="195"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The factors that may result in actual results differing from such forward-looking information include, but are not limited to: uncertainties relating to general economic conditions, including inflation, energy and fuel costs, unemployment levels, and any deterioration whether caused by acts of war, terrorism, political or social unrest (including any resulting store closures, damage or loss of inventory) or other factors; changes in market interest rates and market levels of wages; the imposition of new taxes on imports, new tariffs and changes in existing tariff rates; the imposition of new trade restrictions and changes in existing trade restrictions; impact of natural disasters such as hurricanes; uncertainty and economic impact of pandemics, epidemics or other public health emergencies; transportation and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distribution delays or interruptions; changes in freight rates; the Company’s ability to attract and retain workers; the Company’s ability to negotiate effectively the cost and purchase of merchandise; inventory risks due to shifts in market demand; the Company’s ability to gauge fashion trends and changing consumer preferences; consumer confidence and changes in consumer spending patterns; competition within the industry; competition in our markets; the duration and extent of any economic stimulus programs; changes in product mix; interruptions in suppliers’ businesses; risks related to cybersecurity, data privacy and intellectual property; temporary changes in demand due to weather patterns; seasonality of the Company’s business; the results of pending or threatened litigation; delays associated with building, opening, remodeling and operating new stores; delays associated with building, opening or expanding new or existing distribution centers; and other factors described in the section titled “Item 1A. Risk Factors” and elsewhere in the Company’s Annual Report on Form 10-K for the fiscal year ended February 1, 2025 and in Part II, “Item 1A. Risk Factors” and elsewhere in the Company’s Quarterly Reports on Form 10-Q and any amendments thereto and in the other documents the Company files with the SEC, including reports on Form 8-K.</w:t>
      </w:r>
    </w:p>
    <w:p>
      <w:pPr>
        <w:spacing w:after="0" w:line="200" w:lineRule="exact"/>
        <w:rPr>
          <w:sz w:val="20"/>
          <w:szCs w:val="20"/>
          <w:color w:val="auto"/>
        </w:rPr>
      </w:pPr>
    </w:p>
    <w:p>
      <w:pPr>
        <w:spacing w:after="0" w:line="201"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Readers are cautioned not to place undue reliance on these forward-looking statements, which speak only as of the date of this Form 10-Q. 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235"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We are a highly differentiated off-price value retailer known for trendy fashions, great brands and amazing prices. We offer culturally relevant fashion – what we call “Cultural Cachet” – in apparel, accessories and home trends primarily for African American families in the United States. We curate a three-tiered mix of products featuring well-known brands, core products and opening price goods, with intermittent extreme value deals. Our core product styles are curated trend-right, high quality, value for the price. We offer an assortment of opening price products for the price conscious customer; all sold at competitive prices. Plus, for the treasure hunters, we often have “extreme value” product deals on well-known branded product at 50% to 75% off the manufacturer’s suggested retail price. Consumer insights research validates that our unique culturally relevant styling, and strong value for the price, fosters deep customer loyalty and high shopping frequency in the neighborhoods in which we operate.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1, 2025, we operated 593 stores in urban, suburban and rural markets in 33 states.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Uncertainties and Challenges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Economic Conditions</w:t>
      </w:r>
    </w:p>
    <w:p>
      <w:pPr>
        <w:spacing w:after="0" w:line="23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We are monitoring trends in general economic conditions including inflation, tariffs, and changes in consumer sentiment. We also regularly monitor the impacts on our business of unemployment levels, wage inflation, interest rates, inflation rates, housing costs, energy costs, consumer confidence, consumer perception of economic conditions, costs to source our merchandise and supply chain disruptions.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Seasonality and Weather Patterns</w:t>
      </w:r>
    </w:p>
    <w:p>
      <w:pPr>
        <w:spacing w:after="0" w:line="23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nature of our business is seasonal. Historically, sales in the first and fourth quarters have been higher than sales achieved in the second and third quarters of the fiscal year. In addition, sales of clothing are directly impacted by the timing of the seasons to which the clothing relates. While we have expanded our product offerings to balance discretionary with non-discretionary product, traffic to our stores is still influenced by weather patterns to some extent.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235"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advertising costs.</w:t>
      </w:r>
    </w:p>
    <w:p>
      <w:pPr>
        <w:spacing w:after="0" w:line="18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following discussion contains references to fiscal years 2025 and 2024, which represent fiscal years ending or ended on January 31, 2026 and February 1, 2025, respectively. Fiscal 2025 and fiscal 2024 both have 52-week accounting periods. This discussion and analysis should be read with the unaudited condensed consolidated financial statements and the notes thereto contained in Part I, Item 1 of this Report.</w:t>
      </w:r>
    </w:p>
    <w:p>
      <w:pPr>
        <w:sectPr>
          <w:pgSz w:w="11900" w:h="16838" w:orient="portrait"/>
          <w:cols w:equalWidth="0" w:num="1">
            <w:col w:w="9920"/>
          </w:cols>
          <w:pgMar w:left="980" w:top="512"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35" w:lineRule="exact"/>
        <w:rPr>
          <w:sz w:val="20"/>
          <w:szCs w:val="20"/>
          <w:color w:val="auto"/>
        </w:rPr>
      </w:pPr>
    </w:p>
    <w:p>
      <w:pPr>
        <w:jc w:val="both"/>
        <w:ind w:right="60"/>
        <w:spacing w:after="0" w:line="292" w:lineRule="auto"/>
        <w:rPr>
          <w:sz w:val="20"/>
          <w:szCs w:val="20"/>
          <w:color w:val="auto"/>
        </w:rPr>
      </w:pPr>
      <w:r>
        <w:rPr>
          <w:rFonts w:ascii="Arial" w:cs="Arial" w:eastAsia="Arial" w:hAnsi="Arial"/>
          <w:sz w:val="16"/>
          <w:szCs w:val="16"/>
          <w:color w:val="auto"/>
        </w:rPr>
        <w:t>The following discussion of the Company’s financial performance is based on the unaudited condensed consolidated financial statements set forth herein. Expenses and, to a greater extent, operating income, vary by quarter. Results of a period shorter than a full year may not be indicative of results expected for the entire year as a result of the seasonality of our business, and the current economic uncertainty.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Operating Statistics</w:t>
      </w:r>
    </w:p>
    <w:p>
      <w:pPr>
        <w:spacing w:after="0" w:line="24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measure performance using key operating statistics. One of the main performance measures we use is comparable store sales growth. We define a comparable store as a store that has been open for at least 14 full consecutive months without closure for more than seven days within the same fiscal month. Remodeled and relocated stores are included in the comparable store sales results if the selling square footage is not changed significantly, the store is not closed for more than five days in any fiscal month and the store remains in the same trade area.</w:t>
      </w:r>
    </w:p>
    <w:p>
      <w:pPr>
        <w:spacing w:after="0" w:line="16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 In addition to sales, we measure cost of sales as a percentage of sales and store operating expenses, with a particular focus on labor, as a percentage of sales. These results translate into store level contribution, which we use to evaluate the overall performance of each individual store. Finally, we monitor corporate and distribution center expenses against budgeted amounts.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Thirteen Weeks Ended November 1, 2025 and November 2, 2024</w:t>
      </w:r>
    </w:p>
    <w:p>
      <w:pPr>
        <w:spacing w:after="0" w:line="23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$18.0 million, or 10.1%, to $197.1 million in the third quarter of 2025 from $179.1 million in the third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2024. Comparable store sales increased 10.8%, resulting in an increase of $19.1 million in sales. Net store opening and closing activity resulted in a net decrease of $1.1 million in sales.</w:t>
      </w:r>
    </w:p>
    <w:p>
      <w:pPr>
        <w:spacing w:after="0" w:line="165"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i w:val="1"/>
          <w:iCs w:val="1"/>
          <w:color w:val="auto"/>
        </w:rPr>
        <w:t xml:space="preserve">Cost of Sales (exclusive of depreciation). </w:t>
      </w:r>
      <w:r>
        <w:rPr>
          <w:rFonts w:ascii="Arial" w:cs="Arial" w:eastAsia="Arial" w:hAnsi="Arial"/>
          <w:sz w:val="16"/>
          <w:szCs w:val="16"/>
          <w:color w:val="auto"/>
        </w:rPr>
        <w:t>Cost of sales (exclusive of depreciation) increased $12.7 million, or 11.7%, to $120.5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third quarter of 2025 from $107.8 million in the third quarter of 2024. Cost of sales as a percentage of sales was 61.1% in the third quarter of 2025 and 60.2% in the third quarter of 2024. The 90 basis-point increase was primarily driven by a 50 basis points increase in markdowns, a 20 basis points increase in shrink, and a 20 basis points increase in other cost of sales. Cost of sales as a percentage of sales in the third quarter of 2024 was positively impacted by low markdowns and shrink following the second quarter of 2024 strategic inventory reset.</w:t>
      </w:r>
    </w:p>
    <w:p>
      <w:pPr>
        <w:spacing w:after="0" w:line="175" w:lineRule="exact"/>
        <w:rPr>
          <w:sz w:val="20"/>
          <w:szCs w:val="20"/>
          <w:color w:val="auto"/>
        </w:rPr>
      </w:pPr>
    </w:p>
    <w:p>
      <w:pPr>
        <w:ind w:right="300"/>
        <w:spacing w:after="0" w:line="28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$4.6 million, or 6.2%, to $79.3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third quarter of 2025 from $74.7 million in the third quarter of 2024. The increase was driven by corporate expenses (primarily incremental incentive compensation) of $2.9 million and store expenses of $1.7 million. As a percentage of sales, Selling, general and administrative expenses decreased to 40.3% in the third quarter of 2025 from 41.7% in the third quarter of 2024, primarily driven by the aforementioned items.</w:t>
      </w:r>
    </w:p>
    <w:p>
      <w:pPr>
        <w:spacing w:after="0" w:line="175"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expense decreased $0.2 million, or 2.7%, to $4.6 million in the third quarter of 2025 from $4.8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third quarter of 2024.</w:t>
      </w:r>
    </w:p>
    <w:p>
      <w:pPr>
        <w:spacing w:after="0" w:line="168"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i w:val="1"/>
          <w:iCs w:val="1"/>
          <w:color w:val="auto"/>
        </w:rPr>
        <w:t xml:space="preserve">Impairment. </w:t>
      </w:r>
      <w:r>
        <w:rPr>
          <w:rFonts w:ascii="Arial" w:cs="Arial" w:eastAsia="Arial" w:hAnsi="Arial"/>
          <w:sz w:val="16"/>
          <w:szCs w:val="16"/>
          <w:color w:val="auto"/>
        </w:rPr>
        <w:t>We did not incur any non-cash impairment expense in the third quarter of 2025. Non-cash impairment expense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underperforming stores totaled $0.6 million in the third quarter of 2024, comprised of $0.3 million for leasehold improvements and fixtures and equipment, and $0.3 million for operating lease right of use assets.</w:t>
      </w:r>
    </w:p>
    <w:p>
      <w:pPr>
        <w:spacing w:after="0" w:line="184" w:lineRule="exact"/>
        <w:rPr>
          <w:sz w:val="20"/>
          <w:szCs w:val="20"/>
          <w:color w:val="auto"/>
        </w:rPr>
      </w:pPr>
    </w:p>
    <w:p>
      <w:pPr>
        <w:jc w:val="both"/>
        <w:ind w:right="120"/>
        <w:spacing w:after="0" w:line="284" w:lineRule="auto"/>
        <w:rPr>
          <w:sz w:val="20"/>
          <w:szCs w:val="20"/>
          <w:color w:val="auto"/>
        </w:rPr>
      </w:pPr>
      <w:r>
        <w:rPr>
          <w:rFonts w:ascii="Arial" w:cs="Arial" w:eastAsia="Arial" w:hAnsi="Arial"/>
          <w:sz w:val="16"/>
          <w:szCs w:val="16"/>
          <w:i w:val="1"/>
          <w:iCs w:val="1"/>
          <w:color w:val="auto"/>
        </w:rPr>
        <w:t xml:space="preserve">Income Tax Benefit. </w:t>
      </w:r>
      <w:r>
        <w:rPr>
          <w:rFonts w:ascii="Arial" w:cs="Arial" w:eastAsia="Arial" w:hAnsi="Arial"/>
          <w:sz w:val="16"/>
          <w:szCs w:val="16"/>
          <w:color w:val="auto"/>
        </w:rPr>
        <w:t>There was no income tax benefit in the third quarter of 2025 compared to a benefit of $1.3 million in the third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2024. For the third quarter of 2025 and the third quarter of 2024, we used the annual effective tax rate to determine income tax benefit based upon interim period results.</w:t>
      </w:r>
    </w:p>
    <w:p>
      <w:pPr>
        <w:spacing w:after="0" w:line="184"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i w:val="1"/>
          <w:iCs w:val="1"/>
          <w:color w:val="auto"/>
        </w:rPr>
        <w:t xml:space="preserve">Net Income (Loss). </w:t>
      </w:r>
      <w:r>
        <w:rPr>
          <w:rFonts w:ascii="Arial" w:cs="Arial" w:eastAsia="Arial" w:hAnsi="Arial"/>
          <w:sz w:val="16"/>
          <w:szCs w:val="16"/>
          <w:color w:val="auto"/>
        </w:rPr>
        <w:t>Net loss was $6.9 million in the third quarter of 2025 compared to net loss of $7.2 million in the third quarter of 2024</w:t>
      </w:r>
      <w:r>
        <w:rPr>
          <w:rFonts w:ascii="Arial" w:cs="Arial" w:eastAsia="Arial" w:hAnsi="Arial"/>
          <w:sz w:val="16"/>
          <w:szCs w:val="16"/>
          <w:i w:val="1"/>
          <w:iCs w:val="1"/>
          <w:color w:val="auto"/>
        </w:rPr>
        <w:t xml:space="preserve"> </w:t>
      </w:r>
      <w:r>
        <w:rPr>
          <w:rFonts w:ascii="Arial" w:cs="Arial" w:eastAsia="Arial" w:hAnsi="Arial"/>
          <w:sz w:val="16"/>
          <w:szCs w:val="16"/>
          <w:color w:val="auto"/>
        </w:rPr>
        <w:t>due to the factors discussed above.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2" w:right="101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Thirty-Nine Weeks Ended November 1, 2025 and November 2, 2024</w:t>
      </w:r>
    </w:p>
    <w:p>
      <w:pPr>
        <w:spacing w:after="0" w:line="235"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$47.7 million, or 8.8%, to $589.6 million in the first thirty-nine weeks of 2025 from $541.9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of 2024. Comparable store sales increased 10.0%, resulting in an increase of $53.2 million in sales. Net store opening and closing activity resulted in a net decrease of $5.5 million in sales.</w:t>
      </w:r>
    </w:p>
    <w:p>
      <w:pPr>
        <w:spacing w:after="0" w:line="165"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 xml:space="preserve">Cost of Sales (exclusive of depreciation). </w:t>
      </w:r>
      <w:r>
        <w:rPr>
          <w:rFonts w:ascii="Arial" w:cs="Arial" w:eastAsia="Arial" w:hAnsi="Arial"/>
          <w:sz w:val="16"/>
          <w:szCs w:val="16"/>
          <w:color w:val="auto"/>
        </w:rPr>
        <w:t>Cost of sales (exclusive of depreciation) increased $13.2 million, or 3.8%, to $356.9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thirty-nine weeks of 2025 from $343.7 million in the same period of 2024. Cost of sales as a percentage of sales decreased to 60.5% in the first thirty-nine weeks of 2025 from 63.4% in the same period of 2024. The 290 basis-point decrease was driven by a 150 basis points decrease in markdowns, an 80 basis points decrease in shrink, and a 60 basis points decrease in other cost of sales.</w:t>
      </w:r>
    </w:p>
    <w:p>
      <w:pPr>
        <w:spacing w:after="0" w:line="185"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$10.4 million, or 4.7%, to $233.1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first thirty-nine weeks of 2025 from $222.7 million in the same period of 2024. The increase was primarily driven by store expenses of $3.8 million, distribution center costs of $2.7 million, and corporate expenses (primarily incentive compensation) of $3.9 million. As a percentage of sales, Selling, general and administrative expenses decreased to 39.5% in the first thirty-nine weeks of 2025 from 41.1% in the first thirty-nine weeks of 2024, due to the aforementioned items.</w:t>
      </w:r>
    </w:p>
    <w:p>
      <w:pPr>
        <w:spacing w:after="0" w:line="176"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expense decreased $0.8 million, or 5.5%, to $13.5 million in the first thirty-nine weeks of 2025 from $14.3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same period last year primarily due to the sale of the corporate office building.</w:t>
      </w:r>
    </w:p>
    <w:p>
      <w:pPr>
        <w:spacing w:after="0" w:line="142"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i w:val="1"/>
          <w:iCs w:val="1"/>
          <w:color w:val="auto"/>
        </w:rPr>
        <w:t xml:space="preserve">Impairment. </w:t>
      </w:r>
      <w:r>
        <w:rPr>
          <w:rFonts w:ascii="Arial" w:cs="Arial" w:eastAsia="Arial" w:hAnsi="Arial"/>
          <w:sz w:val="16"/>
          <w:szCs w:val="16"/>
          <w:color w:val="auto"/>
        </w:rPr>
        <w:t>Non-cash impairment expense related to underperforming stores totaled $0.3 million in the first thirty-nine weeks of 2025,</w:t>
      </w:r>
      <w:r>
        <w:rPr>
          <w:rFonts w:ascii="Arial" w:cs="Arial" w:eastAsia="Arial" w:hAnsi="Arial"/>
          <w:sz w:val="16"/>
          <w:szCs w:val="16"/>
          <w:i w:val="1"/>
          <w:iCs w:val="1"/>
          <w:color w:val="auto"/>
        </w:rPr>
        <w:t xml:space="preserve"> </w:t>
      </w:r>
      <w:r>
        <w:rPr>
          <w:rFonts w:ascii="Arial" w:cs="Arial" w:eastAsia="Arial" w:hAnsi="Arial"/>
          <w:sz w:val="16"/>
          <w:szCs w:val="16"/>
          <w:color w:val="auto"/>
        </w:rPr>
        <w:t>comprised of $0.2 million for leasehold improvements and fixtures and equipment, and $0.1 million for operating lease right of use assets. Non-cash impairment expense related to underperforming stores totaled $1.8 million in the first thirty-nine weeks of 2024, comprised of $0.9 million for leasehold improvements and fixtures and equipment, and $0.9 million for operating lease right of use assets.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Gain on sale of building. </w:t>
      </w:r>
      <w:r>
        <w:rPr>
          <w:rFonts w:ascii="Arial" w:cs="Arial" w:eastAsia="Arial" w:hAnsi="Arial"/>
          <w:sz w:val="16"/>
          <w:szCs w:val="16"/>
          <w:color w:val="auto"/>
        </w:rPr>
        <w:t>Gain on sale of the corporate office building was $11.0 million in the first thirty-nine weeks of 2025.</w:t>
      </w:r>
    </w:p>
    <w:p>
      <w:pPr>
        <w:spacing w:after="0" w:line="235"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i w:val="1"/>
          <w:iCs w:val="1"/>
          <w:color w:val="auto"/>
        </w:rPr>
        <w:t xml:space="preserve">Income Tax Benefit. </w:t>
      </w:r>
      <w:r>
        <w:rPr>
          <w:rFonts w:ascii="Arial" w:cs="Arial" w:eastAsia="Arial" w:hAnsi="Arial"/>
          <w:sz w:val="16"/>
          <w:szCs w:val="16"/>
          <w:color w:val="auto"/>
        </w:rPr>
        <w:t>There was no income tax benefit in the first thirty-nine weeks of 2025 compared to $10.0 million in the first thirty-nine</w:t>
      </w:r>
      <w:r>
        <w:rPr>
          <w:rFonts w:ascii="Arial" w:cs="Arial" w:eastAsia="Arial" w:hAnsi="Arial"/>
          <w:sz w:val="16"/>
          <w:szCs w:val="16"/>
          <w:i w:val="1"/>
          <w:iCs w:val="1"/>
          <w:color w:val="auto"/>
        </w:rPr>
        <w:t xml:space="preserve"> </w:t>
      </w:r>
      <w:r>
        <w:rPr>
          <w:rFonts w:ascii="Arial" w:cs="Arial" w:eastAsia="Arial" w:hAnsi="Arial"/>
          <w:sz w:val="16"/>
          <w:szCs w:val="16"/>
          <w:color w:val="auto"/>
        </w:rPr>
        <w:t>weeks of 2024. We used the annual effective tax rate to determine income tax benefit based upon interim period results.</w:t>
      </w:r>
    </w:p>
    <w:p>
      <w:pPr>
        <w:spacing w:after="0" w:line="168"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i w:val="1"/>
          <w:iCs w:val="1"/>
          <w:color w:val="auto"/>
        </w:rPr>
        <w:t xml:space="preserve">Net Income (Loss). </w:t>
      </w:r>
      <w:r>
        <w:rPr>
          <w:rFonts w:ascii="Arial" w:cs="Arial" w:eastAsia="Arial" w:hAnsi="Arial"/>
          <w:sz w:val="16"/>
          <w:szCs w:val="16"/>
          <w:color w:val="auto"/>
        </w:rPr>
        <w:t>Net loss was $2.2 million in the first thirty-nine weeks of 2025 compared to net loss of $29.0 million in the same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of 2024 due to the factors discussed above.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Allocation</w:t>
      </w:r>
    </w:p>
    <w:p>
      <w:pPr>
        <w:spacing w:after="0" w:line="13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Our capital allocation strategy is to maintain adequate liquidity to prioritize investments in opportunities to profitably grow our business and maintain current operations, then to return excess cash to stockholders through our repurchase programs. Our quarter-end cash and cash equivalents balance was $51.1 million compared to cash and cash equivalents of $38.9 million at the end of the third quarter last year.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Until required for other purposes, we maintain cash and cash equivalents in deposit or money market accounts.</w:t>
      </w:r>
    </w:p>
    <w:p>
      <w:pPr>
        <w:spacing w:after="0" w:line="235"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Our principal sources of liquidity consist of: (i) cash and cash equivalents on hand; (ii) short-term trade credit arising from customary payment terms and trade practices with our vendors; (iii) cash generated from operations on an ongoing basis; and (iv) a revolving credit facility with a $75 million credit commitment.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Our quarter-end inventory balance was $123.5 million, down 3.1% compared to $127.5 million at the end of the third quarter last year.</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Expenditures</w:t>
      </w:r>
    </w:p>
    <w:p>
      <w:pPr>
        <w:spacing w:after="0" w:line="13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Capital expenditures in the first thirty-nine weeks of 2025 were $15.5 million, an increase of $7.9 million over the first thirty-nine weeks of 2024, as we increased our investments in new stores and remodels. We anticipate capital expenditures in fiscal 2025 to be approximately 23 million, primarily for the opening of three new stores and remodeling existing stores, combined with ongoing investments in our systems.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w:t>
      </w:r>
    </w:p>
    <w:p>
      <w:pPr>
        <w:spacing w:after="0" w:line="233"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In the first thirty-nine weeks of fiscal 2025, we returned $6.3 million to stockholders through share repurchases. See Part II, Item 2 of this Report and Note 8 to the Financial Statements for more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Revolving Credit Facility</w:t>
      </w:r>
    </w:p>
    <w:p>
      <w:pPr>
        <w:spacing w:after="0" w:line="233"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We have a revolving credit facility that matures in April 2030 and provides a $75 million credit commitment and a $25 million uncommitted “accordion” feature. Additional details of the credit facility are in Note 4 to the Financial Statements. At the end of the third quarter of 2025, we had no borrowings under the credit facility and $2.2 million in letters of credit outstanding.</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48" w:lineRule="exact"/>
        <w:rPr>
          <w:sz w:val="20"/>
          <w:szCs w:val="20"/>
          <w:color w:val="auto"/>
        </w:rPr>
      </w:pPr>
    </w:p>
    <w:p>
      <w:pPr>
        <w:spacing w:after="0" w:line="278" w:lineRule="auto"/>
        <w:rPr>
          <w:sz w:val="20"/>
          <w:szCs w:val="20"/>
          <w:color w:val="auto"/>
        </w:rPr>
      </w:pPr>
      <w:r>
        <w:rPr>
          <w:rFonts w:ascii="Arial" w:cs="Arial" w:eastAsia="Arial" w:hAnsi="Arial"/>
          <w:sz w:val="16"/>
          <w:szCs w:val="16"/>
          <w:i w:val="1"/>
          <w:iCs w:val="1"/>
          <w:color w:val="auto"/>
        </w:rPr>
        <w:t>Cash Flows From Operating Activities</w:t>
      </w:r>
      <w:r>
        <w:rPr>
          <w:rFonts w:ascii="Arial" w:cs="Arial" w:eastAsia="Arial" w:hAnsi="Arial"/>
          <w:sz w:val="16"/>
          <w:szCs w:val="16"/>
          <w:color w:val="auto"/>
        </w:rPr>
        <w:t>. Net cash provided by operating activities was $1.5 million in the first thirty-nine weeks of 2025</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net cash used in operating activities of $32.3 million in the same period of 2024. Significant sources of cash for the first thirty-nine weeks of 2025 included net loss adjusted for non-cash items totaling $40.4 million (compared to net loss adjusted for non-cash items of $16.1 million in the first thirty-nine weeks of 2024) and an increase in accrued compensation of $7.5 million in the first thirty-nine weeks of 2025 (compared to an increase of $2.9 million in the first thirty-nine weeks of 2024).</w:t>
      </w:r>
    </w:p>
    <w:p>
      <w:pPr>
        <w:spacing w:after="0" w:line="190"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Significant uses of cash from operating activities in the first thirty-nine weeks of 2025 included (1) a $37.0 million decrease in accrued expenses and other long-term liabilities (compared to a $35.9 million decrease in the first thirty-nine weeks of 2024) due primarily to payments of operating lease liabilities; (2) a $5.9 million increase in prepaid and other current assets (compared to a $2.3 million dollar increase in the first thirty-nine weeks of 2024); and (3) a $5.1 million decrease in accounts payable (compared to a $17.9 million increase in the same period last year).</w:t>
      </w:r>
    </w:p>
    <w:p>
      <w:pPr>
        <w:spacing w:after="0" w:line="176"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i w:val="1"/>
          <w:iCs w:val="1"/>
          <w:color w:val="auto"/>
        </w:rPr>
        <w:t xml:space="preserve">Cash Flows From Investing Activities. </w:t>
      </w:r>
      <w:r>
        <w:rPr>
          <w:rFonts w:ascii="Arial" w:cs="Arial" w:eastAsia="Arial" w:hAnsi="Arial"/>
          <w:sz w:val="16"/>
          <w:szCs w:val="16"/>
          <w:color w:val="auto"/>
        </w:rPr>
        <w:t>Cash used in investing activities was $4.3 million in the first thirty-nine weeks of 2025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$7.6 million in the same period last year. Source of cash of $11.2 million in the first thirty-nine weeks of 2025 was from the sale of a building. Cash used of $15.5 million in the first thirty-nine weeks of fiscal 2025 and $7.6 million in the first thirty-nine weeks of fiscal 2024 consisted of purchases of property and equipment.</w:t>
      </w:r>
    </w:p>
    <w:p>
      <w:pPr>
        <w:spacing w:after="0" w:line="185"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i w:val="1"/>
          <w:iCs w:val="1"/>
          <w:color w:val="auto"/>
        </w:rPr>
        <w:t xml:space="preserve">Cash Flows From Financing Activities. </w:t>
      </w:r>
      <w:r>
        <w:rPr>
          <w:rFonts w:ascii="Arial" w:cs="Arial" w:eastAsia="Arial" w:hAnsi="Arial"/>
          <w:sz w:val="16"/>
          <w:szCs w:val="16"/>
          <w:color w:val="auto"/>
        </w:rPr>
        <w:t>Cash used in financing activities was $7.1 million in the first thirty-nine weeks of 2025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$0.9 million in the same period last year. Cash used in the first thirty-nine weeks of fiscal 2025 was $0.8 million to settle withholding taxes on the vesting of restricted stock and $6.3 million for share repurchases, compared to $0.9 million used in the first thirty-nine weeks of fiscal 2024 to settle withholding taxes on the vesting of restricted stock.</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Requirements and Commitments</w:t>
      </w:r>
    </w:p>
    <w:p>
      <w:pPr>
        <w:spacing w:after="0" w:line="248"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Our principal cash requirements consist of (1) inventory purchases; (2) capital expenditures to invest in our infrastructure; and (3) operational needs, including salaries, occupancy costs, taxes and other operating costs. We may also use cash to fund any share repurchases, make any required debt payments and satisfy other contractual obligations. Historically, we have met these cash requirements using cash flow from operations and short-term trade credit. As of November 1, 2025, our contractual commitments for operating leases totaled $218.0 million (with $64.1 million due within 12 months). See Note 11 to the Financial Statements for more information regarding lease commitments.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35" w:lineRule="exact"/>
        <w:rPr>
          <w:sz w:val="20"/>
          <w:szCs w:val="20"/>
          <w:color w:val="auto"/>
        </w:rPr>
      </w:pPr>
    </w:p>
    <w:p>
      <w:pPr>
        <w:ind w:right="320"/>
        <w:spacing w:after="0" w:line="283" w:lineRule="auto"/>
        <w:rPr>
          <w:sz w:val="20"/>
          <w:szCs w:val="20"/>
          <w:color w:val="auto"/>
        </w:rPr>
      </w:pPr>
      <w:r>
        <w:rPr>
          <w:rFonts w:ascii="Arial" w:cs="Arial" w:eastAsia="Arial" w:hAnsi="Arial"/>
          <w:sz w:val="16"/>
          <w:szCs w:val="16"/>
          <w:color w:val="auto"/>
        </w:rPr>
        <w:t>The preparation of our condensed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ectPr>
          <w:pgSz w:w="11900" w:h="16838" w:orient="portrait"/>
          <w:cols w:equalWidth="0" w:num="1">
            <w:col w:w="9900"/>
          </w:cols>
          <w:pgMar w:left="980" w:top="512"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2" w:right="10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There have been no material changes to the Critical Accounting Policies outlined in our Annual Report on Form 10-K for the fiscal year ended February 1, 2025.</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35" w:lineRule="exact"/>
        <w:rPr>
          <w:sz w:val="20"/>
          <w:szCs w:val="20"/>
          <w:color w:val="auto"/>
        </w:rPr>
      </w:pPr>
    </w:p>
    <w:p>
      <w:pPr>
        <w:ind w:right="760"/>
        <w:spacing w:after="0" w:line="326" w:lineRule="auto"/>
        <w:rPr>
          <w:sz w:val="20"/>
          <w:szCs w:val="20"/>
          <w:color w:val="auto"/>
        </w:rPr>
      </w:pPr>
      <w:r>
        <w:rPr>
          <w:rFonts w:ascii="Arial" w:cs="Arial" w:eastAsia="Arial" w:hAnsi="Arial"/>
          <w:sz w:val="16"/>
          <w:szCs w:val="16"/>
          <w:color w:val="auto"/>
        </w:rPr>
        <w:t>There have been no material changes in our market risk during the thirty-nine weeks ended November 1, 2025 compared to the disclosures in Part II, Item 7A of our Annual Report on Form 10-K for the fiscal year ended February 1, 2025</w:t>
      </w:r>
      <w:r>
        <w:rPr>
          <w:rFonts w:ascii="Arial" w:cs="Arial" w:eastAsia="Arial" w:hAnsi="Arial"/>
          <w:sz w:val="17"/>
          <w:szCs w:val="17"/>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3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the principal executive officer and the principal financial officer, of the effectiveness of the design and operation of our disclosure controls and procedures as of November 1, 2025 pursuant to Rules 13a-15 and 15d-15 of the Exchange Act. Based on that evaluation, the principal executive officer and the principal financial officer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96" w:lineRule="exact"/>
        <w:rPr>
          <w:sz w:val="20"/>
          <w:szCs w:val="20"/>
          <w:color w:val="auto"/>
        </w:rPr>
      </w:pPr>
    </w:p>
    <w:p>
      <w:pPr>
        <w:ind w:right="280"/>
        <w:spacing w:after="0" w:line="284" w:lineRule="auto"/>
        <w:rPr>
          <w:sz w:val="20"/>
          <w:szCs w:val="20"/>
          <w:color w:val="auto"/>
        </w:rPr>
      </w:pPr>
      <w:r>
        <w:rPr>
          <w:rFonts w:ascii="Arial" w:cs="Arial" w:eastAsia="Arial" w:hAnsi="Arial"/>
          <w:sz w:val="16"/>
          <w:szCs w:val="16"/>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84"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There were no changes in our internal control over financial reporting that occurred during the fiscal quarter ended November 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2" w:right="101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4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are from time to time involved in various legal proceedings incidental to the conduct of our business, including claims by customers, landlords,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48"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There have been no material changes to the Risk Factors described under the section “ITEM 1A. RISK FACTORS” in our Annual Report on Form 10-K for the fiscal year ended February 1, 2025.</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Information on Share Repurchases</w:t>
      </w:r>
    </w:p>
    <w:p>
      <w:pPr>
        <w:spacing w:after="0" w:line="246" w:lineRule="exact"/>
        <w:rPr>
          <w:sz w:val="20"/>
          <w:szCs w:val="20"/>
          <w:color w:val="auto"/>
        </w:rPr>
      </w:pPr>
    </w:p>
    <w:p>
      <w:pPr>
        <w:ind w:right="660"/>
        <w:spacing w:after="0" w:line="304" w:lineRule="auto"/>
        <w:rPr>
          <w:sz w:val="20"/>
          <w:szCs w:val="20"/>
          <w:color w:val="auto"/>
        </w:rPr>
      </w:pPr>
      <w:r>
        <w:rPr>
          <w:rFonts w:ascii="Arial" w:cs="Arial" w:eastAsia="Arial" w:hAnsi="Arial"/>
          <w:sz w:val="16"/>
          <w:szCs w:val="16"/>
          <w:color w:val="auto"/>
        </w:rPr>
        <w:t>The Company did not repurchase any shares in the third quarter of 2025. At November 1, 2025, $40.0 million remained under the Company’s stock repurchase authorization.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316" w:lineRule="exact"/>
        <w:rPr>
          <w:sz w:val="20"/>
          <w:szCs w:val="20"/>
          <w:color w:val="auto"/>
        </w:rPr>
      </w:pPr>
    </w:p>
    <w:p>
      <w:pPr>
        <w:ind w:left="840" w:right="200" w:hanging="836"/>
        <w:spacing w:after="0" w:line="339" w:lineRule="auto"/>
        <w:tabs>
          <w:tab w:leader="none" w:pos="820" w:val="left"/>
        </w:tabs>
        <w:rPr>
          <w:rFonts w:ascii="Arial" w:cs="Arial" w:eastAsia="Arial" w:hAnsi="Arial"/>
          <w:sz w:val="16"/>
          <w:szCs w:val="16"/>
          <w:color w:val="0000EE"/>
        </w:rPr>
      </w:pPr>
      <w:r>
        <w:rPr>
          <w:rFonts w:ascii="Arial" w:cs="Arial" w:eastAsia="Arial" w:hAnsi="Arial"/>
          <w:sz w:val="16"/>
          <w:szCs w:val="16"/>
          <w:color w:val="auto"/>
        </w:rPr>
        <w:t>3.1</w:t>
      </w:r>
      <w:r>
        <w:rPr>
          <w:sz w:val="20"/>
          <w:szCs w:val="20"/>
          <w:color w:val="auto"/>
        </w:rPr>
        <w:tab/>
      </w:r>
      <w:hyperlink r:id="rId29">
        <w:r>
          <w:rPr>
            <w:rFonts w:ascii="Arial" w:cs="Arial" w:eastAsia="Arial" w:hAnsi="Arial"/>
            <w:sz w:val="16"/>
            <w:szCs w:val="16"/>
            <w:u w:val="single" w:color="auto"/>
            <w:color w:val="0000EE"/>
          </w:rPr>
          <w:t>Third Amended and Restated Certificate of Incorporation (incorporated by reference to Exhibit 3.1 to the Company’s Current</w:t>
        </w:r>
      </w:hyperlink>
      <w:r>
        <w:rPr>
          <w:rFonts w:ascii="Arial" w:cs="Arial" w:eastAsia="Arial" w:hAnsi="Arial"/>
          <w:sz w:val="16"/>
          <w:szCs w:val="16"/>
          <w:u w:val="single" w:color="auto"/>
          <w:color w:val="0000EE"/>
        </w:rPr>
        <w:t xml:space="preserve"> </w:t>
      </w:r>
      <w:hyperlink r:id="rId29">
        <w:r>
          <w:rPr>
            <w:rFonts w:ascii="Arial" w:cs="Arial" w:eastAsia="Arial" w:hAnsi="Arial"/>
            <w:sz w:val="16"/>
            <w:szCs w:val="16"/>
            <w:u w:val="single" w:color="auto"/>
            <w:color w:val="0000EE"/>
          </w:rPr>
          <w:t>Report on Form 8-K filed with the SEC on June 7, 2018)</w:t>
        </w:r>
        <w:r>
          <w:rPr>
            <w:rFonts w:ascii="Arial" w:cs="Arial" w:eastAsia="Arial" w:hAnsi="Arial"/>
            <w:sz w:val="16"/>
            <w:szCs w:val="16"/>
            <w:color w:val="000000"/>
          </w:rPr>
          <w:t>.</w:t>
        </w:r>
      </w:hyperlink>
    </w:p>
    <w:p>
      <w:pPr>
        <w:spacing w:after="0" w:line="74" w:lineRule="exact"/>
        <w:rPr>
          <w:sz w:val="20"/>
          <w:szCs w:val="20"/>
          <w:color w:val="auto"/>
        </w:rPr>
      </w:pPr>
    </w:p>
    <w:p>
      <w:pPr>
        <w:ind w:left="840" w:hanging="836"/>
        <w:spacing w:after="0" w:line="339" w:lineRule="auto"/>
        <w:tabs>
          <w:tab w:leader="none" w:pos="820" w:val="left"/>
        </w:tabs>
        <w:rPr>
          <w:rFonts w:ascii="Arial" w:cs="Arial" w:eastAsia="Arial" w:hAnsi="Arial"/>
          <w:sz w:val="16"/>
          <w:szCs w:val="16"/>
          <w:u w:val="single" w:color="auto"/>
          <w:color w:val="0000EE"/>
        </w:rPr>
      </w:pPr>
      <w:r>
        <w:rPr>
          <w:rFonts w:ascii="Arial" w:cs="Arial" w:eastAsia="Arial" w:hAnsi="Arial"/>
          <w:sz w:val="16"/>
          <w:szCs w:val="16"/>
          <w:color w:val="auto"/>
        </w:rPr>
        <w:t>3.2</w:t>
      </w:r>
      <w:r>
        <w:rPr>
          <w:sz w:val="20"/>
          <w:szCs w:val="20"/>
          <w:color w:val="auto"/>
        </w:rPr>
        <w:tab/>
      </w:r>
      <w:hyperlink r:id="rId30">
        <w:r>
          <w:rPr>
            <w:rFonts w:ascii="Arial" w:cs="Arial" w:eastAsia="Arial" w:hAnsi="Arial"/>
            <w:sz w:val="16"/>
            <w:szCs w:val="16"/>
            <w:u w:val="single" w:color="auto"/>
            <w:color w:val="0000EE"/>
          </w:rPr>
          <w:t>Fourth Amended and Restated Bylaws (incorporated by reference to Exhibit 3.2 to the Company’s Current Report on Form 8-K</w:t>
        </w:r>
      </w:hyperlink>
      <w:r>
        <w:rPr>
          <w:rFonts w:ascii="Arial" w:cs="Arial" w:eastAsia="Arial" w:hAnsi="Arial"/>
          <w:sz w:val="16"/>
          <w:szCs w:val="16"/>
          <w:u w:val="single" w:color="auto"/>
          <w:color w:val="0000EE"/>
        </w:rPr>
        <w:t xml:space="preserve"> </w:t>
      </w:r>
      <w:hyperlink r:id="rId30">
        <w:r>
          <w:rPr>
            <w:rFonts w:ascii="Arial" w:cs="Arial" w:eastAsia="Arial" w:hAnsi="Arial"/>
            <w:sz w:val="16"/>
            <w:szCs w:val="16"/>
            <w:u w:val="single" w:color="auto"/>
            <w:color w:val="0000EE"/>
          </w:rPr>
          <w:t>filed with the SEC on October 31, 2022).</w:t>
        </w:r>
      </w:hyperlink>
    </w:p>
    <w:p>
      <w:pPr>
        <w:spacing w:after="0" w:line="74" w:lineRule="exact"/>
        <w:rPr>
          <w:sz w:val="20"/>
          <w:szCs w:val="20"/>
          <w:color w:val="auto"/>
        </w:rPr>
      </w:pPr>
    </w:p>
    <w:p>
      <w:pPr>
        <w:ind w:left="840" w:right="540" w:hanging="836"/>
        <w:spacing w:after="0" w:line="339" w:lineRule="auto"/>
        <w:tabs>
          <w:tab w:leader="none" w:pos="82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u w:val="single" w:color="auto"/>
          <w:color w:val="0000EE"/>
        </w:rPr>
        <w:t>Certification of Principal Executive Officer, Pursuant to Rule 13a-14(a) of the Securities Exchange Act of 1934, Adopted Pursuant to Section 302 of the Sarbanes-Oxley Act of 2002</w:t>
      </w:r>
      <w:r>
        <w:rPr>
          <w:rFonts w:ascii="Arial" w:cs="Arial" w:eastAsia="Arial" w:hAnsi="Arial"/>
          <w:sz w:val="16"/>
          <w:szCs w:val="16"/>
          <w:color w:val="000000"/>
        </w:rPr>
        <w:t>.+</w:t>
      </w:r>
    </w:p>
    <w:p>
      <w:pPr>
        <w:spacing w:after="0" w:line="74" w:lineRule="exact"/>
        <w:rPr>
          <w:sz w:val="20"/>
          <w:szCs w:val="20"/>
          <w:color w:val="auto"/>
        </w:rPr>
      </w:pPr>
    </w:p>
    <w:p>
      <w:pPr>
        <w:ind w:left="840" w:right="600" w:hanging="836"/>
        <w:spacing w:after="0" w:line="339" w:lineRule="auto"/>
        <w:tabs>
          <w:tab w:leader="none" w:pos="82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u w:val="single" w:color="auto"/>
          <w:color w:val="0000EE"/>
        </w:rPr>
        <w:t>Certification of Principal Financial Officer, Pursuant to Rule 13a-14(a) of the Securities Exchange Act of 1934, Adopted Pursuant to Section 302 of the Sarbanes-Oxley Act of 2002.</w:t>
      </w:r>
      <w:r>
        <w:rPr>
          <w:rFonts w:ascii="Arial" w:cs="Arial" w:eastAsia="Arial" w:hAnsi="Arial"/>
          <w:sz w:val="16"/>
          <w:szCs w:val="16"/>
          <w:color w:val="000000"/>
        </w:rPr>
        <w:t>+</w:t>
      </w:r>
    </w:p>
    <w:p>
      <w:pPr>
        <w:spacing w:after="0" w:line="74"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u w:val="single" w:color="auto"/>
          <w:color w:val="0000EE"/>
        </w:rPr>
        <w:t>Certifications Pursuant to 18 U.S.C. Section 1350, as adopted pursuant to Section 906 of the Sarbanes-Oxley Act of 2002.+†</w:t>
      </w:r>
    </w:p>
    <w:p>
      <w:pPr>
        <w:spacing w:after="0" w:line="181" w:lineRule="exact"/>
        <w:rPr>
          <w:sz w:val="20"/>
          <w:szCs w:val="20"/>
          <w:color w:val="auto"/>
        </w:rPr>
      </w:pPr>
    </w:p>
    <w:p>
      <w:pPr>
        <w:ind w:left="840" w:right="340" w:hanging="831"/>
        <w:spacing w:after="0" w:line="339" w:lineRule="auto"/>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Inline XBRL Document Set for the condensed consolidated financial statements and accompanying notes in Part I, Item 1, “Financial Statements” of this Quarterly Report on Form 10-Q.+</w:t>
      </w:r>
    </w:p>
    <w:p>
      <w:pPr>
        <w:spacing w:after="0" w:line="74" w:lineRule="exact"/>
        <w:rPr>
          <w:sz w:val="20"/>
          <w:szCs w:val="20"/>
          <w:color w:val="auto"/>
        </w:rPr>
      </w:pPr>
    </w:p>
    <w:p>
      <w:pPr>
        <w:ind w:left="840" w:right="420" w:hanging="831"/>
        <w:spacing w:after="0" w:line="339" w:lineRule="auto"/>
        <w:tabs>
          <w:tab w:leader="none" w:pos="8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Inline XBRL for the cover page of this Quarterly Report on Form 10-Q, included in the Exhibit 101 Inline XBRL Document Set.+</w:t>
      </w:r>
    </w:p>
    <w:p>
      <w:pPr>
        <w:spacing w:after="0" w:line="155" w:lineRule="exact"/>
        <w:rPr>
          <w:rFonts w:ascii="Arial" w:cs="Arial" w:eastAsia="Arial" w:hAnsi="Arial"/>
          <w:sz w:val="16"/>
          <w:szCs w:val="16"/>
          <w:color w:val="auto"/>
        </w:rPr>
      </w:pPr>
    </w:p>
    <w:p>
      <w:pPr>
        <w:ind w:left="380" w:hanging="372"/>
        <w:spacing w:after="0"/>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-193040</wp:posOffset>
            </wp:positionV>
            <wp:extent cx="15684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07"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Pursuant to Securities and Exchange Commission Release No. 33-8238, this certification will be treated as “accompanying” this</w:t>
      </w:r>
    </w:p>
    <w:p>
      <w:pPr>
        <w:spacing w:after="0" w:line="21" w:lineRule="exact"/>
        <w:rPr>
          <w:rFonts w:ascii="Arial" w:cs="Arial" w:eastAsia="Arial" w:hAnsi="Arial"/>
          <w:sz w:val="16"/>
          <w:szCs w:val="16"/>
          <w:color w:val="auto"/>
        </w:rPr>
      </w:pPr>
    </w:p>
    <w:p>
      <w:pPr>
        <w:ind w:right="40"/>
        <w:spacing w:after="0" w:line="252" w:lineRule="auto"/>
        <w:rPr>
          <w:rFonts w:ascii="Arial" w:cs="Arial" w:eastAsia="Arial" w:hAnsi="Arial"/>
          <w:sz w:val="16"/>
          <w:szCs w:val="16"/>
          <w:color w:val="auto"/>
        </w:rPr>
      </w:pPr>
      <w:r>
        <w:rPr>
          <w:rFonts w:ascii="Arial" w:cs="Arial" w:eastAsia="Arial" w:hAnsi="Arial"/>
          <w:sz w:val="16"/>
          <w:szCs w:val="16"/>
          <w:color w:val="auto"/>
        </w:rPr>
        <w:t>Quarterly Report on Form 10-Q and not “filed” 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35" w:lineRule="exact"/>
        <w:rPr>
          <w:sz w:val="20"/>
          <w:szCs w:val="20"/>
          <w:color w:val="auto"/>
        </w:rPr>
      </w:pPr>
    </w:p>
    <w:p>
      <w:pPr>
        <w:ind w:right="100" w:firstLine="648"/>
        <w:spacing w:after="0" w:line="29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 and the undersigned also has signed this report in her capacity as the Registrant’s Chief Financial Officer (Principal Financial Officer).</w:t>
      </w:r>
    </w:p>
    <w:p>
      <w:pPr>
        <w:spacing w:after="0" w:line="200" w:lineRule="exact"/>
        <w:rPr>
          <w:sz w:val="20"/>
          <w:szCs w:val="20"/>
          <w:color w:val="auto"/>
        </w:rPr>
      </w:pPr>
    </w:p>
    <w:p>
      <w:pPr>
        <w:spacing w:after="0" w:line="235"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CITI TRENDS, INC.</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Date: December 10, 2025</w:t>
      </w:r>
    </w:p>
    <w:p>
      <w:pPr>
        <w:spacing w:after="0" w:line="356" w:lineRule="exact"/>
        <w:rPr>
          <w:sz w:val="20"/>
          <w:szCs w:val="20"/>
          <w:color w:val="auto"/>
        </w:rPr>
      </w:pPr>
    </w:p>
    <w:tbl>
      <w:tblPr>
        <w:tblLayout w:type="fixed"/>
        <w:tblInd w:w="4980" w:type="dxa"/>
        <w:tblCellMar>
          <w:top w:w="0" w:type="dxa"/>
          <w:left w:w="0" w:type="dxa"/>
          <w:bottom w:w="0" w:type="dxa"/>
          <w:right w:w="0" w:type="dxa"/>
        </w:tblCellMar>
      </w:tblPr>
      <w:tr>
        <w:trPr>
          <w:trHeight w:val="215"/>
        </w:trPr>
        <w:tc>
          <w:tcPr>
            <w:tcW w:w="72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Pr>
          <w:p>
            <w:pPr>
              <w:spacing w:after="0"/>
              <w:rPr>
                <w:sz w:val="20"/>
                <w:szCs w:val="20"/>
                <w:color w:val="auto"/>
              </w:rPr>
            </w:pPr>
            <w:r>
              <w:rPr>
                <w:rFonts w:ascii="Arial" w:cs="Arial" w:eastAsia="Arial" w:hAnsi="Arial"/>
                <w:sz w:val="16"/>
                <w:szCs w:val="16"/>
                <w:color w:val="auto"/>
              </w:rPr>
              <w:t>/s/ Heather Plutino</w:t>
            </w:r>
          </w:p>
        </w:tc>
        <w:tc>
          <w:tcPr>
            <w:tcW w:w="0" w:type="dxa"/>
            <w:vAlign w:val="bottom"/>
          </w:tcPr>
          <w:p>
            <w:pPr>
              <w:spacing w:after="0"/>
              <w:rPr>
                <w:sz w:val="1"/>
                <w:szCs w:val="1"/>
                <w:color w:val="auto"/>
              </w:rPr>
            </w:pPr>
          </w:p>
        </w:tc>
      </w:tr>
      <w:tr>
        <w:trPr>
          <w:trHeight w:val="56"/>
        </w:trPr>
        <w:tc>
          <w:tcPr>
            <w:tcW w:w="72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4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7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Heather Plutino</w:t>
            </w:r>
          </w:p>
        </w:tc>
        <w:tc>
          <w:tcPr>
            <w:tcW w:w="0" w:type="dxa"/>
            <w:vAlign w:val="bottom"/>
          </w:tcPr>
          <w:p>
            <w:pPr>
              <w:spacing w:after="0"/>
              <w:rPr>
                <w:sz w:val="1"/>
                <w:szCs w:val="1"/>
                <w:color w:val="auto"/>
              </w:rPr>
            </w:pPr>
          </w:p>
        </w:tc>
      </w:tr>
      <w:tr>
        <w:trPr>
          <w:trHeight w:val="269"/>
        </w:trPr>
        <w:tc>
          <w:tcPr>
            <w:tcW w:w="720" w:type="dxa"/>
            <w:vAlign w:val="bottom"/>
          </w:tcPr>
          <w:p>
            <w:pPr>
              <w:spacing w:after="0"/>
              <w:rPr>
                <w:sz w:val="20"/>
                <w:szCs w:val="20"/>
                <w:color w:val="auto"/>
              </w:rPr>
            </w:pPr>
            <w:r>
              <w:rPr>
                <w:rFonts w:ascii="Arial" w:cs="Arial" w:eastAsia="Arial" w:hAnsi="Arial"/>
                <w:sz w:val="16"/>
                <w:szCs w:val="16"/>
                <w:color w:val="auto"/>
              </w:rPr>
              <w:t>Title:</w:t>
            </w:r>
          </w:p>
        </w:tc>
        <w:tc>
          <w:tcPr>
            <w:tcW w:w="422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20" w:name="page21"/>
    <w:bookmarkEnd w:id="20"/>
    <w:p>
      <w:pPr>
        <w:jc w:val="right"/>
        <w:spacing w:after="0"/>
        <w:rPr>
          <w:sz w:val="20"/>
          <w:szCs w:val="20"/>
          <w:color w:val="auto"/>
        </w:rPr>
      </w:pPr>
      <w:r>
        <w:rPr>
          <w:rFonts w:ascii="Arial" w:cs="Arial" w:eastAsia="Arial" w:hAnsi="Arial"/>
          <w:sz w:val="16"/>
          <w:szCs w:val="16"/>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Kenneth D. Seipel, certify that:</w:t>
      </w:r>
    </w:p>
    <w:p>
      <w:pPr>
        <w:spacing w:after="0" w:line="20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November 1, 2025 of Citi Trends, Inc.;</w:t>
      </w:r>
    </w:p>
    <w:p>
      <w:pPr>
        <w:spacing w:after="0" w:line="194" w:lineRule="exact"/>
        <w:rPr>
          <w:rFonts w:ascii="Arial" w:cs="Arial" w:eastAsia="Arial" w:hAnsi="Arial"/>
          <w:sz w:val="16"/>
          <w:szCs w:val="16"/>
          <w:color w:val="auto"/>
        </w:rPr>
      </w:pPr>
    </w:p>
    <w:p>
      <w:pPr>
        <w:ind w:left="660" w:right="140" w:hanging="652"/>
        <w:spacing w:after="0" w:line="26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6"/>
          <w:szCs w:val="16"/>
          <w:color w:val="auto"/>
        </w:rPr>
      </w:pPr>
    </w:p>
    <w:p>
      <w:pPr>
        <w:ind w:left="660" w:right="460" w:hanging="652"/>
        <w:spacing w:after="0" w:line="275"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6"/>
          <w:szCs w:val="16"/>
          <w:color w:val="auto"/>
        </w:rPr>
      </w:pPr>
    </w:p>
    <w:p>
      <w:pPr>
        <w:ind w:left="1300" w:right="160" w:hanging="644"/>
        <w:spacing w:after="0" w:line="259"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300" w:right="160" w:hanging="644"/>
        <w:spacing w:after="0" w:line="266"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6"/>
          <w:szCs w:val="16"/>
          <w:color w:val="auto"/>
        </w:rPr>
      </w:pPr>
    </w:p>
    <w:p>
      <w:pPr>
        <w:ind w:left="1300" w:right="240" w:hanging="644"/>
        <w:spacing w:after="0" w:line="275"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300" w:hanging="644"/>
        <w:spacing w:after="0" w:line="275"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660" w:right="40" w:hanging="652"/>
        <w:spacing w:after="0" w:line="26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jc w:val="both"/>
        <w:ind w:left="1300" w:right="80" w:hanging="644"/>
        <w:spacing w:after="0" w:line="275"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300" w:right="380" w:hanging="644"/>
        <w:spacing w:after="0" w:line="304"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Date: December 10, 2025</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231F20"/>
        </w:rPr>
        <w:t>/s/ Kenneth D. Seipel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31F20"/>
        </w:rPr>
        <w:t>Kenneth D. Seipel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33775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231F20"/>
        </w:rPr>
        <w:t>Chief Executive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(Principal Executive Officer) and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493395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1" w:name="page22"/>
    <w:bookmarkEnd w:id="21"/>
    <w:p>
      <w:pPr>
        <w:jc w:val="right"/>
        <w:spacing w:after="0"/>
        <w:rPr>
          <w:sz w:val="20"/>
          <w:szCs w:val="20"/>
          <w:color w:val="auto"/>
        </w:rPr>
      </w:pPr>
      <w:r>
        <w:rPr>
          <w:rFonts w:ascii="Arial" w:cs="Arial" w:eastAsia="Arial" w:hAnsi="Arial"/>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Heather Plutino, certify that:</w:t>
      </w:r>
    </w:p>
    <w:p>
      <w:pPr>
        <w:spacing w:after="0" w:line="208"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November 1, 2025 of Citi Trends, Inc.</w:t>
      </w:r>
    </w:p>
    <w:p>
      <w:pPr>
        <w:spacing w:after="0" w:line="194" w:lineRule="exact"/>
        <w:rPr>
          <w:rFonts w:ascii="Arial" w:cs="Arial" w:eastAsia="Arial" w:hAnsi="Arial"/>
          <w:sz w:val="16"/>
          <w:szCs w:val="16"/>
          <w:color w:val="auto"/>
        </w:rPr>
      </w:pPr>
    </w:p>
    <w:p>
      <w:pPr>
        <w:ind w:left="660" w:right="140" w:hanging="652"/>
        <w:spacing w:after="0" w:line="266"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6"/>
          <w:szCs w:val="16"/>
          <w:color w:val="auto"/>
        </w:rPr>
      </w:pPr>
    </w:p>
    <w:p>
      <w:pPr>
        <w:ind w:left="660" w:right="460" w:hanging="652"/>
        <w:spacing w:after="0" w:line="275"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6"/>
          <w:szCs w:val="16"/>
          <w:color w:val="auto"/>
        </w:rPr>
      </w:pPr>
    </w:p>
    <w:p>
      <w:pPr>
        <w:ind w:left="1300" w:right="160" w:hanging="644"/>
        <w:spacing w:after="0" w:line="259"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300" w:right="160" w:hanging="644"/>
        <w:spacing w:after="0" w:line="266"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6"/>
          <w:szCs w:val="16"/>
          <w:color w:val="auto"/>
        </w:rPr>
      </w:pPr>
    </w:p>
    <w:p>
      <w:pPr>
        <w:ind w:left="1300" w:right="240" w:hanging="644"/>
        <w:spacing w:after="0" w:line="275"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300" w:hanging="644"/>
        <w:spacing w:after="0" w:line="275"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660" w:right="40" w:hanging="652"/>
        <w:spacing w:after="0" w:line="266"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jc w:val="both"/>
        <w:ind w:left="1300" w:right="80" w:hanging="644"/>
        <w:spacing w:after="0" w:line="275"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300" w:right="380" w:hanging="644"/>
        <w:spacing w:after="0" w:line="304"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Date: December 10, 2025</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/s/ </w:t>
      </w:r>
      <w:r>
        <w:rPr>
          <w:rFonts w:ascii="Arial" w:cs="Arial" w:eastAsia="Arial" w:hAnsi="Arial"/>
          <w:sz w:val="16"/>
          <w:szCs w:val="16"/>
          <w:color w:val="000000"/>
        </w:rPr>
        <w:t>Heather Plutino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Heather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33775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231F20"/>
        </w:rPr>
        <w:t>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493395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2" w:name="page23"/>
    <w:bookmarkEnd w:id="22"/>
    <w:p>
      <w:pPr>
        <w:jc w:val="right"/>
        <w:ind w:right="59"/>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Certifications pursuant to Section 906 of the Sarbanes-Oxley Act of 2002 (18 U.S.C. § 1350, as adopted).</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Kenneth D. Seipel, Chief Executive Officer of Citi Trends, Inc.,</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Heather Plutino, Chief Financial officer of Citi Trends, Inc., certify that:</w:t>
      </w:r>
    </w:p>
    <w:p>
      <w:pPr>
        <w:spacing w:after="0" w:line="208" w:lineRule="exact"/>
        <w:rPr>
          <w:sz w:val="20"/>
          <w:szCs w:val="20"/>
          <w:color w:val="auto"/>
        </w:rPr>
      </w:pPr>
    </w:p>
    <w:p>
      <w:pPr>
        <w:ind w:left="220" w:hanging="176"/>
        <w:spacing w:after="0"/>
        <w:tabs>
          <w:tab w:leader="none" w:pos="2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have reviewed this quarterly report on Form 10-Q of Citi Trends, Inc. for the period ended November 1, 2025;</w:t>
      </w:r>
    </w:p>
    <w:p>
      <w:pPr>
        <w:spacing w:after="0" w:line="194" w:lineRule="exact"/>
        <w:rPr>
          <w:rFonts w:ascii="Arial" w:cs="Arial" w:eastAsia="Arial" w:hAnsi="Arial"/>
          <w:sz w:val="16"/>
          <w:szCs w:val="16"/>
          <w:color w:val="auto"/>
        </w:rPr>
      </w:pPr>
    </w:p>
    <w:p>
      <w:pPr>
        <w:ind w:left="40" w:right="79" w:firstLine="4"/>
        <w:spacing w:after="0" w:line="286" w:lineRule="auto"/>
        <w:tabs>
          <w:tab w:leader="none" w:pos="2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our knowledge, this quarterly report fully complies with the requirements of Section 13(a) or Section 15(d) of the Securities Exchange Act of 1934, as amended; and</w:t>
      </w:r>
    </w:p>
    <w:p>
      <w:pPr>
        <w:spacing w:after="0" w:line="142" w:lineRule="exact"/>
        <w:rPr>
          <w:rFonts w:ascii="Arial" w:cs="Arial" w:eastAsia="Arial" w:hAnsi="Arial"/>
          <w:sz w:val="16"/>
          <w:szCs w:val="16"/>
          <w:color w:val="auto"/>
        </w:rPr>
      </w:pPr>
    </w:p>
    <w:p>
      <w:pPr>
        <w:jc w:val="both"/>
        <w:ind w:left="40" w:right="139" w:firstLine="4"/>
        <w:spacing w:after="0" w:line="275" w:lineRule="auto"/>
        <w:tabs>
          <w:tab w:leader="none" w:pos="2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Date: December 10, 2025</w:t>
      </w:r>
    </w:p>
    <w:p>
      <w:pPr>
        <w:spacing w:after="0" w:line="397"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 xml:space="preserve">/s/ </w:t>
      </w:r>
      <w:r>
        <w:rPr>
          <w:rFonts w:ascii="Arial" w:cs="Arial" w:eastAsia="Arial" w:hAnsi="Arial"/>
          <w:sz w:val="16"/>
          <w:szCs w:val="16"/>
          <w:color w:val="000000"/>
        </w:rPr>
        <w:t>Kenneth D. Seipel</w:t>
      </w:r>
    </w:p>
    <w:p>
      <w:pPr>
        <w:spacing w:after="0" w:line="32"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Kenneth D. Seipel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-115570</wp:posOffset>
            </wp:positionV>
            <wp:extent cx="29832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1"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Chief Executive Officer</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(Principal Executive Officer) and Chairman</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Date: December 10, 2025</w:t>
      </w:r>
    </w:p>
    <w:p>
      <w:pPr>
        <w:spacing w:after="0" w:line="397"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 xml:space="preserve">/s/ </w:t>
      </w:r>
      <w:r>
        <w:rPr>
          <w:rFonts w:ascii="Arial" w:cs="Arial" w:eastAsia="Arial" w:hAnsi="Arial"/>
          <w:sz w:val="16"/>
          <w:szCs w:val="16"/>
          <w:color w:val="000000"/>
        </w:rPr>
        <w:t>Heather Plutino</w:t>
      </w:r>
    </w:p>
    <w:p>
      <w:pPr>
        <w:spacing w:after="0" w:line="32"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Heather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-115570</wp:posOffset>
            </wp:positionV>
            <wp:extent cx="29832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1"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Chief Financial Officer</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(Principal Financial Officer)</w:t>
      </w:r>
    </w:p>
    <w:p>
      <w:pPr>
        <w:spacing w:after="0" w:line="398" w:lineRule="exact"/>
        <w:rPr>
          <w:sz w:val="20"/>
          <w:szCs w:val="20"/>
          <w:color w:val="auto"/>
        </w:rPr>
      </w:pPr>
    </w:p>
    <w:p>
      <w:pPr>
        <w:ind w:left="40" w:right="99"/>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313690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5"/>
    </w:lvl>
  </w:abstractNum>
  <w:abstractNum w:abstractNumId="7">
    <w:nsid w:val="7FDCC233"/>
    <w:multiLevelType w:val="hybridMultilevel"/>
    <w:lvl w:ilvl="0">
      <w:lvlJc w:val="left"/>
      <w:lvlText w:val="%1."/>
      <w:numFmt w:val="decimal"/>
      <w:start w:val="6"/>
    </w:lvl>
  </w:abstractNum>
  <w:abstractNum w:abstractNumId="8">
    <w:nsid w:val="1BEFD79F"/>
    <w:multiLevelType w:val="hybridMultilevel"/>
    <w:lvl w:ilvl="0">
      <w:lvlJc w:val="left"/>
      <w:lvlText w:val="%1."/>
      <w:numFmt w:val="decimal"/>
      <w:start w:val="7"/>
    </w:lvl>
  </w:abstractNum>
  <w:abstractNum w:abstractNumId="9">
    <w:nsid w:val="41A7C4C9"/>
    <w:multiLevelType w:val="hybridMultilevel"/>
    <w:lvl w:ilvl="0">
      <w:lvlJc w:val="left"/>
      <w:lvlText w:val="%1."/>
      <w:numFmt w:val="decimal"/>
      <w:start w:val="8"/>
    </w:lvl>
  </w:abstractNum>
  <w:abstractNum w:abstractNumId="10">
    <w:nsid w:val="6B68079A"/>
    <w:multiLevelType w:val="hybridMultilevel"/>
    <w:lvl w:ilvl="0">
      <w:lvlJc w:val="left"/>
      <w:lvlText w:val="%1."/>
      <w:numFmt w:val="decimal"/>
      <w:start w:val="9"/>
    </w:lvl>
  </w:abstractNum>
  <w:abstractNum w:abstractNumId="11">
    <w:nsid w:val="4E6AFB66"/>
    <w:multiLevelType w:val="hybridMultilevel"/>
    <w:lvl w:ilvl="0">
      <w:lvlJc w:val="left"/>
      <w:lvlText w:val="%1."/>
      <w:numFmt w:val="decimal"/>
      <w:start w:val="10"/>
    </w:lvl>
  </w:abstractNum>
  <w:abstractNum w:abstractNumId="12">
    <w:nsid w:val="25E45D32"/>
    <w:multiLevelType w:val="hybridMultilevel"/>
    <w:lvl w:ilvl="0">
      <w:lvlJc w:val="left"/>
      <w:lvlText w:val="%1."/>
      <w:numFmt w:val="decimal"/>
      <w:start w:val="1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01"/>
    </w:lvl>
  </w:abstractNum>
  <w:abstractNum w:abstractNumId="16">
    <w:nsid w:val="7C83E458"/>
    <w:multiLevelType w:val="hybridMultilevel"/>
    <w:lvl w:ilvl="0">
      <w:lvlJc w:val="left"/>
      <w:lvlText w:val="+"/>
      <w:numFmt w:val="bullet"/>
      <w:start w:val="1"/>
    </w:lvl>
    <w:lvl w:ilvl="1">
      <w:lvlJc w:val="left"/>
      <w:lvlText w:val="%2"/>
      <w:numFmt w:val="decimal"/>
      <w:start w:val="104"/>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29" Type="http://schemas.openxmlformats.org/officeDocument/2006/relationships/hyperlink" Target="http://www.sec.gov/Archives/edgar/data/1318484/000110465918038871/a18-15022_1ex3d1.htm" TargetMode="External"/><Relationship Id="rId30" Type="http://schemas.openxmlformats.org/officeDocument/2006/relationships/hyperlink" Target="https://www.sec.gov/Archives/edgar/data/1318484/000110465922113020/tm2229093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2025-12-10T16:37:28Z</dcterms:created>
  <dcterms:modified xsi:type="dcterms:W3CDTF">2025-12-10T16:37:28Z</dcterms:modified>
</cp:coreProperties>
</file>