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alibri" w:cs="Calibri" w:eastAsia="Calibri" w:hAnsi="Calibri"/>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306705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349250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26"/>
          <w:szCs w:val="26"/>
          <w:b w:val="1"/>
          <w:bCs w:val="1"/>
          <w:color w:val="auto"/>
        </w:rPr>
        <w:t>SECURITIES AND EXCHANGE COMMISSION</w:t>
      </w:r>
    </w:p>
    <w:p>
      <w:pPr>
        <w:spacing w:after="0" w:line="20"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Washington, D.C. 20549</w:t>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FORM 10-K</w:t>
      </w:r>
    </w:p>
    <w:p>
      <w:pPr>
        <w:spacing w:after="0" w:line="83" w:lineRule="exact"/>
        <w:rPr>
          <w:sz w:val="24"/>
          <w:szCs w:val="24"/>
          <w:color w:val="auto"/>
        </w:rPr>
      </w:pPr>
    </w:p>
    <w:p>
      <w:pPr>
        <w:ind w:left="270" w:hanging="270"/>
        <w:spacing w:after="0"/>
        <w:tabs>
          <w:tab w:leader="none" w:pos="27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53"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For the fiscal year ended February 1, 2025</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30"/>
          </w:cols>
          <w:pgMar w:left="830" w:top="666" w:right="839" w:bottom="1440" w:gutter="0" w:footer="0" w:header="0"/>
        </w:sectPr>
      </w:pPr>
    </w:p>
    <w:p>
      <w:pPr>
        <w:spacing w:after="0" w:line="53" w:lineRule="exact"/>
        <w:rPr>
          <w:sz w:val="24"/>
          <w:szCs w:val="24"/>
          <w:color w:val="auto"/>
        </w:rPr>
      </w:pPr>
    </w:p>
    <w:p>
      <w:pPr>
        <w:ind w:left="365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54" w:lineRule="exact"/>
        <w:rPr>
          <w:sz w:val="24"/>
          <w:szCs w:val="24"/>
          <w:color w:val="auto"/>
        </w:rPr>
      </w:pPr>
    </w:p>
    <w:p>
      <w:pPr>
        <w:sectPr>
          <w:pgSz w:w="11900" w:h="16838" w:orient="portrait"/>
          <w:cols w:equalWidth="0" w:num="2">
            <w:col w:w="5430" w:space="560"/>
            <w:col w:w="4240"/>
          </w:cols>
          <w:pgMar w:left="830" w:top="666" w:right="839" w:bottom="1440" w:gutter="0" w:footer="0" w:header="0"/>
          <w:type w:val="continuous"/>
        </w:sectPr>
      </w:pPr>
    </w:p>
    <w:p>
      <w:pPr>
        <w:jc w:val="center"/>
        <w:ind w:right="10"/>
        <w:spacing w:after="0"/>
        <w:rPr>
          <w:sz w:val="20"/>
          <w:szCs w:val="20"/>
          <w:color w:val="auto"/>
        </w:rPr>
      </w:pPr>
      <w:r>
        <w:rPr>
          <w:rFonts w:ascii="Arial" w:cs="Arial" w:eastAsia="Arial" w:hAnsi="Arial"/>
          <w:sz w:val="12"/>
          <w:szCs w:val="12"/>
          <w:b w:val="1"/>
          <w:bCs w:val="1"/>
          <w:color w:val="auto"/>
        </w:rPr>
        <w:t>Commission File Number: 001-41886</w:t>
      </w:r>
    </w:p>
    <w:p>
      <w:pPr>
        <w:sectPr>
          <w:pgSz w:w="11900" w:h="16838" w:orient="portrait"/>
          <w:cols w:equalWidth="0" w:num="1">
            <w:col w:w="10230"/>
          </w:cols>
          <w:pgMar w:left="830" w:top="666" w:right="839" w:bottom="1440" w:gutter="0" w:footer="0" w:header="0"/>
          <w:type w:val="continuous"/>
        </w:sectPr>
      </w:pPr>
    </w:p>
    <w:p>
      <w:pPr>
        <w:spacing w:after="0" w:line="67"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CITI TRENDS, INC.</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13"/>
          <w:szCs w:val="13"/>
          <w:color w:val="auto"/>
        </w:rPr>
        <w:t>(Exact name of registrant as specified in its charter)</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420" w:type="dxa"/>
            <w:vAlign w:val="bottom"/>
          </w:tcPr>
          <w:p>
            <w:pPr>
              <w:jc w:val="center"/>
              <w:ind w:left="1597"/>
              <w:spacing w:after="0"/>
              <w:rPr>
                <w:sz w:val="20"/>
                <w:szCs w:val="20"/>
                <w:color w:val="auto"/>
              </w:rPr>
            </w:pPr>
            <w:r>
              <w:rPr>
                <w:rFonts w:ascii="Arial" w:cs="Arial" w:eastAsia="Arial" w:hAnsi="Arial"/>
                <w:sz w:val="13"/>
                <w:szCs w:val="13"/>
                <w:b w:val="1"/>
                <w:bCs w:val="1"/>
                <w:color w:val="auto"/>
                <w:w w:val="98"/>
              </w:rPr>
              <w:t>Delaware</w:t>
            </w:r>
          </w:p>
        </w:tc>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jc w:val="right"/>
              <w:ind w:right="2077"/>
              <w:spacing w:after="0"/>
              <w:rPr>
                <w:sz w:val="20"/>
                <w:szCs w:val="20"/>
                <w:color w:val="auto"/>
              </w:rPr>
            </w:pPr>
            <w:r>
              <w:rPr>
                <w:rFonts w:ascii="Arial" w:cs="Arial" w:eastAsia="Arial" w:hAnsi="Arial"/>
                <w:sz w:val="13"/>
                <w:szCs w:val="13"/>
                <w:b w:val="1"/>
                <w:bCs w:val="1"/>
                <w:color w:val="auto"/>
              </w:rPr>
              <w:t>52-2150697</w:t>
            </w:r>
          </w:p>
        </w:tc>
      </w:tr>
      <w:tr>
        <w:trPr>
          <w:trHeight w:val="162"/>
        </w:trPr>
        <w:tc>
          <w:tcPr>
            <w:tcW w:w="3420" w:type="dxa"/>
            <w:vAlign w:val="bottom"/>
          </w:tcPr>
          <w:p>
            <w:pPr>
              <w:jc w:val="center"/>
              <w:ind w:left="1617"/>
              <w:spacing w:after="0"/>
              <w:rPr>
                <w:sz w:val="20"/>
                <w:szCs w:val="20"/>
                <w:color w:val="auto"/>
              </w:rPr>
            </w:pPr>
            <w:r>
              <w:rPr>
                <w:rFonts w:ascii="Arial" w:cs="Arial" w:eastAsia="Arial" w:hAnsi="Arial"/>
                <w:sz w:val="13"/>
                <w:szCs w:val="13"/>
                <w:color w:val="auto"/>
                <w:w w:val="97"/>
              </w:rPr>
              <w:t>(State or other jurisdiction of</w:t>
            </w:r>
          </w:p>
        </w:tc>
        <w:tc>
          <w:tcPr>
            <w:tcW w:w="3160" w:type="dxa"/>
            <w:vAlign w:val="bottom"/>
          </w:tcPr>
          <w:p>
            <w:pPr>
              <w:spacing w:after="0"/>
              <w:rPr>
                <w:sz w:val="14"/>
                <w:szCs w:val="14"/>
                <w:color w:val="auto"/>
              </w:rPr>
            </w:pPr>
          </w:p>
        </w:tc>
        <w:tc>
          <w:tcPr>
            <w:tcW w:w="3640" w:type="dxa"/>
            <w:vAlign w:val="bottom"/>
            <w:gridSpan w:val="3"/>
          </w:tcPr>
          <w:p>
            <w:pPr>
              <w:jc w:val="center"/>
              <w:ind w:right="1237"/>
              <w:spacing w:after="0"/>
              <w:rPr>
                <w:sz w:val="20"/>
                <w:szCs w:val="20"/>
                <w:color w:val="auto"/>
              </w:rPr>
            </w:pPr>
            <w:r>
              <w:rPr>
                <w:rFonts w:ascii="Arial" w:cs="Arial" w:eastAsia="Arial" w:hAnsi="Arial"/>
                <w:sz w:val="13"/>
                <w:szCs w:val="13"/>
                <w:color w:val="auto"/>
                <w:w w:val="96"/>
              </w:rPr>
              <w:t>(I.R.S. Employer Identification No.)</w:t>
            </w:r>
          </w:p>
        </w:tc>
      </w:tr>
      <w:tr>
        <w:trPr>
          <w:trHeight w:val="166"/>
        </w:trPr>
        <w:tc>
          <w:tcPr>
            <w:tcW w:w="3420" w:type="dxa"/>
            <w:vAlign w:val="bottom"/>
          </w:tcPr>
          <w:p>
            <w:pPr>
              <w:jc w:val="center"/>
              <w:ind w:left="1597"/>
              <w:spacing w:after="0"/>
              <w:rPr>
                <w:sz w:val="20"/>
                <w:szCs w:val="20"/>
                <w:color w:val="auto"/>
              </w:rPr>
            </w:pPr>
            <w:r>
              <w:rPr>
                <w:rFonts w:ascii="Arial" w:cs="Arial" w:eastAsia="Arial" w:hAnsi="Arial"/>
                <w:sz w:val="13"/>
                <w:szCs w:val="13"/>
                <w:color w:val="auto"/>
                <w:w w:val="96"/>
              </w:rPr>
              <w:t>incorporation or organization)</w:t>
            </w: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253"/>
        </w:trPr>
        <w:tc>
          <w:tcPr>
            <w:tcW w:w="6580" w:type="dxa"/>
            <w:vAlign w:val="bottom"/>
            <w:gridSpan w:val="2"/>
          </w:tcPr>
          <w:p>
            <w:pPr>
              <w:jc w:val="center"/>
              <w:ind w:right="1437"/>
              <w:spacing w:after="0"/>
              <w:rPr>
                <w:sz w:val="20"/>
                <w:szCs w:val="20"/>
                <w:color w:val="auto"/>
              </w:rPr>
            </w:pPr>
            <w:r>
              <w:rPr>
                <w:rFonts w:ascii="Arial" w:cs="Arial" w:eastAsia="Arial" w:hAnsi="Arial"/>
                <w:sz w:val="13"/>
                <w:szCs w:val="13"/>
                <w:b w:val="1"/>
                <w:bCs w:val="1"/>
                <w:color w:val="auto"/>
                <w:w w:val="96"/>
              </w:rPr>
              <w:t>104 Coleman Boulevard, Savannah, Georgia</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tcPr>
          <w:p>
            <w:pPr>
              <w:jc w:val="right"/>
              <w:ind w:right="2237"/>
              <w:spacing w:after="0"/>
              <w:rPr>
                <w:sz w:val="20"/>
                <w:szCs w:val="20"/>
                <w:color w:val="auto"/>
              </w:rPr>
            </w:pPr>
            <w:r>
              <w:rPr>
                <w:rFonts w:ascii="Arial" w:cs="Arial" w:eastAsia="Arial" w:hAnsi="Arial"/>
                <w:sz w:val="13"/>
                <w:szCs w:val="13"/>
                <w:b w:val="1"/>
                <w:bCs w:val="1"/>
                <w:color w:val="auto"/>
              </w:rPr>
              <w:t>31408</w:t>
            </w:r>
          </w:p>
        </w:tc>
      </w:tr>
      <w:tr>
        <w:trPr>
          <w:trHeight w:val="166"/>
        </w:trPr>
        <w:tc>
          <w:tcPr>
            <w:tcW w:w="6580" w:type="dxa"/>
            <w:vAlign w:val="bottom"/>
            <w:gridSpan w:val="2"/>
          </w:tcPr>
          <w:p>
            <w:pPr>
              <w:jc w:val="center"/>
              <w:ind w:right="1437"/>
              <w:spacing w:after="0"/>
              <w:rPr>
                <w:sz w:val="20"/>
                <w:szCs w:val="20"/>
                <w:color w:val="auto"/>
              </w:rPr>
            </w:pPr>
            <w:r>
              <w:rPr>
                <w:rFonts w:ascii="Arial" w:cs="Arial" w:eastAsia="Arial" w:hAnsi="Arial"/>
                <w:sz w:val="13"/>
                <w:szCs w:val="13"/>
                <w:color w:val="auto"/>
                <w:w w:val="97"/>
              </w:rPr>
              <w:t>(Address of principal executive offices)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jc w:val="center"/>
              <w:ind w:right="1777"/>
              <w:spacing w:after="0"/>
              <w:rPr>
                <w:sz w:val="20"/>
                <w:szCs w:val="20"/>
                <w:color w:val="auto"/>
              </w:rPr>
            </w:pPr>
            <w:r>
              <w:rPr>
                <w:rFonts w:ascii="Arial" w:cs="Arial" w:eastAsia="Arial" w:hAnsi="Arial"/>
                <w:sz w:val="13"/>
                <w:szCs w:val="13"/>
                <w:color w:val="auto"/>
                <w:w w:val="97"/>
              </w:rPr>
              <w:t>(Zip Code)</w:t>
            </w:r>
          </w:p>
        </w:tc>
      </w:tr>
      <w:tr>
        <w:trPr>
          <w:trHeight w:val="263"/>
        </w:trPr>
        <w:tc>
          <w:tcPr>
            <w:tcW w:w="7100" w:type="dxa"/>
            <w:vAlign w:val="bottom"/>
            <w:gridSpan w:val="4"/>
          </w:tcPr>
          <w:p>
            <w:pPr>
              <w:jc w:val="center"/>
              <w:ind w:left="3037"/>
              <w:spacing w:after="0"/>
              <w:rPr>
                <w:sz w:val="20"/>
                <w:szCs w:val="20"/>
                <w:color w:val="auto"/>
              </w:rPr>
            </w:pPr>
            <w:r>
              <w:rPr>
                <w:rFonts w:ascii="Arial" w:cs="Arial" w:eastAsia="Arial" w:hAnsi="Arial"/>
                <w:sz w:val="13"/>
                <w:szCs w:val="13"/>
                <w:color w:val="auto"/>
                <w:w w:val="97"/>
              </w:rPr>
              <w:t xml:space="preserve">Registrant’s telephone number, including area code  </w:t>
            </w:r>
            <w:r>
              <w:rPr>
                <w:rFonts w:ascii="Arial" w:cs="Arial" w:eastAsia="Arial" w:hAnsi="Arial"/>
                <w:sz w:val="13"/>
                <w:szCs w:val="13"/>
                <w:b w:val="1"/>
                <w:bCs w:val="1"/>
                <w:color w:val="auto"/>
                <w:w w:val="97"/>
              </w:rPr>
              <w:t>(912) 236-1561</w:t>
            </w:r>
          </w:p>
        </w:tc>
        <w:tc>
          <w:tcPr>
            <w:tcW w:w="3120" w:type="dxa"/>
            <w:vAlign w:val="bottom"/>
          </w:tcPr>
          <w:p>
            <w:pPr>
              <w:spacing w:after="0"/>
              <w:rPr>
                <w:sz w:val="22"/>
                <w:szCs w:val="22"/>
                <w:color w:val="auto"/>
              </w:rPr>
            </w:pPr>
          </w:p>
        </w:tc>
      </w:tr>
      <w:tr>
        <w:trPr>
          <w:trHeight w:val="197"/>
        </w:trPr>
        <w:tc>
          <w:tcPr>
            <w:tcW w:w="3420" w:type="dxa"/>
            <w:vAlign w:val="bottom"/>
          </w:tcPr>
          <w:p>
            <w:pPr>
              <w:spacing w:after="0"/>
              <w:rPr>
                <w:sz w:val="17"/>
                <w:szCs w:val="17"/>
                <w:color w:val="auto"/>
              </w:rPr>
            </w:pPr>
          </w:p>
        </w:tc>
        <w:tc>
          <w:tcPr>
            <w:tcW w:w="3680" w:type="dxa"/>
            <w:vAlign w:val="bottom"/>
            <w:gridSpan w:val="3"/>
          </w:tcPr>
          <w:p>
            <w:pPr>
              <w:jc w:val="center"/>
              <w:ind w:right="320"/>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3120" w:type="dxa"/>
            <w:vAlign w:val="bottom"/>
          </w:tcPr>
          <w:p>
            <w:pPr>
              <w:spacing w:after="0"/>
              <w:rPr>
                <w:sz w:val="17"/>
                <w:szCs w:val="17"/>
                <w:color w:val="auto"/>
              </w:rPr>
            </w:pPr>
          </w:p>
        </w:tc>
      </w:tr>
      <w:tr>
        <w:trPr>
          <w:trHeight w:val="41"/>
        </w:trPr>
        <w:tc>
          <w:tcPr>
            <w:tcW w:w="342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142"/>
        </w:trPr>
        <w:tc>
          <w:tcPr>
            <w:tcW w:w="342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Title of each class</w:t>
            </w:r>
          </w:p>
        </w:tc>
        <w:tc>
          <w:tcPr>
            <w:tcW w:w="3160" w:type="dxa"/>
            <w:vAlign w:val="bottom"/>
            <w:tcBorders>
              <w:bottom w:val="single" w:sz="8" w:color="auto"/>
            </w:tcBorders>
          </w:tcPr>
          <w:p>
            <w:pPr>
              <w:jc w:val="center"/>
              <w:ind w:left="117"/>
              <w:spacing w:after="0" w:line="142" w:lineRule="exact"/>
              <w:rPr>
                <w:sz w:val="20"/>
                <w:szCs w:val="20"/>
                <w:color w:val="auto"/>
              </w:rPr>
            </w:pPr>
            <w:r>
              <w:rPr>
                <w:rFonts w:ascii="Arial" w:cs="Arial" w:eastAsia="Arial" w:hAnsi="Arial"/>
                <w:sz w:val="13"/>
                <w:szCs w:val="13"/>
                <w:b w:val="1"/>
                <w:bCs w:val="1"/>
                <w:color w:val="auto"/>
                <w:w w:val="95"/>
              </w:rPr>
              <w:t>Trading Symbol</w:t>
            </w:r>
          </w:p>
        </w:tc>
        <w:tc>
          <w:tcPr>
            <w:tcW w:w="2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277"/>
              <w:spacing w:after="0" w:line="142" w:lineRule="exact"/>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42"/>
        </w:trPr>
        <w:tc>
          <w:tcPr>
            <w:tcW w:w="342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6"/>
              </w:rPr>
              <w:t>Common Stock, $.01 Par Value</w:t>
            </w:r>
          </w:p>
        </w:tc>
        <w:tc>
          <w:tcPr>
            <w:tcW w:w="3160" w:type="dxa"/>
            <w:vAlign w:val="bottom"/>
            <w:tcBorders>
              <w:bottom w:val="single" w:sz="8" w:color="auto"/>
            </w:tcBorders>
          </w:tcPr>
          <w:p>
            <w:pPr>
              <w:jc w:val="center"/>
              <w:ind w:left="137"/>
              <w:spacing w:after="0" w:line="142" w:lineRule="exact"/>
              <w:rPr>
                <w:sz w:val="20"/>
                <w:szCs w:val="20"/>
                <w:color w:val="auto"/>
              </w:rPr>
            </w:pPr>
            <w:r>
              <w:rPr>
                <w:rFonts w:ascii="Arial" w:cs="Arial" w:eastAsia="Arial" w:hAnsi="Arial"/>
                <w:sz w:val="13"/>
                <w:szCs w:val="13"/>
                <w:color w:val="auto"/>
                <w:w w:val="99"/>
              </w:rPr>
              <w:t>CTRN</w:t>
            </w:r>
          </w:p>
        </w:tc>
        <w:tc>
          <w:tcPr>
            <w:tcW w:w="2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257"/>
              <w:spacing w:after="0" w:line="142" w:lineRule="exact"/>
              <w:rPr>
                <w:sz w:val="20"/>
                <w:szCs w:val="20"/>
                <w:color w:val="auto"/>
              </w:rPr>
            </w:pPr>
            <w:r>
              <w:rPr>
                <w:rFonts w:ascii="Arial" w:cs="Arial" w:eastAsia="Arial" w:hAnsi="Arial"/>
                <w:sz w:val="13"/>
                <w:szCs w:val="13"/>
                <w:color w:val="auto"/>
                <w:w w:val="98"/>
              </w:rPr>
              <w:t>NASDAQ Stock Market</w:t>
            </w:r>
          </w:p>
        </w:tc>
      </w:tr>
      <w:tr>
        <w:trPr>
          <w:trHeight w:val="313"/>
        </w:trPr>
        <w:tc>
          <w:tcPr>
            <w:tcW w:w="3420" w:type="dxa"/>
            <w:vAlign w:val="bottom"/>
          </w:tcPr>
          <w:p>
            <w:pPr>
              <w:spacing w:after="0"/>
              <w:rPr>
                <w:sz w:val="24"/>
                <w:szCs w:val="24"/>
                <w:color w:val="auto"/>
              </w:rPr>
            </w:pPr>
          </w:p>
        </w:tc>
        <w:tc>
          <w:tcPr>
            <w:tcW w:w="3680" w:type="dxa"/>
            <w:vAlign w:val="bottom"/>
            <w:gridSpan w:val="3"/>
          </w:tcPr>
          <w:p>
            <w:pPr>
              <w:jc w:val="center"/>
              <w:ind w:right="320"/>
              <w:spacing w:after="0"/>
              <w:rPr>
                <w:sz w:val="20"/>
                <w:szCs w:val="20"/>
                <w:color w:val="auto"/>
              </w:rPr>
            </w:pPr>
            <w:r>
              <w:rPr>
                <w:rFonts w:ascii="Arial" w:cs="Arial" w:eastAsia="Arial" w:hAnsi="Arial"/>
                <w:sz w:val="13"/>
                <w:szCs w:val="13"/>
                <w:color w:val="auto"/>
                <w:w w:val="96"/>
              </w:rPr>
              <w:t>Securities registered pursuant to Section 12(g) of the Act:</w:t>
            </w:r>
          </w:p>
        </w:tc>
        <w:tc>
          <w:tcPr>
            <w:tcW w:w="3120" w:type="dxa"/>
            <w:vAlign w:val="bottom"/>
          </w:tcPr>
          <w:p>
            <w:pPr>
              <w:spacing w:after="0"/>
              <w:rPr>
                <w:sz w:val="24"/>
                <w:szCs w:val="24"/>
                <w:color w:val="auto"/>
              </w:rPr>
            </w:pPr>
          </w:p>
        </w:tc>
      </w:tr>
      <w:tr>
        <w:trPr>
          <w:trHeight w:val="172"/>
        </w:trPr>
        <w:tc>
          <w:tcPr>
            <w:tcW w:w="3420" w:type="dxa"/>
            <w:vAlign w:val="bottom"/>
          </w:tcPr>
          <w:p>
            <w:pPr>
              <w:spacing w:after="0"/>
              <w:rPr>
                <w:sz w:val="14"/>
                <w:szCs w:val="14"/>
                <w:color w:val="auto"/>
              </w:rPr>
            </w:pPr>
          </w:p>
        </w:tc>
        <w:tc>
          <w:tcPr>
            <w:tcW w:w="3160" w:type="dxa"/>
            <w:vAlign w:val="bottom"/>
          </w:tcPr>
          <w:p>
            <w:pPr>
              <w:jc w:val="center"/>
              <w:ind w:left="137"/>
              <w:spacing w:after="0"/>
              <w:rPr>
                <w:sz w:val="20"/>
                <w:szCs w:val="20"/>
                <w:color w:val="auto"/>
              </w:rPr>
            </w:pPr>
            <w:r>
              <w:rPr>
                <w:rFonts w:ascii="Arial" w:cs="Arial" w:eastAsia="Arial" w:hAnsi="Arial"/>
                <w:sz w:val="13"/>
                <w:szCs w:val="13"/>
                <w:b w:val="1"/>
                <w:bCs w:val="1"/>
                <w:color w:val="auto"/>
                <w:w w:val="98"/>
              </w:rPr>
              <w:t>None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218"/>
        </w:trPr>
        <w:tc>
          <w:tcPr>
            <w:tcW w:w="6580" w:type="dxa"/>
            <w:vAlign w:val="bottom"/>
            <w:gridSpan w:val="2"/>
          </w:tcPr>
          <w:p>
            <w:pPr>
              <w:spacing w:after="0"/>
              <w:rPr>
                <w:sz w:val="20"/>
                <w:szCs w:val="20"/>
                <w:color w:val="auto"/>
              </w:rPr>
            </w:pPr>
            <w:r>
              <w:rPr>
                <w:rFonts w:ascii="Arial" w:cs="Arial" w:eastAsia="Arial" w:hAnsi="Arial"/>
                <w:sz w:val="13"/>
                <w:szCs w:val="13"/>
                <w:color w:val="auto"/>
                <w:w w:val="97"/>
              </w:rPr>
              <w:t>Indicate by check mark if the registrant is a well-known seasoned issuer, as defined in Rule 405 of the Securities Act.</w:t>
            </w:r>
          </w:p>
        </w:tc>
        <w:tc>
          <w:tcPr>
            <w:tcW w:w="520" w:type="dxa"/>
            <w:vAlign w:val="bottom"/>
            <w:gridSpan w:val="2"/>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12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13"/>
        </w:trPr>
        <w:tc>
          <w:tcPr>
            <w:tcW w:w="6580" w:type="dxa"/>
            <w:vAlign w:val="bottom"/>
            <w:gridSpan w:val="2"/>
          </w:tcPr>
          <w:p>
            <w:pPr>
              <w:spacing w:after="0"/>
              <w:rPr>
                <w:sz w:val="20"/>
                <w:szCs w:val="20"/>
                <w:color w:val="auto"/>
              </w:rPr>
            </w:pPr>
            <w:r>
              <w:rPr>
                <w:rFonts w:ascii="Arial" w:cs="Arial" w:eastAsia="Arial" w:hAnsi="Arial"/>
                <w:sz w:val="13"/>
                <w:szCs w:val="13"/>
                <w:color w:val="auto"/>
                <w:w w:val="96"/>
              </w:rPr>
              <w:t>Indicate by check mark if the registrant is not required to file reports pursuant to Section 13 or Section 15(d) of the Act.</w:t>
            </w:r>
          </w:p>
        </w:tc>
        <w:tc>
          <w:tcPr>
            <w:tcW w:w="520" w:type="dxa"/>
            <w:vAlign w:val="bottom"/>
            <w:gridSpan w:val="2"/>
          </w:tcPr>
          <w:p>
            <w:pPr>
              <w:ind w:left="10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120" w:type="dxa"/>
            <w:vAlign w:val="bottom"/>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86"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ind w:left="1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28"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6" w:right="839" w:bottom="1440" w:gutter="0" w:footer="0" w:header="0"/>
          <w:type w:val="continuous"/>
        </w:sectPr>
      </w:pPr>
    </w:p>
    <w:p>
      <w:pPr>
        <w:spacing w:after="0" w:line="36" w:lineRule="exact"/>
        <w:rPr>
          <w:sz w:val="24"/>
          <w:szCs w:val="24"/>
          <w:color w:val="auto"/>
        </w:rPr>
      </w:pPr>
    </w:p>
    <w:p>
      <w:pPr>
        <w:ind w:left="1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14" w:lineRule="exact"/>
        <w:rPr>
          <w:sz w:val="20"/>
          <w:szCs w:val="20"/>
          <w:color w:val="auto"/>
        </w:rPr>
      </w:pPr>
      <w:r>
        <w:rPr>
          <w:rFonts w:ascii="MS PGothic" w:cs="MS PGothic" w:eastAsia="MS PGothic" w:hAnsi="MS PGothic"/>
          <w:sz w:val="12"/>
          <w:szCs w:val="12"/>
          <w:color w:val="auto"/>
        </w:rPr>
        <w:t>☐</w:t>
      </w:r>
    </w:p>
    <w:p>
      <w:pPr>
        <w:spacing w:after="0" w:line="87" w:lineRule="exact"/>
        <w:rPr>
          <w:sz w:val="24"/>
          <w:szCs w:val="24"/>
          <w:color w:val="auto"/>
        </w:rPr>
      </w:pPr>
    </w:p>
    <w:p>
      <w:pPr>
        <w:sectPr>
          <w:pgSz w:w="11900" w:h="16838" w:orient="portrait"/>
          <w:cols w:equalWidth="0" w:num="6">
            <w:col w:w="1250" w:space="100"/>
            <w:col w:w="1180" w:space="720"/>
            <w:col w:w="900" w:space="100"/>
            <w:col w:w="560" w:space="720"/>
            <w:col w:w="1160" w:space="60"/>
            <w:col w:w="3480"/>
          </w:cols>
          <w:pgMar w:left="830" w:top="666" w:right="839" w:bottom="1440" w:gutter="0" w:footer="0" w:header="0"/>
          <w:type w:val="continuous"/>
        </w:sectPr>
      </w:pPr>
    </w:p>
    <w:p>
      <w:pPr>
        <w:ind w:left="1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34" w:lineRule="exact"/>
        <w:rPr>
          <w:sz w:val="24"/>
          <w:szCs w:val="24"/>
          <w:color w:val="auto"/>
        </w:rPr>
      </w:pPr>
    </w:p>
    <w:p>
      <w:pPr>
        <w:sectPr>
          <w:pgSz w:w="11900" w:h="16838" w:orient="portrait"/>
          <w:cols w:equalWidth="0" w:num="4">
            <w:col w:w="1510" w:space="100"/>
            <w:col w:w="920" w:space="720"/>
            <w:col w:w="1480" w:space="120"/>
            <w:col w:w="5380"/>
          </w:cols>
          <w:pgMar w:left="830" w:top="666" w:right="839" w:bottom="1440" w:gutter="0" w:footer="0" w:header="0"/>
          <w:type w:val="continuous"/>
        </w:sectPr>
      </w:pPr>
    </w:p>
    <w:p>
      <w:pPr>
        <w:ind w:left="10" w:right="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7" w:lineRule="exact"/>
        <w:rPr>
          <w:sz w:val="24"/>
          <w:szCs w:val="24"/>
          <w:color w:val="auto"/>
        </w:rPr>
      </w:pPr>
    </w:p>
    <w:p>
      <w:pPr>
        <w:ind w:left="10" w:right="2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ind w:left="10" w:right="16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58" w:lineRule="exact"/>
        <w:rPr>
          <w:sz w:val="24"/>
          <w:szCs w:val="24"/>
          <w:color w:val="auto"/>
        </w:rPr>
      </w:pPr>
    </w:p>
    <w:p>
      <w:pPr>
        <w:ind w:left="10"/>
        <w:spacing w:after="0" w:line="150" w:lineRule="exact"/>
        <w:tabs>
          <w:tab w:leader="none" w:pos="5790" w:val="left"/>
          <w:tab w:leader="none" w:pos="631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49" w:lineRule="exact"/>
        <w:rPr>
          <w:sz w:val="24"/>
          <w:szCs w:val="24"/>
          <w:color w:val="auto"/>
        </w:rPr>
      </w:pPr>
    </w:p>
    <w:p>
      <w:pPr>
        <w:jc w:val="both"/>
        <w:ind w:left="10" w:right="180"/>
        <w:spacing w:after="0" w:line="251"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$142,215,971 as of August 3, 2024.</w:t>
      </w:r>
    </w:p>
    <w:p>
      <w:pPr>
        <w:spacing w:after="0" w:line="30" w:lineRule="exact"/>
        <w:rPr>
          <w:sz w:val="24"/>
          <w:szCs w:val="24"/>
          <w:color w:val="auto"/>
        </w:rPr>
      </w:pPr>
    </w:p>
    <w:p>
      <w:pPr>
        <w:ind w:left="10" w:right="100"/>
        <w:spacing w:after="0" w:line="264" w:lineRule="auto"/>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Common Stock, par value $0.01 per share, 8,277,733 shares outstanding as of April 10, 2025.</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4" w:lineRule="exact"/>
        <w:rPr>
          <w:sz w:val="24"/>
          <w:szCs w:val="24"/>
          <w:color w:val="auto"/>
        </w:rPr>
      </w:pPr>
    </w:p>
    <w:p>
      <w:pPr>
        <w:ind w:left="10" w:right="540"/>
        <w:spacing w:after="0" w:line="286" w:lineRule="auto"/>
        <w:rPr>
          <w:sz w:val="20"/>
          <w:szCs w:val="20"/>
          <w:color w:val="auto"/>
        </w:rPr>
      </w:pPr>
      <w:r>
        <w:rPr>
          <w:rFonts w:ascii="Arial" w:cs="Arial" w:eastAsia="Arial" w:hAnsi="Arial"/>
          <w:sz w:val="13"/>
          <w:szCs w:val="13"/>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462280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85090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67945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6" w:right="8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80" w:type="dxa"/>
            <w:vAlign w:val="bottom"/>
            <w:gridSpan w:val="10"/>
          </w:tcPr>
          <w:p>
            <w:pPr>
              <w:jc w:val="center"/>
              <w:ind w:right="3540"/>
              <w:spacing w:after="0"/>
              <w:rPr>
                <w:sz w:val="20"/>
                <w:szCs w:val="20"/>
                <w:color w:val="auto"/>
              </w:rPr>
            </w:pPr>
            <w:r>
              <w:rPr>
                <w:rFonts w:ascii="Arial" w:cs="Arial" w:eastAsia="Arial" w:hAnsi="Arial"/>
                <w:sz w:val="17"/>
                <w:szCs w:val="17"/>
                <w:b w:val="1"/>
                <w:bCs w:val="1"/>
                <w:color w:val="auto"/>
              </w:rPr>
              <w:t>CITI TRENDS, INC.</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80" w:type="dxa"/>
            <w:vAlign w:val="bottom"/>
            <w:gridSpan w:val="9"/>
          </w:tcPr>
          <w:p>
            <w:pPr>
              <w:jc w:val="center"/>
              <w:ind w:right="3740"/>
              <w:spacing w:after="0"/>
              <w:rPr>
                <w:sz w:val="20"/>
                <w:szCs w:val="20"/>
                <w:color w:val="auto"/>
              </w:rPr>
            </w:pPr>
            <w:r>
              <w:rPr>
                <w:rFonts w:ascii="Arial" w:cs="Arial" w:eastAsia="Arial" w:hAnsi="Arial"/>
                <w:sz w:val="17"/>
                <w:szCs w:val="17"/>
                <w:b w:val="1"/>
                <w:bCs w:val="1"/>
                <w:color w:val="auto"/>
              </w:rPr>
              <w:t>FORM 10-K</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80" w:type="dxa"/>
            <w:vAlign w:val="bottom"/>
            <w:gridSpan w:val="10"/>
          </w:tcPr>
          <w:p>
            <w:pPr>
              <w:jc w:val="center"/>
              <w:ind w:right="3540"/>
              <w:spacing w:after="0"/>
              <w:rPr>
                <w:sz w:val="20"/>
                <w:szCs w:val="20"/>
                <w:color w:val="auto"/>
              </w:rPr>
            </w:pPr>
            <w:r>
              <w:rPr>
                <w:rFonts w:ascii="Arial" w:cs="Arial" w:eastAsia="Arial" w:hAnsi="Arial"/>
                <w:sz w:val="17"/>
                <w:szCs w:val="17"/>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9420" w:type="dxa"/>
            <w:vAlign w:val="bottom"/>
            <w:gridSpan w:val="29"/>
          </w:tcPr>
          <w:p>
            <w:pPr>
              <w:spacing w:after="0"/>
              <w:rPr>
                <w:sz w:val="20"/>
                <w:szCs w:val="20"/>
                <w:color w:val="auto"/>
              </w:rPr>
            </w:pPr>
            <w:r>
              <w:rPr>
                <w:rFonts w:ascii="Arial" w:cs="Arial" w:eastAsia="Arial" w:hAnsi="Arial"/>
                <w:sz w:val="17"/>
                <w:szCs w:val="17"/>
                <w:b w:val="1"/>
                <w:bCs w:val="1"/>
                <w:color w:val="auto"/>
              </w:rPr>
              <w:t>10-K Part and Item 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60" w:type="dxa"/>
            <w:vAlign w:val="bottom"/>
            <w:tcBorders>
              <w:top w:val="single" w:sz="8" w:color="auto"/>
              <w:bottom w:val="single" w:sz="8" w:color="0000EE"/>
            </w:tcBorders>
            <w:gridSpan w:val="2"/>
          </w:tcPr>
          <w:p>
            <w:pPr>
              <w:spacing w:after="0"/>
              <w:rPr>
                <w:sz w:val="20"/>
                <w:szCs w:val="20"/>
                <w:color w:val="auto"/>
              </w:rPr>
            </w:pPr>
            <w:r>
              <w:rPr>
                <w:rFonts w:ascii="Arial" w:cs="Arial" w:eastAsia="Arial" w:hAnsi="Arial"/>
                <w:sz w:val="17"/>
                <w:szCs w:val="17"/>
                <w:color w:val="0000EE"/>
                <w:w w:val="98"/>
              </w:rPr>
              <w:t>PART I</w:t>
            </w:r>
          </w:p>
        </w:tc>
        <w:tc>
          <w:tcPr>
            <w:tcW w:w="140" w:type="dxa"/>
            <w:vAlign w:val="bottom"/>
            <w:tcBorders>
              <w:top w:val="single" w:sz="8" w:color="auto"/>
            </w:tcBorders>
            <w:gridSpan w:val="3"/>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9"/>
              </w:rPr>
              <w:t>Item 1.</w:t>
            </w:r>
          </w:p>
        </w:tc>
        <w:tc>
          <w:tcPr>
            <w:tcW w:w="160" w:type="dxa"/>
            <w:vAlign w:val="bottom"/>
            <w:gridSpan w:val="4"/>
          </w:tcPr>
          <w:p>
            <w:pPr>
              <w:spacing w:after="0"/>
              <w:rPr>
                <w:sz w:val="18"/>
                <w:szCs w:val="18"/>
                <w:color w:val="auto"/>
              </w:rPr>
            </w:pPr>
          </w:p>
        </w:tc>
        <w:tc>
          <w:tcPr>
            <w:tcW w:w="7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Business</w:t>
            </w:r>
          </w:p>
        </w:tc>
        <w:tc>
          <w:tcPr>
            <w:tcW w:w="8020" w:type="dxa"/>
            <w:vAlign w:val="bottom"/>
            <w:gridSpan w:val="2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1A.</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Risk Factors</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4"/>
          </w:tcPr>
          <w:p>
            <w:pPr>
              <w:spacing w:after="0" w:line="183" w:lineRule="exact"/>
              <w:rPr>
                <w:sz w:val="20"/>
                <w:szCs w:val="20"/>
                <w:color w:val="auto"/>
              </w:rPr>
            </w:pPr>
            <w:r>
              <w:rPr>
                <w:rFonts w:ascii="Arial" w:cs="Arial" w:eastAsia="Arial" w:hAnsi="Arial"/>
                <w:sz w:val="17"/>
                <w:szCs w:val="17"/>
                <w:color w:val="0000EE"/>
                <w:w w:val="97"/>
              </w:rPr>
              <w:t>Item 1B.</w:t>
            </w:r>
          </w:p>
        </w:tc>
        <w:tc>
          <w:tcPr>
            <w:tcW w:w="40" w:type="dxa"/>
            <w:vAlign w:val="bottom"/>
          </w:tcPr>
          <w:p>
            <w:pPr>
              <w:spacing w:after="0"/>
              <w:rPr>
                <w:sz w:val="15"/>
                <w:szCs w:val="15"/>
                <w:color w:val="auto"/>
              </w:rPr>
            </w:pPr>
          </w:p>
        </w:tc>
        <w:tc>
          <w:tcPr>
            <w:tcW w:w="2140" w:type="dxa"/>
            <w:vAlign w:val="bottom"/>
            <w:tcBorders>
              <w:bottom w:val="single" w:sz="8" w:color="0000EE"/>
            </w:tcBorders>
            <w:gridSpan w:val="12"/>
          </w:tcPr>
          <w:p>
            <w:pPr>
              <w:spacing w:after="0" w:line="183" w:lineRule="exact"/>
              <w:rPr>
                <w:sz w:val="20"/>
                <w:szCs w:val="20"/>
                <w:color w:val="auto"/>
              </w:rPr>
            </w:pPr>
            <w:r>
              <w:rPr>
                <w:rFonts w:ascii="Arial" w:cs="Arial" w:eastAsia="Arial" w:hAnsi="Arial"/>
                <w:sz w:val="17"/>
                <w:szCs w:val="17"/>
                <w:color w:val="0000EE"/>
                <w:w w:val="99"/>
              </w:rPr>
              <w:t>Unresolved Staff Comments</w:t>
            </w:r>
          </w:p>
        </w:tc>
        <w:tc>
          <w:tcPr>
            <w:tcW w:w="6580" w:type="dxa"/>
            <w:vAlign w:val="bottom"/>
            <w:gridSpan w:val="12"/>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6"/>
              </w:rPr>
              <w:t>Item 1C.</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Cybersecurity</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2.</w:t>
            </w:r>
          </w:p>
        </w:tc>
        <w:tc>
          <w:tcPr>
            <w:tcW w:w="12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3" w:lineRule="exact"/>
              <w:rPr>
                <w:sz w:val="20"/>
                <w:szCs w:val="20"/>
                <w:color w:val="auto"/>
              </w:rPr>
            </w:pPr>
            <w:r>
              <w:rPr>
                <w:rFonts w:ascii="Arial" w:cs="Arial" w:eastAsia="Arial" w:hAnsi="Arial"/>
                <w:sz w:val="17"/>
                <w:szCs w:val="17"/>
                <w:color w:val="0000EE"/>
                <w:w w:val="98"/>
              </w:rPr>
              <w:t>Properties</w:t>
            </w:r>
          </w:p>
        </w:tc>
        <w:tc>
          <w:tcPr>
            <w:tcW w:w="260" w:type="dxa"/>
            <w:vAlign w:val="bottom"/>
            <w:tcBorders>
              <w:top w:val="single" w:sz="8" w:color="0000EE"/>
            </w:tcBorders>
            <w:gridSpan w:val="3"/>
          </w:tcPr>
          <w:p>
            <w:pPr>
              <w:spacing w:after="0"/>
              <w:rPr>
                <w:sz w:val="15"/>
                <w:szCs w:val="15"/>
                <w:color w:val="auto"/>
              </w:rPr>
            </w:pPr>
          </w:p>
        </w:tc>
        <w:tc>
          <w:tcPr>
            <w:tcW w:w="7680" w:type="dxa"/>
            <w:vAlign w:val="bottom"/>
            <w:gridSpan w:val="19"/>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3.</w:t>
            </w:r>
          </w:p>
        </w:tc>
        <w:tc>
          <w:tcPr>
            <w:tcW w:w="160" w:type="dxa"/>
            <w:vAlign w:val="bottom"/>
            <w:gridSpan w:val="4"/>
          </w:tcPr>
          <w:p>
            <w:pPr>
              <w:spacing w:after="0"/>
              <w:rPr>
                <w:sz w:val="15"/>
                <w:szCs w:val="15"/>
                <w:color w:val="auto"/>
              </w:rPr>
            </w:pPr>
          </w:p>
        </w:tc>
        <w:tc>
          <w:tcPr>
            <w:tcW w:w="1420" w:type="dxa"/>
            <w:vAlign w:val="bottom"/>
            <w:tcBorders>
              <w:bottom w:val="single" w:sz="8" w:color="0000EE"/>
            </w:tcBorders>
            <w:gridSpan w:val="8"/>
          </w:tcPr>
          <w:p>
            <w:pPr>
              <w:spacing w:after="0" w:line="183" w:lineRule="exact"/>
              <w:rPr>
                <w:sz w:val="20"/>
                <w:szCs w:val="20"/>
                <w:color w:val="auto"/>
              </w:rPr>
            </w:pPr>
            <w:r>
              <w:rPr>
                <w:rFonts w:ascii="Arial" w:cs="Arial" w:eastAsia="Arial" w:hAnsi="Arial"/>
                <w:sz w:val="17"/>
                <w:szCs w:val="17"/>
                <w:color w:val="0000EE"/>
                <w:w w:val="99"/>
              </w:rPr>
              <w:t>Legal Proceedings</w:t>
            </w:r>
          </w:p>
        </w:tc>
        <w:tc>
          <w:tcPr>
            <w:tcW w:w="7300" w:type="dxa"/>
            <w:vAlign w:val="bottom"/>
            <w:gridSpan w:val="16"/>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4.</w:t>
            </w:r>
          </w:p>
        </w:tc>
        <w:tc>
          <w:tcPr>
            <w:tcW w:w="160" w:type="dxa"/>
            <w:vAlign w:val="bottom"/>
            <w:gridSpan w:val="4"/>
          </w:tcPr>
          <w:p>
            <w:pPr>
              <w:spacing w:after="0"/>
              <w:rPr>
                <w:sz w:val="15"/>
                <w:szCs w:val="15"/>
                <w:color w:val="auto"/>
              </w:rPr>
            </w:pPr>
          </w:p>
        </w:tc>
        <w:tc>
          <w:tcPr>
            <w:tcW w:w="184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7"/>
                <w:szCs w:val="17"/>
                <w:color w:val="0000EE"/>
                <w:w w:val="99"/>
              </w:rPr>
              <w:t>Mine Safety Disclosures</w:t>
            </w:r>
          </w:p>
        </w:tc>
        <w:tc>
          <w:tcPr>
            <w:tcW w:w="6880" w:type="dxa"/>
            <w:vAlign w:val="bottom"/>
            <w:gridSpan w:val="14"/>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412"/>
        </w:trPr>
        <w:tc>
          <w:tcPr>
            <w:tcW w:w="700" w:type="dxa"/>
            <w:vAlign w:val="bottom"/>
            <w:gridSpan w:val="5"/>
          </w:tcPr>
          <w:p>
            <w:pPr>
              <w:spacing w:after="0"/>
              <w:rPr>
                <w:sz w:val="20"/>
                <w:szCs w:val="20"/>
                <w:color w:val="auto"/>
              </w:rPr>
            </w:pPr>
            <w:r>
              <w:rPr>
                <w:rFonts w:ascii="Arial" w:cs="Arial" w:eastAsia="Arial" w:hAnsi="Arial"/>
                <w:sz w:val="17"/>
                <w:szCs w:val="17"/>
                <w:color w:val="0000EE"/>
              </w:rPr>
              <w:t>PART II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top w:val="single" w:sz="8" w:color="0000EE"/>
            </w:tcBorders>
          </w:tcPr>
          <w:p>
            <w:pPr>
              <w:spacing w:after="0"/>
              <w:rPr>
                <w:sz w:val="20"/>
                <w:szCs w:val="20"/>
                <w:color w:val="auto"/>
              </w:rPr>
            </w:pPr>
            <w:r>
              <w:rPr>
                <w:rFonts w:ascii="Arial" w:cs="Arial" w:eastAsia="Arial" w:hAnsi="Arial"/>
                <w:sz w:val="17"/>
                <w:szCs w:val="17"/>
                <w:color w:val="0000EE"/>
                <w:w w:val="99"/>
              </w:rPr>
              <w:t>Item 5.</w:t>
            </w:r>
          </w:p>
        </w:tc>
        <w:tc>
          <w:tcPr>
            <w:tcW w:w="80" w:type="dxa"/>
            <w:vAlign w:val="bottom"/>
            <w:tcBorders>
              <w:top w:val="single" w:sz="8" w:color="0000EE"/>
            </w:tcBorders>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0000EE"/>
              </w:rPr>
              <w:t>Market for Registrant’s Common Equity, Related Stockholder Matters and Issuer Purchases of Equity Securities</w:t>
            </w:r>
          </w:p>
        </w:tc>
        <w:tc>
          <w:tcPr>
            <w:tcW w:w="5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line="183" w:lineRule="exact"/>
              <w:rPr>
                <w:sz w:val="20"/>
                <w:szCs w:val="20"/>
                <w:color w:val="auto"/>
              </w:rPr>
            </w:pPr>
            <w:r>
              <w:rPr>
                <w:rFonts w:ascii="Arial" w:cs="Arial" w:eastAsia="Arial" w:hAnsi="Arial"/>
                <w:sz w:val="17"/>
                <w:szCs w:val="17"/>
                <w:color w:val="0000EE"/>
                <w:w w:val="99"/>
              </w:rPr>
              <w:t>Item 6.</w:t>
            </w:r>
          </w:p>
        </w:tc>
        <w:tc>
          <w:tcPr>
            <w:tcW w:w="160" w:type="dxa"/>
            <w:vAlign w:val="bottom"/>
            <w:gridSpan w:val="4"/>
          </w:tcPr>
          <w:p>
            <w:pPr>
              <w:spacing w:after="0"/>
              <w:rPr>
                <w:sz w:val="15"/>
                <w:szCs w:val="15"/>
                <w:color w:val="auto"/>
              </w:rPr>
            </w:pPr>
          </w:p>
        </w:tc>
        <w:tc>
          <w:tcPr>
            <w:tcW w:w="8420" w:type="dxa"/>
            <w:vAlign w:val="bottom"/>
            <w:tcBorders>
              <w:top w:val="single" w:sz="8" w:color="0000EE"/>
            </w:tcBorders>
            <w:gridSpan w:val="23"/>
          </w:tcPr>
          <w:p>
            <w:pPr>
              <w:spacing w:after="0" w:line="183" w:lineRule="exact"/>
              <w:rPr>
                <w:sz w:val="20"/>
                <w:szCs w:val="20"/>
                <w:color w:val="auto"/>
              </w:rPr>
            </w:pPr>
            <w:r>
              <w:rPr>
                <w:rFonts w:ascii="Arial" w:cs="Arial" w:eastAsia="Arial" w:hAnsi="Arial"/>
                <w:sz w:val="17"/>
                <w:szCs w:val="17"/>
                <w:color w:val="0000EE"/>
              </w:rPr>
              <w:t>[Reserved]</w:t>
            </w:r>
          </w:p>
        </w:tc>
        <w:tc>
          <w:tcPr>
            <w:tcW w:w="30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3" w:lineRule="exact"/>
              <w:rPr>
                <w:sz w:val="20"/>
                <w:szCs w:val="20"/>
                <w:color w:val="auto"/>
              </w:rPr>
            </w:pPr>
            <w:r>
              <w:rPr>
                <w:rFonts w:ascii="Arial" w:cs="Arial" w:eastAsia="Arial" w:hAnsi="Arial"/>
                <w:sz w:val="17"/>
                <w:szCs w:val="17"/>
                <w:color w:val="0000EE"/>
                <w:w w:val="99"/>
              </w:rPr>
              <w:t>Item 7.</w:t>
            </w:r>
          </w:p>
        </w:tc>
        <w:tc>
          <w:tcPr>
            <w:tcW w:w="160" w:type="dxa"/>
            <w:vAlign w:val="bottom"/>
            <w:gridSpan w:val="4"/>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4"/>
          </w:tcPr>
          <w:p>
            <w:pPr>
              <w:spacing w:after="0" w:line="183" w:lineRule="exact"/>
              <w:rPr>
                <w:sz w:val="20"/>
                <w:szCs w:val="20"/>
                <w:color w:val="auto"/>
              </w:rPr>
            </w:pPr>
            <w:r>
              <w:rPr>
                <w:rFonts w:ascii="Arial" w:cs="Arial" w:eastAsia="Arial" w:hAnsi="Arial"/>
                <w:sz w:val="17"/>
                <w:szCs w:val="17"/>
                <w:color w:val="0000EE"/>
                <w:w w:val="97"/>
              </w:rPr>
              <w:t>Item 7A.</w:t>
            </w:r>
          </w:p>
        </w:tc>
        <w:tc>
          <w:tcPr>
            <w:tcW w:w="40" w:type="dxa"/>
            <w:vAlign w:val="bottom"/>
          </w:tcPr>
          <w:p>
            <w:pPr>
              <w:spacing w:after="0"/>
              <w:rPr>
                <w:sz w:val="15"/>
                <w:szCs w:val="15"/>
                <w:color w:val="auto"/>
              </w:rPr>
            </w:pPr>
          </w:p>
        </w:tc>
        <w:tc>
          <w:tcPr>
            <w:tcW w:w="4480" w:type="dxa"/>
            <w:vAlign w:val="bottom"/>
            <w:tcBorders>
              <w:bottom w:val="single" w:sz="8" w:color="0000EE"/>
            </w:tcBorders>
            <w:gridSpan w:val="17"/>
          </w:tcPr>
          <w:p>
            <w:pPr>
              <w:spacing w:after="0" w:line="183" w:lineRule="exact"/>
              <w:rPr>
                <w:sz w:val="20"/>
                <w:szCs w:val="20"/>
                <w:color w:val="auto"/>
              </w:rPr>
            </w:pPr>
            <w:r>
              <w:rPr>
                <w:rFonts w:ascii="Arial" w:cs="Arial" w:eastAsia="Arial" w:hAnsi="Arial"/>
                <w:sz w:val="17"/>
                <w:szCs w:val="17"/>
                <w:color w:val="0000EE"/>
              </w:rPr>
              <w:t>Quantitative and Qualitative Disclosures About Market Risk</w:t>
            </w:r>
          </w:p>
        </w:tc>
        <w:tc>
          <w:tcPr>
            <w:tcW w:w="4240" w:type="dxa"/>
            <w:vAlign w:val="bottom"/>
            <w:gridSpan w:val="7"/>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8.</w:t>
            </w:r>
          </w:p>
        </w:tc>
        <w:tc>
          <w:tcPr>
            <w:tcW w:w="160" w:type="dxa"/>
            <w:vAlign w:val="bottom"/>
            <w:gridSpan w:val="4"/>
          </w:tcPr>
          <w:p>
            <w:pPr>
              <w:spacing w:after="0"/>
              <w:rPr>
                <w:sz w:val="15"/>
                <w:szCs w:val="15"/>
                <w:color w:val="auto"/>
              </w:rPr>
            </w:pPr>
          </w:p>
        </w:tc>
        <w:tc>
          <w:tcPr>
            <w:tcW w:w="3540" w:type="dxa"/>
            <w:vAlign w:val="bottom"/>
            <w:tcBorders>
              <w:bottom w:val="single" w:sz="8" w:color="0000EE"/>
            </w:tcBorders>
            <w:gridSpan w:val="15"/>
          </w:tcPr>
          <w:p>
            <w:pPr>
              <w:spacing w:after="0" w:line="183" w:lineRule="exact"/>
              <w:rPr>
                <w:sz w:val="20"/>
                <w:szCs w:val="20"/>
                <w:color w:val="auto"/>
              </w:rPr>
            </w:pPr>
            <w:r>
              <w:rPr>
                <w:rFonts w:ascii="Arial" w:cs="Arial" w:eastAsia="Arial" w:hAnsi="Arial"/>
                <w:sz w:val="17"/>
                <w:szCs w:val="17"/>
                <w:color w:val="0000EE"/>
              </w:rPr>
              <w:t>Financial Statements and Supplementary Data</w:t>
            </w:r>
          </w:p>
        </w:tc>
        <w:tc>
          <w:tcPr>
            <w:tcW w:w="5180" w:type="dxa"/>
            <w:vAlign w:val="bottom"/>
            <w:gridSpan w:val="9"/>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3"/>
        </w:trPr>
        <w:tc>
          <w:tcPr>
            <w:tcW w:w="540" w:type="dxa"/>
            <w:vAlign w:val="bottom"/>
          </w:tcPr>
          <w:p>
            <w:pPr>
              <w:spacing w:after="0" w:line="183" w:lineRule="exact"/>
              <w:rPr>
                <w:sz w:val="20"/>
                <w:szCs w:val="20"/>
                <w:color w:val="auto"/>
              </w:rPr>
            </w:pPr>
            <w:r>
              <w:rPr>
                <w:rFonts w:ascii="Arial" w:cs="Arial" w:eastAsia="Arial" w:hAnsi="Arial"/>
                <w:sz w:val="17"/>
                <w:szCs w:val="17"/>
                <w:color w:val="0000EE"/>
                <w:w w:val="99"/>
              </w:rPr>
              <w:t>Item 9.</w:t>
            </w:r>
          </w:p>
        </w:tc>
        <w:tc>
          <w:tcPr>
            <w:tcW w:w="160" w:type="dxa"/>
            <w:vAlign w:val="bottom"/>
            <w:gridSpan w:val="4"/>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Changes in and Disagreements with Accountants on Accounting and Financial Disclosure</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line="20" w:lineRule="exact"/>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9A.</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Controls and Procedures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tcBorders>
            <w:gridSpan w:val="4"/>
          </w:tcPr>
          <w:p>
            <w:pPr>
              <w:spacing w:after="0" w:line="183" w:lineRule="exact"/>
              <w:rPr>
                <w:sz w:val="20"/>
                <w:szCs w:val="20"/>
                <w:color w:val="auto"/>
              </w:rPr>
            </w:pPr>
            <w:r>
              <w:rPr>
                <w:rFonts w:ascii="Arial" w:cs="Arial" w:eastAsia="Arial" w:hAnsi="Arial"/>
                <w:sz w:val="17"/>
                <w:szCs w:val="17"/>
                <w:color w:val="0000EE"/>
                <w:w w:val="97"/>
              </w:rPr>
              <w:t>Item 9B.</w:t>
            </w:r>
          </w:p>
        </w:tc>
        <w:tc>
          <w:tcPr>
            <w:tcW w:w="40" w:type="dxa"/>
            <w:vAlign w:val="bottom"/>
          </w:tcPr>
          <w:p>
            <w:pPr>
              <w:spacing w:after="0"/>
              <w:rPr>
                <w:sz w:val="15"/>
                <w:szCs w:val="15"/>
                <w:color w:val="auto"/>
              </w:rPr>
            </w:pPr>
          </w:p>
        </w:tc>
        <w:tc>
          <w:tcPr>
            <w:tcW w:w="1880" w:type="dxa"/>
            <w:vAlign w:val="bottom"/>
            <w:tcBorders>
              <w:top w:val="single" w:sz="8" w:color="0000EE"/>
            </w:tcBorders>
            <w:gridSpan w:val="11"/>
          </w:tcPr>
          <w:p>
            <w:pPr>
              <w:spacing w:after="0" w:line="183" w:lineRule="exact"/>
              <w:rPr>
                <w:sz w:val="20"/>
                <w:szCs w:val="20"/>
                <w:color w:val="auto"/>
              </w:rPr>
            </w:pPr>
            <w:r>
              <w:rPr>
                <w:rFonts w:ascii="Arial" w:cs="Arial" w:eastAsia="Arial" w:hAnsi="Arial"/>
                <w:sz w:val="17"/>
                <w:szCs w:val="17"/>
                <w:color w:val="0000EE"/>
              </w:rPr>
              <w:t>Other Information</w:t>
            </w:r>
          </w:p>
        </w:tc>
        <w:tc>
          <w:tcPr>
            <w:tcW w:w="6840" w:type="dxa"/>
            <w:vAlign w:val="bottom"/>
            <w:gridSpan w:val="13"/>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line="20" w:lineRule="exact"/>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6"/>
              </w:rPr>
              <w:t>Item 9C.</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Disclosure Regarding Foreign Jurisdictions that Prevent Inspections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6"/>
              </w:rPr>
              <w:t>PART III</w:t>
            </w:r>
          </w:p>
        </w:tc>
        <w:tc>
          <w:tcPr>
            <w:tcW w:w="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gridSpan w:val="5"/>
          </w:tcPr>
          <w:p>
            <w:pPr>
              <w:spacing w:after="0"/>
              <w:rPr>
                <w:sz w:val="20"/>
                <w:szCs w:val="20"/>
                <w:color w:val="auto"/>
              </w:rPr>
            </w:pPr>
            <w:r>
              <w:rPr>
                <w:rFonts w:ascii="Arial" w:cs="Arial" w:eastAsia="Arial" w:hAnsi="Arial"/>
                <w:sz w:val="17"/>
                <w:szCs w:val="17"/>
                <w:color w:val="0000EE"/>
              </w:rPr>
              <w:t>Item 10.</w:t>
            </w:r>
          </w:p>
        </w:tc>
        <w:tc>
          <w:tcPr>
            <w:tcW w:w="8720" w:type="dxa"/>
            <w:vAlign w:val="bottom"/>
            <w:gridSpan w:val="24"/>
          </w:tcPr>
          <w:p>
            <w:pPr>
              <w:spacing w:after="0"/>
              <w:rPr>
                <w:sz w:val="20"/>
                <w:szCs w:val="20"/>
                <w:color w:val="auto"/>
              </w:rPr>
            </w:pPr>
            <w:r>
              <w:rPr>
                <w:rFonts w:ascii="Arial" w:cs="Arial" w:eastAsia="Arial" w:hAnsi="Arial"/>
                <w:sz w:val="17"/>
                <w:szCs w:val="17"/>
                <w:color w:val="0000EE"/>
              </w:rPr>
              <w:t>Directors, Executive Officers and Corporate Governance</w:t>
            </w:r>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tcBorders>
            <w:gridSpan w:val="3"/>
          </w:tcPr>
          <w:p>
            <w:pPr>
              <w:spacing w:after="0" w:line="183" w:lineRule="exact"/>
              <w:rPr>
                <w:sz w:val="20"/>
                <w:szCs w:val="20"/>
                <w:color w:val="auto"/>
              </w:rPr>
            </w:pPr>
            <w:r>
              <w:rPr>
                <w:rFonts w:ascii="Arial" w:cs="Arial" w:eastAsia="Arial" w:hAnsi="Arial"/>
                <w:sz w:val="17"/>
                <w:szCs w:val="17"/>
                <w:color w:val="0000EE"/>
                <w:w w:val="94"/>
              </w:rPr>
              <w:t>Item 11.</w:t>
            </w:r>
          </w:p>
        </w:tc>
        <w:tc>
          <w:tcPr>
            <w:tcW w:w="80" w:type="dxa"/>
            <w:vAlign w:val="bottom"/>
            <w:gridSpan w:val="2"/>
          </w:tcPr>
          <w:p>
            <w:pPr>
              <w:spacing w:after="0"/>
              <w:rPr>
                <w:sz w:val="15"/>
                <w:szCs w:val="15"/>
                <w:color w:val="auto"/>
              </w:rPr>
            </w:pPr>
          </w:p>
        </w:tc>
        <w:tc>
          <w:tcPr>
            <w:tcW w:w="4260" w:type="dxa"/>
            <w:vAlign w:val="bottom"/>
            <w:tcBorders>
              <w:top w:val="single" w:sz="8" w:color="0000EE"/>
            </w:tcBorders>
            <w:gridSpan w:val="16"/>
          </w:tcPr>
          <w:p>
            <w:pPr>
              <w:spacing w:after="0" w:line="183" w:lineRule="exact"/>
              <w:rPr>
                <w:sz w:val="20"/>
                <w:szCs w:val="20"/>
                <w:color w:val="auto"/>
              </w:rPr>
            </w:pPr>
            <w:r>
              <w:rPr>
                <w:rFonts w:ascii="Arial" w:cs="Arial" w:eastAsia="Arial" w:hAnsi="Arial"/>
                <w:sz w:val="17"/>
                <w:szCs w:val="17"/>
                <w:color w:val="0000EE"/>
              </w:rPr>
              <w:t>Executive Compensation</w:t>
            </w:r>
          </w:p>
        </w:tc>
        <w:tc>
          <w:tcPr>
            <w:tcW w:w="4460" w:type="dxa"/>
            <w:vAlign w:val="bottom"/>
            <w:gridSpan w:val="8"/>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12.</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Security Ownership of Certain Beneficial Owners and Management and Related Stockholder Matters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13.</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Certain Relationships and Related Transactions, and Director Independence</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14.</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Principal Accountant Fees and Services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3"/>
              </w:rPr>
              <w:t>PART IV</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gridSpan w:val="5"/>
          </w:tcPr>
          <w:p>
            <w:pPr>
              <w:spacing w:after="0"/>
              <w:rPr>
                <w:sz w:val="20"/>
                <w:szCs w:val="20"/>
                <w:color w:val="auto"/>
              </w:rPr>
            </w:pPr>
            <w:r>
              <w:rPr>
                <w:rFonts w:ascii="Arial" w:cs="Arial" w:eastAsia="Arial" w:hAnsi="Arial"/>
                <w:sz w:val="17"/>
                <w:szCs w:val="17"/>
                <w:color w:val="0000EE"/>
              </w:rPr>
              <w:t>Item 15.</w:t>
            </w:r>
          </w:p>
        </w:tc>
        <w:tc>
          <w:tcPr>
            <w:tcW w:w="8720" w:type="dxa"/>
            <w:vAlign w:val="bottom"/>
            <w:gridSpan w:val="24"/>
          </w:tcPr>
          <w:p>
            <w:pPr>
              <w:spacing w:after="0"/>
              <w:rPr>
                <w:sz w:val="20"/>
                <w:szCs w:val="20"/>
                <w:color w:val="auto"/>
              </w:rPr>
            </w:pPr>
            <w:r>
              <w:rPr>
                <w:rFonts w:ascii="Arial" w:cs="Arial" w:eastAsia="Arial" w:hAnsi="Arial"/>
                <w:sz w:val="17"/>
                <w:szCs w:val="17"/>
                <w:color w:val="0000EE"/>
              </w:rPr>
              <w:t>Exhibits and Financial Statement Schedules</w:t>
            </w:r>
          </w:p>
        </w:tc>
        <w:tc>
          <w:tcPr>
            <w:tcW w:w="50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16.</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Form 10-K Summary</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(“Citi Trends,”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results and position, business policy and plans, objectives and expectations of management for future operations and capital allocation expectations, are forward-looking statements. The words “believe,” “anticipate,” “project,” “plan,” “expect,” “trend,” “estimate,” “objective,” “forecast,” “upcoming,” “goal,” “intend,” “may,”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associated with building, remodeling, opening and operating new stores; and delays associated with building, opening or expanding new or existing distribution centers.</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0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Information is provided herein with respect to our operations related to our fiscal years ended on February 1, 2025 (“fiscal 2024”), February 3, 2024 (“fiscal 2023”) and January 28, 2023 (“fiscal 2022”)</w:t>
      </w:r>
      <w:r>
        <w:rPr>
          <w:rFonts w:ascii="Arial" w:cs="Arial" w:eastAsia="Arial" w:hAnsi="Arial"/>
          <w:sz w:val="17"/>
          <w:szCs w:val="17"/>
          <w:color w:val="auto"/>
        </w:rPr>
        <w:t>.</w:t>
      </w:r>
    </w:p>
    <w:p>
      <w:pPr>
        <w:spacing w:after="0" w:line="93"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Citi Trends, Inc. (“Citi Trends” or the “Company”) is a highly differentiated off-price value retailer known for trendy fashions, great brands and amazing prices. We offer culturally relevant fashion – what we call “Cultural Cachet” – in apparel, accessories and home goods, primarily for African American families in the United States. We curate a three tiered mix of product featuring well-known brands, core product and opening price goods, with intermittent extreme value deals. Our core product styles are curated trend-right, high quality, value for the price. We offer an assortment of opening price product for the price conscious customer, all sold at competitive prices. Plus, for the treasure hunters, we often have “extreme value” product deals on well-known branded product at 50% to 75% off MSRP. Consumer insights research validates that our unique culturally relevant styling, and strong value for the price fosters deep customer loyalty and high shopping frequency in the neighborhoods in which we operate.</w:t>
      </w:r>
    </w:p>
    <w:p>
      <w:pPr>
        <w:spacing w:after="0" w:line="116"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Our stores are strategically located in vibrant African American neighborhoods with product offerings for the entire family. Our stores average approximately 11,000 square feet of selling space and are typically found in outdoor community shopping centers across a variety of urban, suburban and rural markets. As of February 1, 2025, we operated 591 stores in 33 states.</w:t>
      </w:r>
    </w:p>
    <w:p>
      <w:pPr>
        <w:spacing w:after="0" w:line="107" w:lineRule="exact"/>
        <w:rPr>
          <w:sz w:val="20"/>
          <w:szCs w:val="20"/>
          <w:color w:val="auto"/>
        </w:rPr>
      </w:pPr>
    </w:p>
    <w:p>
      <w:pPr>
        <w:ind w:right="1060"/>
        <w:spacing w:after="0" w:line="267" w:lineRule="auto"/>
        <w:rPr>
          <w:sz w:val="20"/>
          <w:szCs w:val="20"/>
          <w:color w:val="auto"/>
        </w:rPr>
      </w:pPr>
      <w:r>
        <w:rPr>
          <w:rFonts w:ascii="Arial" w:cs="Arial" w:eastAsia="Arial" w:hAnsi="Arial"/>
          <w:sz w:val="17"/>
          <w:szCs w:val="17"/>
          <w:color w:val="auto"/>
        </w:rPr>
        <w:t>We believe the combination of product curated with Cultural Cachet at amazing prices, and the large scale of our 591 neighborhood stores is extremely hard to duplicate which gives us a defensible moat against competition.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 and Strategies</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Citi Trends is one of the largest national retailers focused on African American customers. With 591 stores located in the neighborhoods we serve, our customers rely on us as a leading off-price value retailer of apparel, accessories and home trends. Because of our long-term presence in the African American community, our customers are highly engaged and loyal to Citi Trends. We strive to provide an engaging and exciting shopping experience supported by fresh product and a friendly, welcoming staff. We believe the following business strengths differentiate us from our competitors and are important to our success.</w:t>
      </w:r>
    </w:p>
    <w:p>
      <w:pPr>
        <w:spacing w:after="0" w:line="112"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b w:val="1"/>
          <w:bCs w:val="1"/>
          <w:i w:val="1"/>
          <w:iCs w:val="1"/>
          <w:color w:val="auto"/>
        </w:rPr>
        <w:t>Focus on Fashion and Trend Mix</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curate our merchandise assortment to be fashionable and fresh, recognizing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use style as a form of personal expression. We devote considerable effort to identifying emerging trends and ensuring that our wide assortment of apparel and non-apparel merchandise is curated to appeal to the preferences of African American customers. Our buying team actively manages a dynamic blend of essentials, fashion-forward pieces, trending items and recognized brands, all at strong value prices to keep the assortment fresh, relevant and culturally attuned.</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Superior Value Proposition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offer high quality, fashionable merchandise with Cultural Cachet and believe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proposition provides important access to trends for our customers. We know that our customers are willing to spend more when the fashion is on trend, the brand is right, and the price-value proposition is strong. The majority of our product is ticketed with compare at pricing to demonstrate our pricing superiority against competition. We do not employ high-low pricing strategies; instead, our everyday ticketed low price points offer superior value, enabling our customers to purchase multiple items per visit. We focus on a balanced three-tiered assortment along with an increasing selection of off-price ‘treasures’ – nationally known brands at incredible values. We do not rely on promotion-driven sales and instead seek to build our reputation through a steady stream of weekly in-store deliveries of the latest trends at great prices which drives word-of-mouth awareness and excitement in the neighborhoods we serve.</w:t>
      </w:r>
    </w:p>
    <w:p>
      <w:pPr>
        <w:spacing w:after="0" w:line="12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b w:val="1"/>
          <w:bCs w:val="1"/>
          <w:i w:val="1"/>
          <w:iCs w:val="1"/>
          <w:color w:val="auto"/>
        </w:rPr>
        <w:t>Fashions for the Entire Family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merchandise our stores to create a specialty store environment that serves as a destination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meets the apparel and non-apparel needs of the entire family. Every store offers a comprehensive selection of always-changing, curated products for men, women and children with a range of size options in each category. In addition, we offer home goods and consumables. We believe that our small-footprint stores, combined with a specialty store experience, friendly customer service where we often know our customers’ names, and breadth of merchandise, distinguishes our stores from many competitors and creates an exciting and welcoming environment that encourages repeat visits from the local community.</w:t>
      </w:r>
    </w:p>
    <w:p>
      <w:pPr>
        <w:spacing w:after="0" w:line="115"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b w:val="1"/>
          <w:bCs w:val="1"/>
          <w:i w:val="1"/>
          <w:iCs w:val="1"/>
          <w:color w:val="auto"/>
        </w:rPr>
        <w:t>Strong and Flexible Sourcing Relationships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maintain strong, long-standing sourcing relationships with a large group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while continually opening new relationships with both well-known and up-and-coming brands. We believe that our access to the African American customer drives vendor interest. Our buying team plans, develops and creates curated assortments by (i) purchasing goods developed specifically for our customer, (ii) selecting products for our customers from vendor product lines, (iii) buying opportunistically available excess inventory from reliable vendors, with the majority of our merchandise purchased for the current season and a lesser quantity held for sale in future seasons and (iv) buying extreme value, off-price deals to offer exciting national brands at significantly reduced prices. Our vendor partnerships enable us to deliver fresh items weekly to our stores. This fresh assortment, coupled with exciting and surprising off-price deals, creates a shopping experience that can’t be easily replicated in an on-line environment, positioning us as an “instant gratification store”, allowing our customers to “buy now, wear now”, avoiding shipping fees and the wait for their potential online orders. This approach allows us to offer exceptional value that goes beyond mere price – it’s the thrill of discovering fresh styles that fosters a deep, in-person connection with our customers.</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Dynamic Experience in a Friendly, Neat, Clean and Organized Environment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provide a fashion-focused shopping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 that is easy to navigate, encouraging shopping across divisions with a well-laid-out floor plan and exciting product displays throughout the space. We use a combination of style groupings, outfit suggestions and by-size displays to balance ease of shopping with suggestive selling. In each department, we showcase opening price-point offerings to enhance our strong value statement. Our stores are neat, clean and organized, offering a friendly environment where customers are encouraged to linger, explore and visit often. We are focused on refreshing and remodeling our store base to keep our stores current and continually refine our store format to ensure that we meet the needs of our customers and our store associates.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b w:val="1"/>
          <w:bCs w:val="1"/>
          <w:i w:val="1"/>
          <w:iCs w:val="1"/>
          <w:color w:val="auto"/>
        </w:rPr>
        <w:t>Friendly and Helpful Store Associates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store associates are trained to provide friendly and helpful customer service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 a positive shopping experience. Many of our store associates live in the neighborhoods where our stores are located and frequently shop our stores themselves. We have a long heritage of a diverse and inclusive workplace; 91% of our store associates are African American or multicultural, and more than 90% of our store management positions are filled by women. As a result, our store associates cultivate a unique culture in our stores that creates a high level of connectivity with our customers. We strive to make our stores a destination where everyone is welcome, and our store associates foster that vision every day through enriched customer engagement.</w:t>
      </w:r>
    </w:p>
    <w:p>
      <w:pPr>
        <w:spacing w:after="0" w:line="11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b w:val="1"/>
          <w:bCs w:val="1"/>
          <w:i w:val="1"/>
          <w:iCs w:val="1"/>
          <w:color w:val="auto"/>
        </w:rPr>
        <w:t>Compelling, Convenient and Cost-Effective Neighborhood Store Locations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locate our stores in high-traffic outdoor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neighborhood shopping centers that are convenient primarily to African American families. Our location strategy allows us to be an integral part of the communities we serve while providing convenience for our customers. We believe that these neighborhood locations are difficult to duplicate, creating a competitive moat for our brand. We generally utilize previously occupied store sites in locations where we are often the brightest and cleanest store in the shopping center, which enables us to obtain attractive rents while establishing ourselves as neighborhood cornerstones. When opening new stores, we seek to partner with landlords that contribute to buildout costs, which helps maintain lower startup and fixturing investment.</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Highly Talented and Motivated Leadership Team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senior management team, led by Ken Seipel,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extensive retail experience across a broad range of disciplines, including merchandising, real estate, finance, store operations, supply chain management, human resources and information technology. Our management team plans and drives our growth strategy, which is based on our constant focus on providing trend-driven merchandise anchored in value to the mid to lower income African American populations. We believe our management team is integral to our success and positions us well for long-term growth.</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4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With our focus on culturally-relevant fashion, exciting brands, and accessible pricing in each of our neighborhood locations, we believe that Citi Trends is in a unique position to serve our loyal customer base, with a long runway for comp sales growth, store unit growth and a motivated leadership team supported by a healthy balance sheet.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identified the following areas of focus to restore the Company’s financial performance and to maximize long-term growth:</w:t>
      </w:r>
    </w:p>
    <w:p>
      <w:pPr>
        <w:spacing w:after="0" w:line="12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b w:val="1"/>
          <w:bCs w:val="1"/>
          <w:i w:val="1"/>
          <w:iCs w:val="1"/>
          <w:color w:val="auto"/>
        </w:rPr>
        <w:t>Offer Compelling Value Proposition</w:t>
      </w:r>
      <w:r>
        <w:rPr>
          <w:rFonts w:ascii="Arial" w:cs="Arial" w:eastAsia="Arial" w:hAnsi="Arial"/>
          <w:sz w:val="17"/>
          <w:szCs w:val="17"/>
          <w:color w:val="auto"/>
        </w:rPr>
        <w:t>. Our three-tiered product strategy of opening prices, core value product and familiar brands,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focused on the wants and needs of our African American customers, differentiates our model while driving customer loyalty and repeat visits. We are known for delivering newness and freshness, resulting in high customer frequency. We offer a balanced assortment of good, better and best products that resonates with our customer base across income levels. We highlight our opening price point offerings consistently across departments, ensuring our value-conscious customers can easily identify these options. Our core value product is the bedrock of our business, and we are focused on ensuring quality-for-price in this important tier. Our research confirms that our customers have good disposable income and respond positively to recognizable brands with a willingness to trade up. This insight has guided our branded merchandise strategy which will become a larger part of our product assortment. We are expanding our offering of “treasures,” or extreme value product offerings, enabling us to offer well-known brands at a significant discount to the market. Our product strategy is supported by our open-to-buy process which allows us to be flexible and responsive to emerging trends. We practice rigorous inventory management, prioritizing choice and breadth over depth, improving our speed to market and driving faster turns.</w:t>
      </w:r>
    </w:p>
    <w:p>
      <w:pPr>
        <w:spacing w:after="0" w:line="12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b w:val="1"/>
          <w:bCs w:val="1"/>
          <w:i w:val="1"/>
          <w:iCs w:val="1"/>
          <w:color w:val="auto"/>
        </w:rPr>
        <w:t xml:space="preserve">Focus on the African American Customer. </w:t>
      </w:r>
      <w:r>
        <w:rPr>
          <w:rFonts w:ascii="Arial" w:cs="Arial" w:eastAsia="Arial" w:hAnsi="Arial"/>
          <w:sz w:val="17"/>
          <w:szCs w:val="17"/>
          <w:color w:val="auto"/>
        </w:rPr>
        <w:t>We are one of the largest national retailers focused on African American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are at the core of what we do, central to our business and critical to our success. Our customers are fashion conscious and prioritize style as an expression of self. Recent extensive customer research revealed that about one third of our customers visit our stores weekly or bi-weekly and have incomes in the $75k to $150k range. The next largest tier visits monthly with incomes in the range of $50k to $75k. We also serve a base of less frequent, lower income customers who are more budget conscious. The income capacity of our two most frequent tiers of customers is the biggest realization from our recent research, qualifying the previous assumption that our entire customer base was in the low-income category. We believe that this refined understanding of our customer will strengthen our ability to predict their wants and needs, driving increased traffic and conversion in our stores.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b w:val="1"/>
          <w:bCs w:val="1"/>
          <w:i w:val="1"/>
          <w:iCs w:val="1"/>
          <w:color w:val="auto"/>
        </w:rPr>
        <w:t>Consistent Operational Excellence</w:t>
      </w:r>
      <w:r>
        <w:rPr>
          <w:rFonts w:ascii="Arial" w:cs="Arial" w:eastAsia="Arial" w:hAnsi="Arial"/>
          <w:sz w:val="17"/>
          <w:szCs w:val="17"/>
          <w:color w:val="auto"/>
        </w:rPr>
        <w:t>. Our objective is to be fast, consistent and efficient. We believe that our ability to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consistent and sustainable financial results depends on the development of fundamental retail practices and consistent execution. We have taken fast action to improve access to information and to develop consistent key performance indicators to drive business results. We have refined our product allocation methodology and are investing in artificial intelligence (“AI”)-based technology to drive more effective and efficient product allocation processes. We have made improvements to our supply chain speed and we are driving additional improvements to further reduce speed to store as well as to reduce our working capital needs. We have implemented improved product planning practices focused on pre-season strategy and open-to-buy to support growing categories. Each of these improvements is supported by having the right talent in place. We believe that these foundational improvements will drive near-term financial results while positioning us for future, accelerated growth.</w:t>
      </w:r>
    </w:p>
    <w:p>
      <w:pPr>
        <w:spacing w:after="0" w:line="12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b w:val="1"/>
          <w:bCs w:val="1"/>
          <w:i w:val="1"/>
          <w:iCs w:val="1"/>
          <w:color w:val="auto"/>
        </w:rPr>
        <w:t>Growth</w:t>
      </w:r>
      <w:r>
        <w:rPr>
          <w:rFonts w:ascii="Arial" w:cs="Arial" w:eastAsia="Arial" w:hAnsi="Arial"/>
          <w:sz w:val="17"/>
          <w:szCs w:val="17"/>
          <w:color w:val="auto"/>
        </w:rPr>
        <w:t>. We believe that our 591 stores located in the heart of African American neighborhoods is a key differentiator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gives us a defensible moat around our business and store base. To improve the financial performance of the company, we are focused on improving productivity in our existing stores by sharpening our focus on our African American customers and strategically investing in product categories identified for intensification through our customer insights studies, both with a goal of driving increased foot traffic and basket. Finally, we believe that an integral part of our sales growth is the continued refinement of our store format, incorporating customer feedback and insights from operational results to improve the in-store experience and enhance profitability. We are remodeling existing stores to the updated format, and all new stores will open in the revised format.</w:t>
      </w:r>
    </w:p>
    <w:p>
      <w:pPr>
        <w:spacing w:after="0" w:line="116"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color w:val="auto"/>
        </w:rPr>
        <w:t>While we believe that maximizing the productivity of our existing fleet provides significant near-term opportunity for sales and earnings growth, we continue to believe that Citi Trends has the potential to grow, and we expect to accelerate square footage expansion in the range of 6% to 10% annually over time.</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b w:val="1"/>
          <w:bCs w:val="1"/>
          <w:i w:val="1"/>
          <w:iCs w:val="1"/>
          <w:color w:val="auto"/>
        </w:rPr>
        <w:t xml:space="preserve">People. </w:t>
      </w:r>
      <w:r>
        <w:rPr>
          <w:rFonts w:ascii="Arial" w:cs="Arial" w:eastAsia="Arial" w:hAnsi="Arial"/>
          <w:sz w:val="17"/>
          <w:szCs w:val="17"/>
          <w:color w:val="auto"/>
        </w:rPr>
        <w:t>We believe that our people are a key differentiator for our business and are key to the continued transformation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Our buying team is trained to understand our customers, what motivates them to shop at Citi Trends and what creates an emotional connection to the brand. Our buyers also cultivate strong relationships with the vendor community to ensure access to the exciting, trend-right product that our customers rely on us to provide. We believe that our store associates, many of whom come from the neighborhoods we serve, are another key component of the in-store experience. They create an exciting and welcoming shopping experience for our customers and serve as a valuable source of insights on our core customers’ needs and preferences. Our leadership team is made up of functional experts who are adept at leading through change. Under the direction of Ken Seipel, our Chief Executive Officer, we believe that our people are key to the Company’s success.</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strongly believe that our business strategy centered around these five areas will restore our financial performance and accelerate our long-term sales and earnings growth.</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and Value</w:t>
      </w:r>
    </w:p>
    <w:p>
      <w:pPr>
        <w:spacing w:after="0" w:line="12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Our merchandising strategy focuses on delivering fresh, fashionable and trend-right apparel, accessories and home products at exceptional value for cost-conscious African American families. As the go-to family store in the neighborhood, we are committed to maintaining a diverse, seasonally relevant assortment that reflects the bold style and preferences of our customers. Our product offerings include a balanced mix of privately developed brands and nationally recognized labels, ensuring both quality and affordability.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Our merchandise is represented by six distinct divisions within the store:</w:t>
      </w:r>
    </w:p>
    <w:p>
      <w:pPr>
        <w:spacing w:after="0" w:line="142" w:lineRule="exact"/>
        <w:rPr>
          <w:sz w:val="20"/>
          <w:szCs w:val="20"/>
          <w:color w:val="auto"/>
        </w:rPr>
      </w:pPr>
    </w:p>
    <w:p>
      <w:pPr>
        <w:ind w:left="680" w:right="620" w:hanging="321"/>
        <w:spacing w:after="0" w:line="266"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Womens: </w:t>
      </w:r>
      <w:r>
        <w:rPr>
          <w:rFonts w:ascii="Arial" w:cs="Arial" w:eastAsia="Arial" w:hAnsi="Arial"/>
          <w:sz w:val="17"/>
          <w:szCs w:val="17"/>
          <w:color w:val="auto"/>
        </w:rPr>
        <w:t>a wide selection of apparel for juniors, missy and plus size, including trend right sportswear, outerwear,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sleepwear, lingerie and scrubs.</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Mens: </w:t>
      </w:r>
      <w:r>
        <w:rPr>
          <w:rFonts w:ascii="Arial" w:cs="Arial" w:eastAsia="Arial" w:hAnsi="Arial"/>
          <w:sz w:val="17"/>
          <w:szCs w:val="17"/>
          <w:color w:val="auto"/>
        </w:rPr>
        <w:t>a wide selection of apparel for men and big men, including trend right sportswear and outerwear.</w:t>
      </w:r>
    </w:p>
    <w:p>
      <w:pPr>
        <w:spacing w:after="0" w:line="154" w:lineRule="exact"/>
        <w:rPr>
          <w:rFonts w:ascii="Times New Roman" w:cs="Times New Roman" w:eastAsia="Times New Roman" w:hAnsi="Times New Roman"/>
          <w:sz w:val="17"/>
          <w:szCs w:val="17"/>
          <w:color w:val="auto"/>
        </w:rPr>
      </w:pPr>
    </w:p>
    <w:p>
      <w:pPr>
        <w:ind w:left="680" w:right="560" w:hanging="321"/>
        <w:spacing w:after="0" w:line="266"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Kids: </w:t>
      </w:r>
      <w:r>
        <w:rPr>
          <w:rFonts w:ascii="Arial" w:cs="Arial" w:eastAsia="Arial" w:hAnsi="Arial"/>
          <w:sz w:val="17"/>
          <w:szCs w:val="17"/>
          <w:color w:val="auto"/>
        </w:rPr>
        <w:t>a wide assortment of basics, fashion and trends for boys up to size 20 and girls up to size 16. Also, sizes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newborns, infants and toddlers, as well as kids uniforms, accessories and sleepwear.</w:t>
      </w:r>
    </w:p>
    <w:p>
      <w:pPr>
        <w:spacing w:after="0" w:line="78" w:lineRule="exact"/>
        <w:rPr>
          <w:rFonts w:ascii="Times New Roman" w:cs="Times New Roman" w:eastAsia="Times New Roman" w:hAnsi="Times New Roman"/>
          <w:sz w:val="17"/>
          <w:szCs w:val="17"/>
          <w:color w:val="auto"/>
        </w:rPr>
      </w:pPr>
    </w:p>
    <w:p>
      <w:pPr>
        <w:ind w:left="680" w:right="500" w:hanging="321"/>
        <w:spacing w:after="0" w:line="266"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Accessories &amp; Beauty: </w:t>
      </w:r>
      <w:r>
        <w:rPr>
          <w:rFonts w:ascii="Arial" w:cs="Arial" w:eastAsia="Arial" w:hAnsi="Arial"/>
          <w:sz w:val="17"/>
          <w:szCs w:val="17"/>
          <w:color w:val="auto"/>
        </w:rPr>
        <w:t>fashionable handbags, luggage, hats, belts, sunglasses, jewelry and watches for men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women, underwear and socks for the entire family, as well as beauty and fragrance offerings for women and men.</w:t>
      </w:r>
    </w:p>
    <w:p>
      <w:pPr>
        <w:spacing w:after="0" w:line="92" w:lineRule="exact"/>
        <w:rPr>
          <w:rFonts w:ascii="Times New Roman" w:cs="Times New Roman" w:eastAsia="Times New Roman" w:hAnsi="Times New Roman"/>
          <w:sz w:val="17"/>
          <w:szCs w:val="17"/>
          <w:color w:val="auto"/>
        </w:rPr>
      </w:pPr>
    </w:p>
    <w:p>
      <w:pPr>
        <w:ind w:left="680" w:right="560" w:hanging="321"/>
        <w:spacing w:after="0" w:line="249"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Home &amp; Lifestyle: </w:t>
      </w:r>
      <w:r>
        <w:rPr>
          <w:rFonts w:ascii="Arial" w:cs="Arial" w:eastAsia="Arial" w:hAnsi="Arial"/>
          <w:sz w:val="17"/>
          <w:szCs w:val="17"/>
          <w:color w:val="auto"/>
        </w:rPr>
        <w:t>home goods for the bedroom, bathroom, kitchen and decorative accessories, plus an eclectic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composition of wants and needs such as books, food, tech products, team sports products, toys, health and beauty products and seasonal items.</w:t>
      </w:r>
    </w:p>
    <w:p>
      <w:pPr>
        <w:spacing w:after="0" w:line="10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Footwear: </w:t>
      </w:r>
      <w:r>
        <w:rPr>
          <w:rFonts w:ascii="Arial" w:cs="Arial" w:eastAsia="Arial" w:hAnsi="Arial"/>
          <w:sz w:val="17"/>
          <w:szCs w:val="17"/>
          <w:color w:val="auto"/>
        </w:rPr>
        <w:t>casual and dress footwear in sizes for men, women and kids.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percentage of net sales for each Division within the store:</w:t>
      </w:r>
    </w:p>
    <w:p>
      <w:pPr>
        <w:spacing w:after="0" w:line="168"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5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Divisions</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gridSpan w:val="2"/>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2024</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Womens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Kids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23 %  23 %   23 %</w:t>
            </w: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Accessories &amp; Beauty</w:t>
            </w:r>
          </w:p>
        </w:tc>
        <w:tc>
          <w:tcPr>
            <w:tcW w:w="1800" w:type="dxa"/>
            <w:vAlign w:val="bottom"/>
            <w:gridSpan w:val="6"/>
            <w:shd w:val="clear" w:color="auto" w:fill="CCEEFF"/>
          </w:tcPr>
          <w:p>
            <w:pPr>
              <w:jc w:val="right"/>
              <w:ind w:right="35"/>
              <w:spacing w:after="0"/>
              <w:rPr>
                <w:sz w:val="20"/>
                <w:szCs w:val="20"/>
                <w:color w:val="auto"/>
              </w:rPr>
            </w:pPr>
            <w:r>
              <w:rPr>
                <w:rFonts w:ascii="Arial" w:cs="Arial" w:eastAsia="Arial" w:hAnsi="Arial"/>
                <w:sz w:val="17"/>
                <w:szCs w:val="17"/>
                <w:color w:val="auto"/>
              </w:rPr>
              <w:t>17 %  17 %   18 %</w:t>
            </w:r>
          </w:p>
        </w:tc>
        <w:tc>
          <w:tcPr>
            <w:tcW w:w="0" w:type="dxa"/>
            <w:vAlign w:val="bottom"/>
          </w:tcPr>
          <w:p>
            <w:pPr>
              <w:spacing w:after="0"/>
              <w:rPr>
                <w:sz w:val="1"/>
                <w:szCs w:val="1"/>
                <w:color w:val="auto"/>
              </w:rPr>
            </w:pP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Mens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17 %  17 %   17 %</w:t>
            </w: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10 %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9 %</w:t>
            </w:r>
          </w:p>
        </w:tc>
        <w:tc>
          <w:tcPr>
            <w:tcW w:w="6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6 %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7 %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goal is to deliver outstanding value every day. We do this by offering access to fashion and trends at affordable prices that are desirable for African American families. As a normal course, we do not engage in promotional activity such as high-low pricing, coupons or sales other than our regularly scheduled markdowns. Our assortment balances tiers of good, better, best products, ensuring a broad appeal across diverse income levels. The flexibility of our model allows our pricing structure to fluctuate in response to marketplace changes while maintaining our merchandise margins. Both branded and non-branded offerings validate our fashion and value to our customers.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Sourcing and Allocation</w:t>
      </w:r>
    </w:p>
    <w:p>
      <w:pPr>
        <w:spacing w:after="0" w:line="142"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We believe that our flexible, value-conscious business model and ever-changing assortment that results from our fresh flow of inventory differentiates us from traditional retailers. We source our merchandise from thousands of domestic manufacturers and importers. Our merchandising division consists of a buying team, a planning team and an allocation team.</w:t>
      </w:r>
    </w:p>
    <w:p>
      <w:pPr>
        <w:spacing w:after="0" w:line="94"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Our buyers have extensive experience and have developed long-standing relationships with many of our vendors. Our buying office is located in New York City, and the team travels regularly to the major United States markets, visiting manufacturers and attending national and regional trade shows.</w:t>
      </w:r>
    </w:p>
    <w:p>
      <w:pPr>
        <w:spacing w:after="0" w:line="10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buying team sources merchandise through multiple channels to ensure a fresh and trendy assortment. First, we work with a continuously evolving network of vendors that manufacture products exclusively for Citi Trends’ core customers. Our buyers collaborate with these vendors who specialize in trend identification and product development to design and manufacture exclusive products for Citi Trends, providing our fashion-savvy customers with unique standout styles they won’t find anywhere else. Second, we maintain partnerships with nationally recognized brands and labels, collaborating to customize products in size, color and style to align with the specific needs and preferences of our customers. Third, we leverage all of our vendor relationships to opportunistically buy close-out product at incredible value. Fourth, we buy extreme value, off-price deals from a wide variety of sources, allowing us to offer our customers exciting national brands at significantly reduced prices.</w:t>
      </w:r>
    </w:p>
    <w:p>
      <w:pPr>
        <w:spacing w:after="0" w:line="116"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While almost all of our merchandise is first-quality and delivered in-season, we also purchase high-quality excess inventory at advantageous pricing with the intent of selling later in the same season or the following season. This allows us to deliver extreme value on select highly desirable goods.</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allocate merchandise across our stores according to fact-based plans that are created by our planning and allocation teams. Our staff utilizes a centralized management system to monitor merchandise purchasing, planning and allocation to manage inventory turnover, identify and respond to changing customer demands and determine the timing of markdowns. We simplified our allocation methodology in fiscal 2024, enabling us to more effectively allocate products, strategically distributing them across three store volume definitions: high, average and low. In fiscal 2024, we also launched a test of an AI-based allocation system that will use predictive analytics to forecast sales trends, further enhancing our product allocation capabilities. We expect that system to be fully implemented by the second half of fiscal 2025. These upgrades should optimize our inventory distribution to better meet the needs of our customers. Our buyers also regularly review the age and performance of merchandise and manage both the reordering and markdown processes.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Operations</w:t>
      </w:r>
    </w:p>
    <w:p>
      <w:pPr>
        <w:spacing w:after="0" w:line="14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stores are located in the heart of the mid to lower income neighborhoods we serve. We hire a diverse staff of women and men from the local area surrounding our stores. As of February 1, 2025, 91% of our store associates are African American or multicultural, and more than 90% of our store management positions are filled by women. We cater to entire families and offer a compelling shopping experience in the communities in which we operate. We welcome everyone with “Hi, welcome to Citi Trends,” and we develop a longstanding rapport with many of our customers, many of whom we know by name. Every Citi Trends store presents a specialty store environment with a wide array of product offerings.</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average selling space of our 591 stores is approximately 11,000 square feet, which allows us the space and flexibility to organize our six product divisions in exciting and appealing ways. The unobstructed floor plan allows the customer to see almost all of the different product areas from the store entrance and provides us the flexibility to easily expand and contract departments in response to customer demand, seasonality and merchandise availability. Nearly all of our inventory is displayed on the selling floor. Our mission is to curate culturally relevant fashion, great brands and compelling price points for our core customers in an exciting shopping environment. A critical component of our success is to maintain an environment that is neat, clean and organized, where everyone is welcome.</w:t>
      </w:r>
    </w:p>
    <w:p>
      <w:pPr>
        <w:spacing w:after="0" w:line="101"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typical store is staffed with a Store Manager and multiple Assistant Managers, along with five to eight part-time Sales associates, all of whom rotate work days on a shift basis. Our associates are critical to achieving our goals, and we strive to hire motivated associates from the local community with high energy levels. We have well-established store operating policies and procedures and an extensive 30-day in-store training program for new Store Managers and Assistant Managers. Sales associates also participate in a 14-day customer service and store procedures training program, which is designed to enable them to assist customers in a friendly and helpful manner.</w:t>
      </w:r>
    </w:p>
    <w:p>
      <w:pPr>
        <w:spacing w:after="0" w:line="115"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offer a layaway program, allowing customers to purchase merchandise by initially paying a 20% deposit and a $2 service charge. At various times throughout the year, we reduce the deposit requirement to 10% and waive the service charge in connection with promotional events. The customer then makes additional payments every two weeks and has 60 days to complete the purchase. If the purchase is not completed, the customer receives a Citi Trends gift card for amounts paid less a re-stocking and layaway service fee. In addition, we offer a buy-now-pay-later program through an external vendor that allows customers to split purchases into four installments over six weeks.</w:t>
      </w:r>
    </w:p>
    <w:p>
      <w:pPr>
        <w:spacing w:after="0" w:line="11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unique focus on African American families offers us the opportunity to pinpoint highly targeted and highly visible store locations. Cost-effective store locations are an important part of our store profitability model. Accordingly, we look for locations in high-traffic outdoor neighborhood shopping centers that offer attractive rents and meet our demographic and economic criteria. We have a dedicated real estate management team responsible for new store site selection, and we employ rigorous analysis to approve final store selection decisions. In selecting a location, we target urban, suburban and rural markets, and our strategy includes both further densification of existing markets and entering new markets over time. In addition, we require convenient site accessibility, as well as strong co-tenants, such as grocery stores, dollar stores, beauty stores and other value stores. We aim to be an integral part of our customers’ community by providing a compelling shopping destination and career opportunities.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and Marketing</w:t>
      </w:r>
    </w:p>
    <w:p>
      <w:pPr>
        <w:spacing w:after="0" w:line="14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Our marketing goals are to build awareness of the Citi Trends brand, promote customers’ association of the Citi Trends brand with value, quality, fashion and everyday low prices, engage our customers in meaningful ways, and drive traffic into our stores. We generally focus our organic advertising efforts on emails, social media and text messaging. We use our social media channels to highlight our brand and engage our customers with compelling digital content on a regular basis. We generally focus our paid marketing efforts on radio, digital ads, paid social media influencers, and website retargeting. Our website, </w:t>
      </w:r>
      <w:r>
        <w:rPr>
          <w:rFonts w:ascii="Arial" w:cs="Arial" w:eastAsia="Arial" w:hAnsi="Arial"/>
          <w:sz w:val="17"/>
          <w:szCs w:val="17"/>
          <w:i w:val="1"/>
          <w:iCs w:val="1"/>
          <w:color w:val="auto"/>
        </w:rPr>
        <w:t>cititrends.com</w:t>
      </w:r>
      <w:r>
        <w:rPr>
          <w:rFonts w:ascii="Arial" w:cs="Arial" w:eastAsia="Arial" w:hAnsi="Arial"/>
          <w:sz w:val="17"/>
          <w:szCs w:val="17"/>
          <w:color w:val="auto"/>
        </w:rPr>
        <w:t>, showcases our latest products and provides information about our business, our store locations, and more.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majority of merchandise sold in our stores is shipped directly from our company-operated distribution centers in Darlington, South Carolina and Roland, Oklahoma, utilizing third-party delivery partners. Our stores receive multiple shipments of merchandise each week from our distribution centers. In addition, we utilize a vendor direct-to-store shipping program that enables us to expedite the delivery of select merchandise to our stores by shipping directly from our vendors.</w:t>
      </w:r>
    </w:p>
    <w:p>
      <w:pPr>
        <w:spacing w:after="0" w:line="11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Darlington distribution center has 550,000 square feet of space, and the Roland distribution center has 565,000 square feet of space. The distribution centers’ value-added services include, but are not limited to, receiving, price ticketing, packing and shipping specific store-allocated quantities. We continue to evaluate distribution, transportation and supply chain alternatives to accelerate the movement of merchandise from our vendor origin points to our stores as optimally as possible.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and Systems</w:t>
      </w:r>
    </w:p>
    <w:p>
      <w:pPr>
        <w:spacing w:after="0" w:line="14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have information systems in place to support our core business functions, using a combination of industry-standard third-party products and internally developed applications. These systems support purchase order management, price and markdown management, merchandise planning and allocation, general ledger, accounts payable, sales audit, loss prevention, store operations and supply chain functions.</w:t>
      </w:r>
    </w:p>
    <w:p>
      <w:pPr>
        <w:spacing w:after="0" w:line="110"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In fiscal 2024, we launched multiple initiatives to advance our technology ecosystem. These projects include leveraging AI capabilities in key areas such as allocation, loss prevention, and store operations which we anticipate completing in fiscal 2025. Moving forward, we will continue to explore AI-capabilities in our systems as we expect them to improve our operational and execution capabilities.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4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markets we serve are highly competitive. We compete with a broad range of retailers, including national chains, mass merchants, discount stores and specialty stores with both physical locations and online stores. We believe we have a competitive advantage in our offering of culturally relevant fashion and trends at everyday low prices, and that our strategy of focusing on African American customers puts us in a unique competitive position. We also believe we offer a more inviting store format than the traditional retailers, including our assortment and layout of merchandise, use of colorful signage, and use of fixtures that are easy to shop. Our competitors generally focus less on trend-driven apparel and, within their apparel offering, lack the Cultural Cachet that appeals to our core customers. As a result, we believe there is significant demand for an off-price value retailer that addresses the market of African American customers who seek extreme value for fashion apparel, accessories and home goods. See Item 1A. Risk Factors in this Report for additional information regarding competition in our markets.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trademarks and service marks have significant value and are important to our marketing efforts. Our marks registered with the U.S. Patent and Trademark Office include “Citi Trends,” “Citi Steps,” “Citi Trends Fashion for Less,” “CitiHome,” “CITI</w:t>
      </w:r>
      <w:r>
        <w:rPr>
          <w:rFonts w:ascii="Arial" w:cs="Arial" w:eastAsia="Arial" w:hAnsi="Arial"/>
          <w:sz w:val="17"/>
          <w:szCs w:val="17"/>
          <w:i w:val="1"/>
          <w:iCs w:val="1"/>
          <w:color w:val="auto"/>
        </w:rPr>
        <w:t>cares</w:t>
      </w:r>
      <w:r>
        <w:rPr>
          <w:rFonts w:ascii="Arial" w:cs="Arial" w:eastAsia="Arial" w:hAnsi="Arial"/>
          <w:sz w:val="17"/>
          <w:szCs w:val="17"/>
          <w:color w:val="auto"/>
        </w:rPr>
        <w:t>,” “MCMXXXIII,” “Lil Ms Hollywood,” “Red Ape,” and “Vintage Harlem.” Our policy is to pursue registration of our marks and to vigorously protect them.</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Expenses and, to a greater extent, operating income, vary by quarter. Results may fluctuate due to changes in our business, consumer spending patterns and the macroeconomic environment. Furthermore, the seasonal nature of our business may affect comparisons between periods.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4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success of Citi Trends is directly attributable to our people and their passion to achieve our performance goals. We recognize the importance of attracting and retaining top talent in our workforce that reflects the neighborhoods we serve. We strive to make Citi Trends a diverse, inclusive and safe workplace, with opportunities for our associates to grow and develop in their careers, supported by competitive compensation, benefits and health and wellness programs, and by programs that build connections between our associates and their communities.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 xml:space="preserve">Associates. </w:t>
      </w:r>
      <w:r>
        <w:rPr>
          <w:rFonts w:ascii="Arial" w:cs="Arial" w:eastAsia="Arial" w:hAnsi="Arial"/>
          <w:sz w:val="17"/>
          <w:szCs w:val="17"/>
          <w:color w:val="auto"/>
        </w:rPr>
        <w:t>As of February 1, 2025, we had approximately 2,600 full-time and approximately 2,000 part-time associates.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approximately 3,800 are employed in our stores and the remainder are employed in our distribution centers, buying offices and corporate office. We are not a party to any collective bargaining agreements, and none of our associates are represented by a labor union.</w:t>
      </w:r>
    </w:p>
    <w:p>
      <w:pPr>
        <w:spacing w:after="0" w:line="11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i w:val="1"/>
          <w:iCs w:val="1"/>
          <w:color w:val="auto"/>
        </w:rPr>
        <w:t xml:space="preserve">“CITI LIFE” - Corporate Culture. </w:t>
      </w:r>
      <w:r>
        <w:rPr>
          <w:rFonts w:ascii="Arial" w:cs="Arial" w:eastAsia="Arial" w:hAnsi="Arial"/>
          <w:sz w:val="17"/>
          <w:szCs w:val="17"/>
          <w:color w:val="auto"/>
        </w:rPr>
        <w:t>Our purpose and values culture is a primary driver of how our teams collaborate on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initiatives that contribute to our results and ability to attract new talent who desire to work for a purpose-led brand. The foundation of “Citi Life” is that </w:t>
      </w:r>
      <w:r>
        <w:rPr>
          <w:rFonts w:ascii="Arial" w:cs="Arial" w:eastAsia="Arial" w:hAnsi="Arial"/>
          <w:sz w:val="17"/>
          <w:szCs w:val="17"/>
          <w:i w:val="1"/>
          <w:iCs w:val="1"/>
          <w:color w:val="auto"/>
        </w:rPr>
        <w:t>Life is best when you Live BOLD, Live PROUD and Respect ALL.</w:t>
      </w:r>
      <w:r>
        <w:rPr>
          <w:rFonts w:ascii="Arial" w:cs="Arial" w:eastAsia="Arial" w:hAnsi="Arial"/>
          <w:sz w:val="17"/>
          <w:szCs w:val="17"/>
          <w:color w:val="auto"/>
        </w:rPr>
        <w:t xml:space="preserve"> This is supported by our five core values that define who we are as a Company:</w:t>
      </w:r>
    </w:p>
    <w:p>
      <w:pPr>
        <w:spacing w:after="0" w:line="110" w:lineRule="exact"/>
        <w:rPr>
          <w:sz w:val="20"/>
          <w:szCs w:val="20"/>
          <w:color w:val="auto"/>
        </w:rPr>
      </w:pPr>
    </w:p>
    <w:p>
      <w:pPr>
        <w:ind w:left="520" w:hanging="161"/>
        <w:spacing w:after="0" w:line="283" w:lineRule="auto"/>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One with My Citi. </w:t>
      </w:r>
      <w:r>
        <w:rPr>
          <w:rFonts w:ascii="Arial" w:cs="Arial" w:eastAsia="Arial" w:hAnsi="Arial"/>
          <w:sz w:val="17"/>
          <w:szCs w:val="17"/>
          <w:color w:val="auto"/>
        </w:rPr>
        <w:t>We connect with our neighborhoods to develop long-standing relationships with the people and places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need us.</w:t>
      </w:r>
    </w:p>
    <w:p>
      <w:pPr>
        <w:spacing w:after="0" w:line="159"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Respect is Our Style. </w:t>
      </w:r>
      <w:r>
        <w:rPr>
          <w:rFonts w:ascii="Arial" w:cs="Arial" w:eastAsia="Arial" w:hAnsi="Arial"/>
          <w:sz w:val="17"/>
          <w:szCs w:val="17"/>
          <w:color w:val="auto"/>
        </w:rPr>
        <w:t>We treat everyone like we want to be treated while celebrating our diversity and inclusion.</w:t>
      </w:r>
    </w:p>
    <w:p>
      <w:pPr>
        <w:spacing w:after="0" w:line="222"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Success is Your Trend. </w:t>
      </w:r>
      <w:r>
        <w:rPr>
          <w:rFonts w:ascii="Arial" w:cs="Arial" w:eastAsia="Arial" w:hAnsi="Arial"/>
          <w:sz w:val="17"/>
          <w:szCs w:val="17"/>
          <w:color w:val="auto"/>
        </w:rPr>
        <w:t>Our associates can plan a path, follow it and get the support needed to build a career.</w:t>
      </w:r>
    </w:p>
    <w:p>
      <w:pPr>
        <w:spacing w:after="0" w:line="222"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Amaze Our Customers. </w:t>
      </w:r>
      <w:r>
        <w:rPr>
          <w:rFonts w:ascii="Arial" w:cs="Arial" w:eastAsia="Arial" w:hAnsi="Arial"/>
          <w:sz w:val="17"/>
          <w:szCs w:val="17"/>
          <w:color w:val="auto"/>
        </w:rPr>
        <w:t>Our customers come first, and it is our job to go above-and-beyond</w:t>
      </w:r>
      <w:r>
        <w:rPr>
          <w:rFonts w:ascii="Arial" w:cs="Arial" w:eastAsia="Arial" w:hAnsi="Arial"/>
          <w:sz w:val="17"/>
          <w:szCs w:val="17"/>
          <w:i w:val="1"/>
          <w:iCs w:val="1"/>
          <w:color w:val="auto"/>
        </w:rPr>
        <w:t>.</w:t>
      </w:r>
    </w:p>
    <w:p>
      <w:pPr>
        <w:spacing w:after="0" w:line="222" w:lineRule="exact"/>
        <w:rPr>
          <w:rFonts w:ascii="Times New Roman" w:cs="Times New Roman" w:eastAsia="Times New Roman" w:hAnsi="Times New Roman"/>
          <w:sz w:val="17"/>
          <w:szCs w:val="17"/>
          <w:color w:val="auto"/>
        </w:rPr>
      </w:pPr>
    </w:p>
    <w:p>
      <w:pPr>
        <w:ind w:left="520" w:right="80" w:hanging="161"/>
        <w:spacing w:after="0" w:line="283" w:lineRule="auto"/>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Make it Fun. Make it Fresh. Make it Friendly. </w:t>
      </w:r>
      <w:r>
        <w:rPr>
          <w:rFonts w:ascii="Arial" w:cs="Arial" w:eastAsia="Arial" w:hAnsi="Arial"/>
          <w:sz w:val="17"/>
          <w:szCs w:val="17"/>
          <w:color w:val="auto"/>
        </w:rPr>
        <w:t>We encourage a healthy, energetic atmosphere for our customers, friends and</w:t>
      </w:r>
      <w:r>
        <w:rPr>
          <w:rFonts w:ascii="Arial" w:cs="Arial" w:eastAsia="Arial" w:hAnsi="Arial"/>
          <w:sz w:val="17"/>
          <w:szCs w:val="17"/>
          <w:i w:val="1"/>
          <w:iCs w:val="1"/>
          <w:color w:val="auto"/>
        </w:rPr>
        <w:t xml:space="preserve"> </w:t>
      </w:r>
      <w:r>
        <w:rPr>
          <w:rFonts w:ascii="Arial" w:cs="Arial" w:eastAsia="Arial" w:hAnsi="Arial"/>
          <w:sz w:val="17"/>
          <w:szCs w:val="17"/>
          <w:color w:val="auto"/>
        </w:rPr>
        <w:t>family.</w:t>
      </w:r>
    </w:p>
    <w:p>
      <w:pPr>
        <w:spacing w:after="0" w:line="15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believe these core values represent the emotional connection that our customers and associates have with Citi Trends and are integral to the successful achievement of our long-term growth plans.</w:t>
      </w:r>
    </w:p>
    <w:p>
      <w:pPr>
        <w:spacing w:after="0" w:line="7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b w:val="1"/>
          <w:bCs w:val="1"/>
          <w:i w:val="1"/>
          <w:iCs w:val="1"/>
          <w:color w:val="auto"/>
        </w:rPr>
        <w:t>Diversity and Inclusion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objective is to ensure that our workforce reflects the ethnicity and cultural sensibilities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base, with a particular focus on the African American community. We believe that a diverse and inclusive team is critical to our success. We strive to foster an intentionally inclusive, diverse and productive working environment where our associates are valued and respected. We continue to focus on attracting, developing and retaining team members that reflect the diverse communities we serve. As of February 1, 2025, 85% of our team members are African American or multicultural and 81% are female. In addition, three of our eight board members are African American females.</w:t>
      </w:r>
    </w:p>
    <w:p>
      <w:pPr>
        <w:spacing w:after="0" w:line="115" w:lineRule="exact"/>
        <w:rPr>
          <w:sz w:val="20"/>
          <w:szCs w:val="20"/>
          <w:color w:val="auto"/>
        </w:rPr>
      </w:pPr>
    </w:p>
    <w:p>
      <w:pPr>
        <w:ind w:right="420"/>
        <w:spacing w:after="0" w:line="249" w:lineRule="auto"/>
        <w:rPr>
          <w:sz w:val="20"/>
          <w:szCs w:val="20"/>
          <w:color w:val="auto"/>
        </w:rPr>
      </w:pPr>
      <w:r>
        <w:rPr>
          <w:rFonts w:ascii="Arial" w:cs="Arial" w:eastAsia="Arial" w:hAnsi="Arial"/>
          <w:sz w:val="17"/>
          <w:szCs w:val="17"/>
          <w:b w:val="1"/>
          <w:bCs w:val="1"/>
          <w:i w:val="1"/>
          <w:iCs w:val="1"/>
          <w:color w:val="auto"/>
        </w:rPr>
        <w:t>Health, Safety and Wellness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 of our business is fundamentally connected to the well-being of our people.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we are committed to the health, safety and wellness of our associates. We follow guidance released by state and federal health officials to create a safe environment for our associates to work and our customers to shop.</w:t>
      </w:r>
    </w:p>
    <w:p>
      <w:pPr>
        <w:spacing w:after="0" w:line="10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b w:val="1"/>
          <w:bCs w:val="1"/>
          <w:i w:val="1"/>
          <w:iCs w:val="1"/>
          <w:color w:val="auto"/>
        </w:rPr>
        <w:t>Compensation and Benefits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competitive compensation and comprehensive benefits programs to help meet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needs of our associates. In addition to salaries, these programs (which vary by position) include annual bonuses, stock awards, a 401(k) match, healthcare and insurance benefits, paid time off and personal/family leave.</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Training and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associates are critical to achieving our goals, and we strive to hire high-energy and motivated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We have well-established store operating policies and procedures and an extensive 30-day in-store training program for new store management members. Sales associates also participate in a 14-day customer service and store procedures training program, which is designed to enable them to assist customers in a friendly and helpful manner. Commensurate with our purpose and values, we continually seek ways to enhance our training and development programs to further ensure they provide associates with the resources they need to help achieve their career goals and build management and leadership skills.</w:t>
      </w:r>
    </w:p>
    <w:p>
      <w:pPr>
        <w:spacing w:after="0" w:line="115"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b w:val="1"/>
          <w:bCs w:val="1"/>
          <w:i w:val="1"/>
          <w:iCs w:val="1"/>
          <w:color w:val="auto"/>
        </w:rPr>
        <w:t>Neighborhood Involvement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building connections among our associates, their families and our communities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creates a more meaningful, fulfilling and enjoyable workplace and a tighter-knit community. We also believe in giving back to the people and communities we serve. In August 2020, internal stakeholders convened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a diverse group of our associates who are passionate about making a difference. These associates work in every division and at every level of the company and reflect a diversity of genders, ethnicities and geographies.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Underscoring everything we do, the Council creates and oversees initiatives that drive positive change and growth for our customers and associates. It collaborates with community leaders, organizations, individuals, and established programs in local underserved communities.</w:t>
      </w:r>
    </w:p>
    <w:p>
      <w:pPr>
        <w:spacing w:after="0" w:line="107"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Citi Trends empowers small business owners in our store areas through our Black History Makers Grant program. Launched in 2021, the program supports Black entrepreneurs who are making an impact in their communities. It is designed to increase awareness of Black-owned businesses, and we provide ten $5,000 grants to Black business owners each year. Since its launch, CITI</w:t>
      </w:r>
      <w:r>
        <w:rPr>
          <w:rFonts w:ascii="Arial" w:cs="Arial" w:eastAsia="Arial" w:hAnsi="Arial"/>
          <w:sz w:val="17"/>
          <w:szCs w:val="17"/>
          <w:i w:val="1"/>
          <w:iCs w:val="1"/>
          <w:color w:val="auto"/>
        </w:rPr>
        <w:t>cares</w:t>
      </w:r>
      <w:r>
        <w:rPr>
          <w:rFonts w:ascii="Arial" w:cs="Arial" w:eastAsia="Arial" w:hAnsi="Arial"/>
          <w:sz w:val="17"/>
          <w:szCs w:val="17"/>
          <w:color w:val="auto"/>
        </w:rPr>
        <w:t>, on behalf of Citi Trends, has awarded a total of $200,000 to 40 outstanding Black entrepreneurs.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Annual Report on Form 10-K, quarterly reports on Form 10-Q, current reports on Form 8-K, proxy statements, and amendments to those reports, as well as other information that we file or furnish with the Securities and Exchange Commission (“SEC”) are available free of charge at https://ir.cititrends.com as soon as reasonably practicable after we file or furnish such material to the SEC. In addition, the SEC maintains a website at http://www.sec.gov that contains information we electronically file or furnish to the SEC. Our Corporate Governance Guidelines, Code of Ethics and the charters for the committees of our board of directors are also available free of charge at https://ir.cititrends.com or in print upon request. Information on our website is not part of this or any other report we file or furnish to the SEC</w:t>
      </w:r>
      <w:r>
        <w:rPr>
          <w:rFonts w:ascii="Arial" w:cs="Arial" w:eastAsia="Arial" w:hAnsi="Arial"/>
          <w:sz w:val="16"/>
          <w:szCs w:val="16"/>
          <w:color w:val="auto"/>
        </w:rPr>
        <w:t>.</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44"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and our other filings with the SEC.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Operations</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color w:val="auto"/>
        </w:rPr>
        <w:t>Our success depends on our ability to anticipate, identify and respond rapidly to changes in consumers’ fashion tastes, and our failure to adequately evaluate fashion trends could have an adverse effect on our business strategy, financial condition and results of operations.</w:t>
      </w:r>
    </w:p>
    <w:p>
      <w:pPr>
        <w:spacing w:after="0" w:line="9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apparel industry and our core customer in particular are subject to rapidly evolving fashion trends and shifting consumer demands. Accordingly, our success is heavily dependent on our ability to anticipate, identify and capitalize on emerging fashion and home trends, including products, styles and materials that will appeal to our target consumers. A failure on our part to anticipate, identify or react appropriately and timely to changes in styles, trends, brand preferences and images is likely to lead to lower demand for our merchandise. Further, there can be no assurance that our new product offerings will have the same level of acceptance as past product offerings or that we will be able to adequately and timely respond to the preferences of our customers. These could cause, among other things, sales declines, excess inventories and higher markdowns, which could materially adversely affect our business and our brand image.</w:t>
      </w:r>
    </w:p>
    <w:p>
      <w:pPr>
        <w:spacing w:after="0" w:line="103"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b w:val="1"/>
          <w:bCs w:val="1"/>
          <w:color w:val="auto"/>
        </w:rPr>
        <w:t>If we are unsuccessful in competing with our retail apparel competitors, our market share could decline or our growth could be impaired and, as a result, our business strategy, financial condition and results of operations could be negatively impacted.</w:t>
      </w:r>
    </w:p>
    <w:p>
      <w:pPr>
        <w:spacing w:after="0" w:line="9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retail apparel and home fashion businesses are highly competitive, and we compete against a diverse group of retailers, including national chains, mass merchants, smaller discount retail chains, some of which sell only women’s products, and general merchandise discount stores that offer a variety of products, including apparel, home fashions and other merchandise we sell for the value-conscious consumer. We also compete against local specialty retail stores, regional retail chains, traditional department stores, web-based retail stores and other direct retailers.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level of competition we face from these retailers varies depending on the product segment, as many of our competitors do not offer apparel for the entire family. Our greatest competition is generally in women’s apparel. We compete with many retailers that are larger than we are with substantially greater resources that can, as a result, adapt better to changing market conditions, better exploit new opportunities and exert greater pricing pressures on suppliers than we can. Many of these retailers also have better name recognition among consumers than we do. Our local and regional competitors may have more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as well as loss of market share, which could materially and adversely affect our business strategy, financial condition and results of operations.</w:t>
      </w:r>
    </w:p>
    <w:p>
      <w:pPr>
        <w:spacing w:after="0" w:line="116" w:lineRule="exact"/>
        <w:rPr>
          <w:sz w:val="20"/>
          <w:szCs w:val="20"/>
          <w:color w:val="auto"/>
        </w:rPr>
      </w:pPr>
    </w:p>
    <w:p>
      <w:pPr>
        <w:ind w:right="880"/>
        <w:spacing w:after="0" w:line="280" w:lineRule="auto"/>
        <w:rPr>
          <w:sz w:val="20"/>
          <w:szCs w:val="20"/>
          <w:color w:val="auto"/>
        </w:rPr>
      </w:pPr>
      <w:r>
        <w:rPr>
          <w:rFonts w:ascii="Arial" w:cs="Arial" w:eastAsia="Arial" w:hAnsi="Arial"/>
          <w:sz w:val="17"/>
          <w:szCs w:val="17"/>
          <w:b w:val="1"/>
          <w:bCs w:val="1"/>
          <w:color w:val="auto"/>
        </w:rPr>
        <w:t>Our ability to attract consumers to our stores depends on several factors, including the success of the outdoor neighborhood shopping centers where our stores are primarily located.</w:t>
      </w:r>
    </w:p>
    <w:p>
      <w:pPr>
        <w:spacing w:after="0" w:line="7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success of an individual store can depend on favorable placement within a given shopping center as well as the volume of traffic generated by the other destination retailers and the anchor stores in the shopping centers where our stores are located. We cannot control the development of alternative shopping destinations near our existing stores or the availability or cost of real estate within existing or new shopping destinations. If a destination retailer or anchor store in our shopping centers closes or leaves, or if there is significant deterioration of the surrounding areas in which our stores are located, it could result in reduced sales at our stores and leave us with excess inventory, which could have a material adverse effect on our financial results or business. Additionally, we are in the process of renovating a number of our stores. If these remodels do not attract new or existing customers to our stores or otherwise drive an increase in sales, then this may have an adverse impact on our business and results of operations.</w:t>
      </w:r>
    </w:p>
    <w:p>
      <w:pPr>
        <w:spacing w:after="0" w:line="106"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color w:val="auto"/>
        </w:rPr>
        <w:t>We do not offer the option to purchase our products through the internet. As the retail industry experiences an increase in online sales, our sales could be adversely affected.</w:t>
      </w:r>
    </w:p>
    <w:p>
      <w:pPr>
        <w:spacing w:after="0" w:line="70"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The retail landscape has changed with some consumers shifting spend from traditional brick-and-mortar stores to online retailers. The continued growth of online sales could have a negative impact on our sales, as our customers may decide to make purchases through online retailers.</w:t>
      </w:r>
    </w:p>
    <w:p>
      <w:pPr>
        <w:spacing w:after="0" w:line="107"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b w:val="1"/>
          <w:bCs w:val="1"/>
          <w:color w:val="auto"/>
        </w:rPr>
        <w:t>Our sales, inventory levels and earnings fluctuate on a seasonal basis, which makes our business more susceptible to adverse events that occur during the first and fourth quarters.</w:t>
      </w:r>
    </w:p>
    <w:p>
      <w:pPr>
        <w:spacing w:after="0" w:line="5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Historically, our sales and earnings are significantly higher during the first and fourth quarters each year due to the importance of the spring selling season, which includes the tax refund season and Easter, and the fall selling season, which includes Christmas. Factors that negatively affect us during the first and fourth quarters, including adverse weather, pandemics or other seasonal public health emergencies, cybersecurity events, unfavorable economic conditions, reduced governmental assistance, and tax refund patterns for our customers, will have a greater adverse effect on our financial condition than if our business was less seasonal.</w:t>
      </w:r>
    </w:p>
    <w:p>
      <w:pPr>
        <w:spacing w:after="0" w:line="11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Seasonal fluctuations also affect our inventory levels. While we believe we have a flexible supply chain, we often enter into agreements to purchase merchandise well in advance of the applicable selling season and before trends are confirmed by sales. Therefore, we are vulnerable to changes in consumer preference and demand between the time we design and order our merchandise and the season in which this merchandise will be sold. If we are not able to accurately predict customers’ preferences for our fashion items, we may have either too much inventory which may result in increased markdowns and lower margins or inventory shortages, which may result in lost sales. In either event, our sales may be lower and our cost of sales may be higher than historical levels, which could have a material adverse effect on our business strategy,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experience a reduction in sales if we are unable to fulfill our current and future merchandising needs.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depend on our suppliers for the continued availability and satisfactory quality of our merchandise.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than larger and better capitalized companies, negatively impacting their ability to supply their products to us.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20" w:lineRule="exact"/>
        <w:rPr>
          <w:sz w:val="20"/>
          <w:szCs w:val="20"/>
          <w:color w:val="auto"/>
        </w:rPr>
      </w:pPr>
    </w:p>
    <w:p>
      <w:pPr>
        <w:ind w:right="500"/>
        <w:spacing w:after="0" w:line="280" w:lineRule="auto"/>
        <w:rPr>
          <w:sz w:val="20"/>
          <w:szCs w:val="20"/>
          <w:color w:val="auto"/>
        </w:rPr>
      </w:pPr>
      <w:r>
        <w:rPr>
          <w:rFonts w:ascii="Arial" w:cs="Arial" w:eastAsia="Arial" w:hAnsi="Arial"/>
          <w:sz w:val="17"/>
          <w:szCs w:val="17"/>
          <w:b w:val="1"/>
          <w:bCs w:val="1"/>
          <w:color w:val="auto"/>
        </w:rPr>
        <w:t>Failure to properly manage and allocate our inventory could have an adverse effect on our business strategy, sales, margins, financial condition, and results of operations.</w:t>
      </w:r>
    </w:p>
    <w:p>
      <w:pPr>
        <w:spacing w:after="0" w:line="5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order to better serve our customers and maximize sales, it is important that we properly execute our inventory management strategies by appropriately allocating merchandise among our stores, timely and efficiently distributing inventory to such locations, maintaining an appropriate mix and level of inventory in such locations, responding to customer demand, and effectively managing pricing and markdowns, and there is no assurance we will be able to do so. In addition, as we continue to implement new inventory allocation initiatives, there could be disruptions in inventory flow and placement. We also face certain risks from our use of third-party order fulfillment and direct shipping including freight cost increases, timely delivery and delays due to work stoppages. Our financial performance could also be impacted by increases in shrink.</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w:t>
      </w:r>
    </w:p>
    <w:p>
      <w:pPr>
        <w:spacing w:after="0" w:line="110"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color w:val="auto"/>
        </w:rPr>
        <w:t>We rely on numerous third parties in the supply chain to produce and deliver the products that we sell, and our business may be negatively impacted by their failure to comply with applicable law.</w:t>
      </w:r>
    </w:p>
    <w:p>
      <w:pPr>
        <w:spacing w:after="0" w:line="5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Merchandise we sell in our stores is subject to quality and safety regulatory standards set by various governmental authorities. Regulations in this area may change from time to time. We rely on numerous third parties to supply quality merchandise that complies with product safety laws and other applicable laws, but these third parties may not comply with all such applicable laws.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could incur liability with manufacturers or other owners of brands or trademarked products if we inadvertently receive and sell counterfeit brands, infringing products or unlicensed goods, which could adversely impact our results of operations. Although we endeavor to establish relationships with reputable vendors to reduce this risk, there is no guarantee that we will be successful in doing so.</w:t>
      </w:r>
    </w:p>
    <w:p>
      <w:pPr>
        <w:spacing w:after="0" w:line="117" w:lineRule="exact"/>
        <w:rPr>
          <w:sz w:val="20"/>
          <w:szCs w:val="20"/>
          <w:color w:val="auto"/>
        </w:rPr>
      </w:pPr>
    </w:p>
    <w:p>
      <w:pPr>
        <w:ind w:right="780"/>
        <w:spacing w:after="0" w:line="280" w:lineRule="auto"/>
        <w:rPr>
          <w:sz w:val="20"/>
          <w:szCs w:val="20"/>
          <w:color w:val="auto"/>
        </w:rPr>
      </w:pPr>
      <w:r>
        <w:rPr>
          <w:rFonts w:ascii="Arial" w:cs="Arial" w:eastAsia="Arial" w:hAnsi="Arial"/>
          <w:sz w:val="17"/>
          <w:szCs w:val="17"/>
          <w:b w:val="1"/>
          <w:bCs w:val="1"/>
          <w:color w:val="auto"/>
        </w:rPr>
        <w:t>If we fail to protect our name and brand in the marketplace, there could be a negative effect on our business and limitations on our ability to penetrate new markets.</w:t>
      </w:r>
    </w:p>
    <w:p>
      <w:pPr>
        <w:spacing w:after="0" w:line="7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that these registrations will prevent imitation of our name, merchandising concept, store design or private label merchandise or the infringement of our other intellectual property rights by others.</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 the use of social media by us and consumers has also increased the risk that our image and reputation could be negatively impacted. Imitation of our name, concept, store design or merchandise in a manner that projects lesser quality or carries a negative connotation of our brand image or other damage to our brand image and reputation in any aspect of its operations could have an adverse effect on our reputation, business strategy, financial condition and results of operations.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color w:val="auto"/>
        </w:rPr>
        <w:t>Failure to attract, motivate and retain personnel and control our labor costs could have an adverse effect on our financial condition.</w:t>
      </w:r>
    </w:p>
    <w:p>
      <w:pPr>
        <w:spacing w:after="0" w:line="7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success depends in part upon our ability to attract, motivate and retain a sufficient number of store sales associates, including store managers, who understand and appreciate our corporate culture and customers, and are able to adequately and effectively represent this culture with our customers. Like most retailers, we experience significant employee turnover rates, particularly among store sales associates and managers and distribution center associates. We therefore must continually attract, hire and train new personnel to meet our staffing needs. A significant increase in the turnover rate would increase our recruiting and training costs and could cause us to be unable to service our customers effectively.</w:t>
      </w:r>
    </w:p>
    <w:p>
      <w:pPr>
        <w:spacing w:after="0" w:line="11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ability to meet our labor needs and to control labor costs is subject to various external factors, including increased market pressures with respect to prevailing wage rates, unemployment levels and health and other insurance costs; inflation; the impact of legislation or regulations governing labor relations, minimum wage, and healthcare benefits; changing demographics; and our reputation within the labor market. These factors, together with growing competition among potential employers, may result in increased salaries, benefits, or other employee-related costs, or may impair our ability to recruit and retain employees, which could have an adverse impact on our business strategy, financial condition and results of operations.</w:t>
      </w:r>
    </w:p>
    <w:p>
      <w:pPr>
        <w:spacing w:after="0" w:line="10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General Economic and Market Conditions</w:t>
      </w:r>
    </w:p>
    <w:p>
      <w:pPr>
        <w:spacing w:after="0" w:line="142"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color w:val="auto"/>
        </w:rPr>
        <w:t>Our sales could decline and our store operations could be disrupted as a result of general economic and other factors outside of our control, such as inflation, changes in consumer spending patterns and declines in employment levels.</w:t>
      </w:r>
    </w:p>
    <w:p>
      <w:pPr>
        <w:spacing w:after="0" w:line="5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salaries and wage rates, inflation in rent, energy, food and other consumer good prices, interest rates, higher insurance costs, levels of consumer debt, changes in tax rates and policies (including delays in the distribution of tax refunds), government stimulus, geopolitical conflicts, consumer confidence, consumer perception of economic conditions, increased fuel costs or fuel shortages, increased shipping, transportation and distribution costs and other macroeconomic factors, could adversely affect consumer spending patterns, our sales and our results of operations.</w:t>
      </w:r>
    </w:p>
    <w:p>
      <w:pPr>
        <w:spacing w:after="0" w:line="11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Consumer confidence may also be affected by domestic and international political or social unrest (including related protests or disturbances), acts of war or terrorism, natural disasters, pandemics or other public health emergencies, or other significant events outside of our control.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 and rising commodity prices could adversely affect our business.</w:t>
      </w:r>
    </w:p>
    <w:p>
      <w:pPr>
        <w:spacing w:after="0" w:line="12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In addition to the impact on our customers, inflation may adversely impact our financial performance placing pressure on the prices of our products. If the cost of our products changes as a result of inflation, we may be forced to adjust our retail prices accordingly. This in turn may cause our core customer base to not purchase our products or otherwise visit our stores.</w:t>
      </w:r>
    </w:p>
    <w:p>
      <w:pPr>
        <w:spacing w:after="0" w:line="107" w:lineRule="exact"/>
        <w:rPr>
          <w:sz w:val="20"/>
          <w:szCs w:val="20"/>
          <w:color w:val="auto"/>
        </w:rPr>
      </w:pPr>
    </w:p>
    <w:p>
      <w:pPr>
        <w:ind w:right="580"/>
        <w:spacing w:after="0" w:line="280" w:lineRule="auto"/>
        <w:rPr>
          <w:sz w:val="20"/>
          <w:szCs w:val="20"/>
          <w:color w:val="auto"/>
        </w:rPr>
      </w:pPr>
      <w:r>
        <w:rPr>
          <w:rFonts w:ascii="Arial" w:cs="Arial" w:eastAsia="Arial" w:hAnsi="Arial"/>
          <w:sz w:val="17"/>
          <w:szCs w:val="17"/>
          <w:b w:val="1"/>
          <w:bCs w:val="1"/>
          <w:color w:val="auto"/>
        </w:rPr>
        <w:t>A significant disruption to our distribution centers or retail locations could have an adverse effect on our business strategy, financial condition and results of operations.</w:t>
      </w:r>
    </w:p>
    <w:p>
      <w:pPr>
        <w:spacing w:after="0" w:line="57"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ability to distribute our merchandise to our store locations in a timely manner is essential to the efficient and profitable operation of our business. We have distribution centers located in Darlington, South Carolina and Roland, Oklahoma. The efficient flow of our merchandise requires that our distribution facilities be operated effectively and have adequate capacity to support our current level of operations and any anticipated increased levels that may follow from the growth of our business. Any natural disaster or other disruption to the operation of either of these facilities or our direct shipping capabilities due to fire, accidents, public health emergencies, weather conditions, including natural disasters, cybersecurity incidents or any other cause could damage a significant portion of our inventory, impair our ability to stock our stores adequately and may result in increased supply chain costs or lost sales.</w:t>
      </w:r>
    </w:p>
    <w:p>
      <w:pPr>
        <w:spacing w:after="0" w:line="116"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 addition, the southeastern United States, where our Darlington distribution center and many of our stores are located, is vulnerable to significant damage or destruction from hurricanes and hailstorms. The midwestern United States, where our Roland distribution center and many stores are located, is vulnerable to significant damage or destruction from tornados and hailstorms. Although we maintain insurance on our stores, distribution centers and other facilities, the economic effects of a</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natural disaster that affects our distribution centers and/or a significant number of our stores could have an adverse effect on our business strategy, financial condition and results of operations.</w:t>
      </w:r>
    </w:p>
    <w:p>
      <w:pPr>
        <w:spacing w:after="0" w:line="9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rely upon third-party transportation providers for all of our merchandise shipments to our distribution centers and our retail stores. Accordingly, we are subject to risks, including labor disputes or strikes, union organizing activity, inclement weather, public health emergencies, supply chain interruptions, port delays, increased freight, distribution and transportation costs, associated with such providers’ ability to provide delivery services to meet our shipping needs. Failure to deliver merchandise to our distribution centers and our retail stores in a timely, effective and economically viable manner could adversely affect our business strategy, financial condition and results of operations.</w:t>
      </w:r>
    </w:p>
    <w:p>
      <w:pPr>
        <w:spacing w:after="0" w:line="11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b w:val="1"/>
          <w:bCs w:val="1"/>
          <w:color w:val="auto"/>
        </w:rPr>
        <w:t>We do not own or operate any manufacturing or production facilities and therefore depend upon third parties for the manufacture of all of our merchandise. The inability of a manufacturer to ship goods on time and to our specifications, or to operate in compliance with our guidelines or any other applicable laws, could negatively impact our business strategy, financial condition and results of operations.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do not own or operate any manufacturing or production facilities. As a result, we are dependent upon our timely receipt of quality merchandise from third-party manufacturers. If these manufacturers do not ship orders to us in a timely manner or meet our quality standards, it could cause delays in responding to consumer demands or inventory shortages and negatively affect consumer confidence in the quality and value of our brand or negatively impact our competitive position. Any of these factors could have a material adverse effect on our business strategy, financial condition or results of operations. Furthermore, we are susceptible to increases in sourcing costs, which we may not be able to pass on to customers, and changes in payment terms from manufacturers, which could adversely affect our business strategy, financial condition and results of operations.</w:t>
      </w:r>
    </w:p>
    <w:p>
      <w:pPr>
        <w:spacing w:after="0" w:line="115"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We maintain compliance guidelines for our vendors that dictate various standards, including product quality, manufacturing practices, labor compliance and legal compliance. If any of our manufacturers fail to comply with applicable laws or these guidelines, or engage in any socially unacceptable business practices, such as poor working conditions, child labor, disregard for environmental standards or otherwise, our brand reputation could be negatively impacted and our results of operations could in turn be materially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trade restrictions may disrupt our supply of merchandise.</w:t>
      </w:r>
    </w:p>
    <w:p>
      <w:pPr>
        <w:spacing w:after="0" w:line="12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We purchase our merchandise from a large assortment of vendors, and a substantial portion of this merchandise is manufactured outside of the United States and imported by our vendors from countries such as China and other areas of the Asia-Pacific region. The product we source could become subject to new trade restrictions imposed by the United States or other foreign governments.</w:t>
      </w:r>
    </w:p>
    <w:p>
      <w:pPr>
        <w:spacing w:after="0" w:line="10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We also face a variety of other risks generally associated with relying on vendors that do business in foreign markets and import merchandise from abroad, such as:</w:t>
      </w:r>
    </w:p>
    <w:p>
      <w:pPr>
        <w:spacing w:after="0" w:line="92" w:lineRule="exact"/>
        <w:rPr>
          <w:sz w:val="20"/>
          <w:szCs w:val="20"/>
          <w:color w:val="auto"/>
        </w:rPr>
      </w:pPr>
    </w:p>
    <w:p>
      <w:pPr>
        <w:ind w:left="680" w:right="20" w:hanging="321"/>
        <w:spacing w:after="0" w:line="266"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geopolitical unrest, supply disruptions or increased shipping costs in China or the Asia-Pacific region where our third-party vendors are located;</w:t>
      </w:r>
    </w:p>
    <w:p>
      <w:pPr>
        <w:spacing w:after="0" w:line="78" w:lineRule="exact"/>
        <w:rPr>
          <w:rFonts w:ascii="Times New Roman" w:cs="Times New Roman" w:eastAsia="Times New Roman" w:hAnsi="Times New Roman"/>
          <w:sz w:val="17"/>
          <w:szCs w:val="17"/>
          <w:color w:val="auto"/>
        </w:rPr>
      </w:pPr>
    </w:p>
    <w:p>
      <w:pPr>
        <w:ind w:left="680" w:right="80" w:hanging="321"/>
        <w:spacing w:after="0" w:line="266"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natural disasters, public health emergencies or the threat of terrorism, in particular in countries where our vendors source merchandise;</w:t>
      </w:r>
    </w:p>
    <w:p>
      <w:pPr>
        <w:spacing w:after="0" w:line="92" w:lineRule="exact"/>
        <w:rPr>
          <w:rFonts w:ascii="Times New Roman" w:cs="Times New Roman" w:eastAsia="Times New Roman" w:hAnsi="Times New Roman"/>
          <w:sz w:val="17"/>
          <w:szCs w:val="17"/>
          <w:color w:val="auto"/>
        </w:rPr>
      </w:pPr>
    </w:p>
    <w:p>
      <w:pPr>
        <w:ind w:left="680" w:right="80" w:hanging="321"/>
        <w:spacing w:after="0" w:line="266"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in merchandise costs due to raw material price inflation or changes in purchasing power caused by fluctuations in currency exchange rates;</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enhanced security measures at United States and foreign ports, which could delay delivery of imports;</w:t>
      </w:r>
    </w:p>
    <w:p>
      <w:pPr>
        <w:spacing w:after="0" w:line="154" w:lineRule="exact"/>
        <w:rPr>
          <w:rFonts w:ascii="Times New Roman" w:cs="Times New Roman" w:eastAsia="Times New Roman" w:hAnsi="Times New Roman"/>
          <w:sz w:val="17"/>
          <w:szCs w:val="17"/>
          <w:color w:val="auto"/>
        </w:rPr>
      </w:pPr>
    </w:p>
    <w:p>
      <w:pPr>
        <w:ind w:left="680" w:right="240" w:hanging="321"/>
        <w:spacing w:after="0" w:line="266"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imposition of new or supplemental duties, trade restrictions, sanctions, tariffs, quotas, taxes, environmental regulations, emissions standards and other charges on imports;</w:t>
      </w:r>
    </w:p>
    <w:p>
      <w:pPr>
        <w:spacing w:after="0" w:line="9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compliance with new or changing import/export controls;</w:t>
      </w:r>
    </w:p>
    <w:p>
      <w:pPr>
        <w:spacing w:after="0" w:line="141" w:lineRule="exact"/>
        <w:rPr>
          <w:rFonts w:ascii="Times New Roman" w:cs="Times New Roman" w:eastAsia="Times New Roman" w:hAnsi="Times New Roman"/>
          <w:sz w:val="17"/>
          <w:szCs w:val="17"/>
          <w:color w:val="auto"/>
        </w:rPr>
      </w:pPr>
    </w:p>
    <w:p>
      <w:pPr>
        <w:ind w:left="680" w:right="220" w:hanging="321"/>
        <w:spacing w:after="0" w:line="266"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delayed receipt or non-delivery of goods due to the failure of foreign-source suppliers to comply with import regulations, organized labor strikes or congestion at United States ports;</w:t>
      </w:r>
    </w:p>
    <w:p>
      <w:pPr>
        <w:spacing w:after="0" w:line="92" w:lineRule="exact"/>
        <w:rPr>
          <w:rFonts w:ascii="Times New Roman" w:cs="Times New Roman" w:eastAsia="Times New Roman" w:hAnsi="Times New Roman"/>
          <w:sz w:val="17"/>
          <w:szCs w:val="17"/>
          <w:color w:val="auto"/>
        </w:rPr>
      </w:pPr>
    </w:p>
    <w:p>
      <w:pPr>
        <w:ind w:left="680" w:right="80" w:hanging="321"/>
        <w:spacing w:after="0" w:line="266"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concerns about human rights and working conditions in countries where our merchandise is manufactured and produced; and</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68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local business practice and political issues, including issues relating to compliance with domestic or international labor and environmental standards.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Strategy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sustain our growth plans or successfully implement our long-term strategic goals.</w:t>
      </w:r>
    </w:p>
    <w:p>
      <w:pPr>
        <w:spacing w:after="0" w:line="14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growth strategy includes successfully opening and operating new stores, optimizing product assortment and investing in infrastructure to expand our off-price value model within our current markets and into new geographic regions. 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hiring, training and retention of competent sales personnel, and the effective management of inventory to meet the needs of new and existing stores on a timely basis. Our ability to expand successfully into other geographic markets will also depend on acceptance of our retail store experience by customers in those markets. There can be no assurance that any newly opened stores will be received as well as, or achieve net sales or profitability levels consistent with, our projected targets or be comparable to those of our existing stores in the time periods estimated by us, or at all. These risks may increase with further growth, and we may not be able to execute our growth strategies successfully, on a timely basis, or at all, which may adversely affect our business plans, sales and results.</w:t>
      </w:r>
    </w:p>
    <w:p>
      <w:pPr>
        <w:spacing w:after="0" w:line="100"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color w:val="auto"/>
        </w:rPr>
        <w:t>We may engage in strategic transactions that could negatively impact our liquidity, increase our expenses and present significant distractions to management.</w:t>
      </w:r>
    </w:p>
    <w:p>
      <w:pPr>
        <w:spacing w:after="0" w:line="70"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business strategy, financial condition and results of operations.</w:t>
      </w:r>
    </w:p>
    <w:p>
      <w:pPr>
        <w:spacing w:after="0" w:line="110"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We depend upon strong cash flows from our operations, as well as cash on our balance sheet, to supply capital to fund our operations, growth, stock repurchases and any potential future interest obligations.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Our business depends upon the cash on our balance sheet as well as our operations to continue to generate strong cash flow to</w:t>
      </w:r>
    </w:p>
    <w:p>
      <w:pPr>
        <w:spacing w:after="0" w:line="2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supply capital to support our general operating activities, to fund our growth and our return of cash to stockholders through our stock repurchase programs, if any, and to pay any interest obligations.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inflation and interest rate fluctuations may increase the cost of financing or restrict our access to these potential sources of liquidity. Our continued access to these liquidity sources on favorable terms depends on multiple factors, including our operating performance and, if applicable, credit rating. We maintain a revolving credit facility with Bank of America through April 10, 2030 which provides for a $75 million credit commitment and a $25 million uncommitted “accordion” feature that under certain circumstances could allow us to increase the size of the facility to $100 million. As of February 1, 2025, we had no borrowings outstanding under this facility. Although we currently have available a credit facility to fund our current operating needs, if necessary, we cannot be certain that we will be able to replace our existing credit facility or refinance any future debt at a reasonable cost when necessary. We maintain deposit balances with certain financial institutions that are above the federal insurance limit. A failure of these institutions could result in loss of these deposits.</w:t>
      </w:r>
    </w:p>
    <w:p>
      <w:pPr>
        <w:spacing w:after="0" w:line="119"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color w:val="auto"/>
        </w:rPr>
        <w:t>We may be unable to negotiate future leases or renegotiate current leases on the same favorable terms as we had in the past.</w:t>
      </w:r>
    </w:p>
    <w:p>
      <w:pPr>
        <w:spacing w:after="0" w:line="7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strategic growth plan depends in part on our ability to renew current leases and enter into new leases for future stores. We currently lease all of our store locations and distribution centers and are subject to the risks associated with leasing real estate. If we decide to close stores or distribution centers,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or distribution centers expire, we may be unable to negotiate renewals which could lead to the closing or relocating stores or distribution centers on less favorable terms or in a less favorable location.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7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Customer traffic and demand for our merchandise may be influenced by our marketing efforts. Although we use marketing to drive customer traffic through various media including digital/social media and e-mail, some of our competitors expend more for their marketing programs than we do, or use different approaches than we do, which may provide them with a competitive advantage. Further, we may not effectively implement strategies with respect to rapidly evolving Internet-based and other digital or mobile communication channels, including social media. Partnerships with social media content creators may expose us to reputational or other risks. Our programs may not be or remain effective or could require increased expenditures, which could have a significant adverse effect on our revenue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Regulatory, Legal and Cybersecurity</w:t>
      </w:r>
    </w:p>
    <w:p>
      <w:pPr>
        <w:spacing w:after="0" w:line="129"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b w:val="1"/>
          <w:bCs w:val="1"/>
          <w:color w:val="auto"/>
        </w:rPr>
        <w:t>Changes in government regulations could have an adverse effect on our business strategy, financial condition and results of operations.</w:t>
      </w:r>
    </w:p>
    <w:p>
      <w:pPr>
        <w:spacing w:after="0" w:line="7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are subject to numerous federal, state and local laws and regulations that govern numerous aspects of our business. These laws and regulations, and related interpretations and enforcement activity, may change as a result of a variety of factors, including political, economic or social events. Changes in, expanded enforcement of, or adoption of new federal, state or local laws and regulations governing areas such as minimum wage or living wage requirements, workplace-regulation and other labor or employment benefits laws, supply chain, taxes, including changes to corporate tax rates, privacy and information security, or environmental regulation such as carbon emission standards and sustainability programs, transparency and reporting, could increase our costs of doing business or impact our sales, operations or profitability.</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Other laws related to employee benefits and treatment of employees, including laws related to limitations on employee hours, work scheduling, supervisory status, leaves of absence, mandated health benefits or overtime pay, could also negatively impact us, such as by increasing compensation and benefits costs for overtime and medical expenses.</w:t>
      </w:r>
    </w:p>
    <w:p>
      <w:pPr>
        <w:spacing w:after="0" w:line="94"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Any failure of our management information systems or the inability of third parties to continue to upgrade and maintain our systems could have an adverse effect on our business strategy, financial condition and results of operations.</w:t>
      </w:r>
    </w:p>
    <w:p>
      <w:pPr>
        <w:spacing w:after="0" w:line="7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depend on the accuracy, reliability and proper functioning of our management information systems, including the systems used to track our sales and facilitate inventory management. We also rely on our management information systems for point-of-sale, merchandise planning and allocation, replenishment and markdowns, as well as other key business functions. We do not currently have redundant systems for all functions performed by our management information systems. Any interruption in these systems could impair our ability to manage our inventory effectively, which could have an adverse effect on our business strategy, financial condition or results of operations.</w:t>
      </w:r>
    </w:p>
    <w:p>
      <w:pPr>
        <w:spacing w:after="0" w:line="11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computer systems and the third-party systems we rely on are also subject to damage or interruption from a number of causes, including power outages; computer and telecommunications failures; computer viruses, malware, ransomware, phishing or distributed denial-of-service attacks; brute force attacks; exploiting software vulnerabilities (including “zero-day attacks”), supply chain attacks and other security incidents and cyber-attacks. Compromises, interruptions or shutdowns of our systems, including those managed by third parties, whether intentional or inadvertent, could lead to delays in our business operations and, if significant or extreme, affect our financial condition or results of operations.</w:t>
      </w:r>
    </w:p>
    <w:p>
      <w:pPr>
        <w:spacing w:after="0" w:line="10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the technologies and artificial intelligence tools that we incorporate into certain aspects of our operations may not generate the intended efficiencies and may impact our business results. Specifically artificial intelligence tools could have the potential to be deficient, inaccurate, or biased and if we fail to adopt and oversee the use of artificial intelligence in a thoughtful and strategic manner, it could harm our financial performance and/or our business reputation.</w:t>
      </w:r>
    </w:p>
    <w:p>
      <w:pPr>
        <w:spacing w:after="0" w:line="110"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5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Over the normal course of business operations, we may obtain certain private or confidential information of our employees, job applicants, customers, and vendors. If retained, this information may be stored within our internal information technology environments or hosted by third-party service providers. While we have implemented security procedures and technology that are intended to safeguard this information from cybersecurity attacks and security incidents, there can be no assurance that these measures will be adequate to safeguard against all data security incidents, system compromises or misuses of data.</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Although we continue to develop, and further enhance, our systems and processes that are designed to protect personal information and prevent data loss and other security incidents and technology disruptions, such measures cannot provide absolute security. Cyber-attacks can come in many forms, including cyber-attacks from criminal threat actors, as we experienced in fiscal 2023, acts of vandalism or theft, malware, ransomware, computer viruses or other malicious codes, phishing, brute force attacks, exploiting software vulnerabilities and zero-day attacks, supply chain attacks, employee error or malfeasance, catastrophes, and unforeseen events. The rapid evolution and increased adoption of artificial intelligence technologies by attackers may intensify our cybersecurity risks. Additionally, as we rely on third parties throughout the course of our business operations, a failure of a third-party service provider to monitor and secure their environment could lead to unauthorized access of our private or confidential information.</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Any cyber-attack or compromise of our data could expose us to loss of revenue, loss of business, increased expenses, fines or sanctions, private litigation and response measures, credit card brand assessments including termination of our ability to receive credit or debit card payments, government enforcement actions, disruption of business operations, negative publicity, eroded customer confidence in the effectiveness of our data security measures, and decrease in customers’ willingness to shop in our stores which could adversely affect our business strategy, financial conditions and results of operations. Furthermore, there can be no assurance that any limitations of liability in our contracts would be enforceable or adequate or would otherwise protect us from any such liabilities or damages with respect to any particular claim.</w:t>
      </w:r>
    </w:p>
    <w:p>
      <w:pPr>
        <w:spacing w:after="0" w:line="115"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While we maintain cyber insurance coverage, it may not be adequate for liabilities or costs actually incurred, and we cannot be certain that insurance will continue to be available to us on economically reasonable terms, or at all, or that any insurer will not deny coverage of a future claim.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Ownership of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is subject to volatility.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stock price has been volatile in the past and may be influenced in the future by a number of factors, including:</w:t>
      </w:r>
    </w:p>
    <w:p>
      <w:pPr>
        <w:spacing w:after="0" w:line="129" w:lineRule="exact"/>
        <w:rPr>
          <w:sz w:val="20"/>
          <w:szCs w:val="20"/>
          <w:color w:val="auto"/>
        </w:rPr>
      </w:pPr>
    </w:p>
    <w:p>
      <w:pPr>
        <w:ind w:left="680" w:hanging="321"/>
        <w:spacing w:after="0" w:line="266"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securities analysts’ recommendations or estimates of our financial performance or our failure to meet any such estimates;</w:t>
      </w:r>
    </w:p>
    <w:p>
      <w:pPr>
        <w:spacing w:after="0" w:line="9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market valuations or operating performance of our competitors or companies similar to ours;</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market and industry perception of our success, or lack thereof, in pursuing our growth strategy;</w:t>
      </w:r>
    </w:p>
    <w:p>
      <w:pPr>
        <w:spacing w:after="0" w:line="14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accounting principles;</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trading volume of our common stock in the public market and size of our public float; and</w:t>
      </w:r>
    </w:p>
    <w:p>
      <w:pPr>
        <w:spacing w:after="0" w:line="14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realization of some or all of the risks described in this section entitled “Risk Factors.”</w:t>
      </w:r>
    </w:p>
    <w:p>
      <w:pPr>
        <w:spacing w:after="0" w:line="155"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markets experience significant price and trading volume fluctuations from time to time, and the market prices and trading volumes of the equity securities of retailers have been volatile, including our common stock. These broad market fluctuations may adversely affect the market price of our common stock.</w:t>
      </w:r>
    </w:p>
    <w:p>
      <w:pPr>
        <w:spacing w:after="0" w:line="112"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color w:val="auto"/>
        </w:rPr>
        <w:t>We cannot provide any guaranty of future cash dividend payments or future repurchase of our common stock pursuant to a share repurchase program.</w:t>
      </w:r>
    </w:p>
    <w:p>
      <w:pPr>
        <w:spacing w:after="0" w:line="5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Any determination to declare and pay cash dividends on our common stock in the future will be based, among other things, on our board of directors’ conclusion in each instance that the declaration and payment of a cash dividend is in the best interest of our stockholders and is in compliance with all laws and agreements applicable to the dividend and upon our financial condition, results of operations, business strategy and cash requirements. Additionally, there can be no assurance that our existing share repurchase authorizations will be completed or that our board of directors will approve additional repurchase programs in the future. We presently have no intention to reinstate the dividend, and there can be no assurance that we will resume paying dividends on a regular basis.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color w:val="auto"/>
        </w:rPr>
        <w:t>Provisions in our certificate of incorporation and by-laws and Delaware law may delay or prevent our acquisition by a third party.</w:t>
      </w:r>
    </w:p>
    <w:p>
      <w:pPr>
        <w:spacing w:after="0" w:line="7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third amended and restated certificate of incorporation and our fourth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11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could be negatively affected as a result of the actions of activist stockholders.</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faced with a proxy contest or other activist stockholder action in the future, we may not be able to respond successfully to the contest or action, which could be disruptive to our business. Even if we are successful, our business could be adversely affected by any proxy contest or activist stockholder action involving us because:</w:t>
      </w:r>
    </w:p>
    <w:p>
      <w:pPr>
        <w:spacing w:after="0" w:line="107" w:lineRule="exact"/>
        <w:rPr>
          <w:sz w:val="20"/>
          <w:szCs w:val="20"/>
          <w:color w:val="auto"/>
        </w:rPr>
      </w:pPr>
    </w:p>
    <w:p>
      <w:pPr>
        <w:ind w:left="680" w:right="660" w:hanging="321"/>
        <w:spacing w:after="0" w:line="266"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responding to proxy contests and other actions by activist stockholders can be costly and time-consuming, disrupt operations, divert the attention of management and employees, and lead to uncertainty;</w:t>
      </w:r>
    </w:p>
    <w:p>
      <w:pPr>
        <w:spacing w:after="0" w:line="78" w:lineRule="exact"/>
        <w:rPr>
          <w:rFonts w:ascii="Times New Roman" w:cs="Times New Roman" w:eastAsia="Times New Roman" w:hAnsi="Times New Roman"/>
          <w:sz w:val="17"/>
          <w:szCs w:val="17"/>
          <w:color w:val="auto"/>
        </w:rPr>
      </w:pPr>
    </w:p>
    <w:p>
      <w:pPr>
        <w:ind w:left="680" w:hanging="321"/>
        <w:spacing w:after="0" w:line="266"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perceived uncertainties as to future direction may result in the loss of potential acquisitions, collaborations or business opportunities, and may make it more difficult to attract and retain qualified personnel, business partners and suppliers; and</w:t>
      </w:r>
    </w:p>
    <w:p>
      <w:pPr>
        <w:spacing w:after="0" w:line="92" w:lineRule="exact"/>
        <w:rPr>
          <w:rFonts w:ascii="Times New Roman" w:cs="Times New Roman" w:eastAsia="Times New Roman" w:hAnsi="Times New Roman"/>
          <w:sz w:val="17"/>
          <w:szCs w:val="17"/>
          <w:color w:val="auto"/>
        </w:rPr>
      </w:pPr>
    </w:p>
    <w:p>
      <w:pPr>
        <w:ind w:left="680" w:right="260" w:hanging="321"/>
        <w:spacing w:after="0" w:line="266"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if individuals are elected to our board of directors with a specific agenda, it may adversely affect our ability to effectively implement our business strategy in a timely manner and create additional value for our stockholders.</w:t>
      </w:r>
    </w:p>
    <w:p>
      <w:pPr>
        <w:spacing w:after="0" w:line="92" w:lineRule="exact"/>
        <w:rPr>
          <w:sz w:val="20"/>
          <w:szCs w:val="20"/>
          <w:color w:val="auto"/>
        </w:rPr>
      </w:pPr>
    </w:p>
    <w:p>
      <w:pPr>
        <w:ind w:right="2420"/>
        <w:spacing w:after="0" w:line="485" w:lineRule="auto"/>
        <w:rPr>
          <w:sz w:val="20"/>
          <w:szCs w:val="20"/>
          <w:color w:val="auto"/>
        </w:rPr>
      </w:pPr>
      <w:r>
        <w:rPr>
          <w:rFonts w:ascii="Arial" w:cs="Arial" w:eastAsia="Arial" w:hAnsi="Arial"/>
          <w:sz w:val="17"/>
          <w:szCs w:val="17"/>
          <w:color w:val="auto"/>
        </w:rPr>
        <w:t xml:space="preserve">These actions could cause the market price of our common stock to experience periods of volatility. </w:t>
      </w:r>
      <w:r>
        <w:rPr>
          <w:rFonts w:ascii="Arial" w:cs="Arial" w:eastAsia="Arial" w:hAnsi="Arial"/>
          <w:sz w:val="17"/>
          <w:szCs w:val="17"/>
          <w:b w:val="1"/>
          <w:bCs w:val="1"/>
          <w:color w:val="auto"/>
        </w:rPr>
        <w:t xml:space="preserve">ITEM 1B. </w:t>
      </w:r>
      <w:r>
        <w:rPr>
          <w:rFonts w:ascii="Arial" w:cs="Arial" w:eastAsia="Arial" w:hAnsi="Arial"/>
          <w:sz w:val="17"/>
          <w:szCs w:val="17"/>
          <w:b w:val="1"/>
          <w:bCs w:val="1"/>
          <w:u w:val="single" w:color="auto"/>
          <w:color w:val="auto"/>
        </w:rPr>
        <w:t>UNRESOLVED STAFF COMMENTS</w:t>
      </w:r>
      <w:r>
        <w:rPr>
          <w:rFonts w:ascii="Arial" w:cs="Arial" w:eastAsia="Arial" w:hAnsi="Arial"/>
          <w:sz w:val="17"/>
          <w:szCs w:val="17"/>
          <w:b w:val="1"/>
          <w:bCs w:val="1"/>
          <w:color w:val="auto"/>
        </w:rPr>
        <w:t xml:space="preserve"> </w:t>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1C.</w:t>
      </w:r>
      <w:r>
        <w:rPr>
          <w:sz w:val="20"/>
          <w:szCs w:val="20"/>
          <w:color w:val="auto"/>
        </w:rPr>
        <w:tab/>
      </w:r>
      <w:r>
        <w:rPr>
          <w:rFonts w:ascii="Arial" w:cs="Arial" w:eastAsia="Arial" w:hAnsi="Arial"/>
          <w:sz w:val="17"/>
          <w:szCs w:val="17"/>
          <w:b w:val="1"/>
          <w:bCs w:val="1"/>
          <w:u w:val="single" w:color="auto"/>
          <w:color w:val="auto"/>
        </w:rPr>
        <w:t>CYBERSECURITY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Cybersecurity is an important component of our overall approach to risk management. We have implemented cybersecurity processes, technologies and controls to facilitate our efforts to identify, assess and manage material risks from cybersecurity threats. We leverage industry associations, third-party benchmarking, results from internal and third-party testing, and other similar resources to inform our cybersecurity programs and processes. We also adhere to applicable Payment Card Industry Data Security Standards. We have prioritized improving our cyber security posture to safeguard our systems and mitigate risks.</w:t>
      </w:r>
    </w:p>
    <w:p>
      <w:pPr>
        <w:spacing w:after="0" w:line="15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Our cybersecurity programs include physical, administrative and technical safeguards designed to help us detect and prevent cybersecurity threats and incidents. We monitor our cybersecurity programs and processes through assessments focused on evaluating effectiveness, including regular network and endpoint monitoring, vulnerability scanning and penetration testing. In addition, we have engaged third parties to perform reviews of our information security control environment, and to provide expertise on various cybersecurity programs and issues. Our cybersecurity team has established a written incident response plan in the event of an incident. We do not retain any sensitive customer data on our systems.</w:t>
      </w:r>
    </w:p>
    <w:p>
      <w:pPr>
        <w:spacing w:after="0" w:line="144"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We provide routine awareness training for associates regarding cybersecurity best practices and their role in protecting the Company from cybersecurity attacks and testing to measure the effectiveness of our information security program.</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have not experienced any material cybersecurity incidents in fiscal 2024, and as of the date of this Report, we have not identified any material risks from active cybersecurity threats, including as a result of any prior cybersecurity incidents. However, despite our security measures, there can be no assurance that our cybersecurity risk management processes described will be fully implemented, complied with or effective in protecting our systems and information. While we maintain insurance to mitigate potential losses from a cybersecurity incident, such insurance may be insufficient to cover all losses or all types of claims that may arise. See Item 1A. Risk Factors in this Report for a discussion of whether and how risks from identified cybersecurity threats have materially affected or, if realized, are reasonably likely to materially affect our business strategy,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Role</w:t>
      </w:r>
    </w:p>
    <w:p>
      <w:pPr>
        <w:spacing w:after="0" w:line="181"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Management is responsible for implementing our cybersecurity program on an ongoing basis to identify, assess and manage cybersecurity risks. Our cybersecurity program is led by our Vice President of Information Systems with support from our Senior Manager of IT Security &amp; Compliance and various other team members. Our Vice President of Information Systems has over 25 years of industry experience, including more than 10 years as the leader of the Company’s technology function. On a bi-annual basis, or more frequently as needed, management informs the audit committee of material aspects of our cybersecurity program, including updates on key strategic and operational goals, assessments of cybersecurity risks, updates to any incidents, and the status of our ongoing investments in cybersecurity governance.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Oversight</w:t>
      </w:r>
    </w:p>
    <w:p>
      <w:pPr>
        <w:spacing w:after="0" w:line="181"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Our board of directors considers cybersecurity risk as part of its risk oversight function. Our audit committee oversees management’s policies, programs and procedures related to cybersecurity risk management and reports to the board regarding these efforts. In addition, the audit committee receives briefings from management bi-annually, or more frequently as needed, on material aspects of our cybersecurity program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Locations</w:t>
      </w:r>
    </w:p>
    <w:p>
      <w:pPr>
        <w:spacing w:after="0" w:line="14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As of February 1, 2025, we operated 591 stores located in 33 states. Our stores average approximately 11,000 square feet of selling space and are typically located in outdoor community shopping centers that are convenient to mid- to low-income African American customers.</w:t>
      </w:r>
    </w:p>
    <w:p>
      <w:pPr>
        <w:spacing w:after="0" w:line="9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have no franchising relationships, and all of the stores are company operated. All existing 591 stores, totaling 7.9 million total square feet and 6.5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33 states in which we operated as of February 1, 2025:</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Alabama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Arkansas</w:t>
            </w: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California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Connecticut</w:t>
            </w: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Delaware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Florida</w:t>
            </w:r>
          </w:p>
        </w:tc>
        <w:tc>
          <w:tcPr>
            <w:tcW w:w="5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Georgia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Illinois</w:t>
            </w:r>
          </w:p>
        </w:tc>
        <w:tc>
          <w:tcPr>
            <w:tcW w:w="5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Indiana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Iowa</w:t>
            </w: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Kansas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Kentucky</w:t>
            </w: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Louisiana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Maryland</w:t>
            </w:r>
          </w:p>
        </w:tc>
        <w:tc>
          <w:tcPr>
            <w:tcW w:w="5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Massachusetts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Michigan</w:t>
            </w:r>
          </w:p>
        </w:tc>
        <w:tc>
          <w:tcPr>
            <w:tcW w:w="5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Minnesota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Mississippi</w:t>
            </w:r>
          </w:p>
        </w:tc>
        <w:tc>
          <w:tcPr>
            <w:tcW w:w="5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Missouri</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Nebraska</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Nevada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New Jersey</w:t>
            </w: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New York</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North Carolina</w:t>
            </w:r>
          </w:p>
        </w:tc>
        <w:tc>
          <w:tcPr>
            <w:tcW w:w="5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Oklahoma</w:t>
            </w: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Pennsylvania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Rhode Island</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South Carolina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Tennessee</w:t>
            </w: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Virginia</w:t>
            </w:r>
          </w:p>
        </w:tc>
        <w:tc>
          <w:tcPr>
            <w:tcW w:w="5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Wisconsin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Offices and Distribution Center Facilities</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own a facility in Savannah, Georgia which serves as our headquarters and, to a lesser extent, as a storage facility. In addition, we currently lease office space in New York City.</w:t>
      </w:r>
    </w:p>
    <w:p>
      <w:pPr>
        <w:spacing w:after="0" w:line="9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lease and operate two distribution centers, one in Darlington, South Carolina totaling approximately 550,000 square feet, and another in Roland, Oklahoma totaling approximately 565,000 square feet.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facilities are suitable and adequate to meet our current business and operational needs</w:t>
      </w:r>
      <w:r>
        <w:rPr>
          <w:rFonts w:ascii="Arial" w:cs="Arial" w:eastAsia="Arial" w:hAnsi="Arial"/>
          <w:sz w:val="16"/>
          <w:szCs w:val="16"/>
          <w:color w:val="auto"/>
        </w:rPr>
        <w:t>.</w:t>
      </w:r>
    </w:p>
    <w:p>
      <w:pPr>
        <w:sectPr>
          <w:pgSz w:w="11900" w:h="16838" w:orient="portrait"/>
          <w:cols w:equalWidth="0" w:num="1">
            <w:col w:w="9800"/>
          </w:cols>
          <w:pgMar w:left="980" w:top="517" w:right="111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517" w:right="11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u w:val="single" w:color="auto"/>
          <w:color w:val="auto"/>
        </w:rPr>
        <w:t>LEGAL PROCEEDINGS</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business strategy, financial condition, results of operations or liquidity.</w:t>
      </w:r>
    </w:p>
    <w:p>
      <w:pPr>
        <w:spacing w:after="0" w:line="115"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See Note 7 to the Financial Statements for a summary of certain ongoing legal proceedings. Such information is incorporated into this Part I, Item 3 – “Legal Proceedings” by reference.</w:t>
      </w:r>
    </w:p>
    <w:p>
      <w:pPr>
        <w:spacing w:after="0" w:line="78"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3" w:lineRule="exact"/>
        <w:rPr>
          <w:sz w:val="20"/>
          <w:szCs w:val="20"/>
          <w:color w:val="auto"/>
        </w:rPr>
      </w:pPr>
    </w:p>
    <w:p>
      <w:pPr>
        <w:ind w:left="980" w:right="760" w:hanging="971"/>
        <w:spacing w:after="0" w:line="280" w:lineRule="auto"/>
        <w:tabs>
          <w:tab w:leader="none" w:pos="9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u w:val="single" w:color="auto"/>
          <w:color w:val="auto"/>
        </w:rPr>
        <w:t>MARKET FOR REGISTRANT’S COMMON EQUITY, RELATED STOCKHOLDER MATTERS AND ISSUER PURCHASES OF EQUITY SECURITIES</w:t>
      </w:r>
    </w:p>
    <w:p>
      <w:pPr>
        <w:spacing w:after="0" w:line="70"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Our common stock is traded on The NASDAQ Stock Market under the symbol “CTRN.” On March 31, 2025, there were 9 holders of record and approximately 3,400 beneficial holders of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2020, the Company announced it would suspend quarterly cash dividends. Any determination to declare and pay cash dividends in the future will be made by the Company’s board of directors.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4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number of shares of common stock repurchased by the Company during the fourth quarter of 2024 and the average price paid per share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7"/>
              </w:rPr>
              <w:t>Total 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Maximum number (or</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5"/>
              </w:rPr>
              <w:t>shares purchased as</w:t>
            </w:r>
          </w:p>
        </w:tc>
        <w:tc>
          <w:tcPr>
            <w:tcW w:w="16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3"/>
                <w:szCs w:val="13"/>
                <w:b w:val="1"/>
                <w:bCs w:val="1"/>
                <w:color w:val="auto"/>
              </w:rPr>
              <w:t>approximate dollar value)</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Average</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8"/>
              </w:rPr>
              <w:t>part of publicly</w:t>
            </w:r>
          </w:p>
        </w:tc>
        <w:tc>
          <w:tcPr>
            <w:tcW w:w="16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3"/>
                <w:szCs w:val="13"/>
                <w:b w:val="1"/>
                <w:bCs w:val="1"/>
                <w:color w:val="auto"/>
              </w:rPr>
              <w:t>of shares that may yet be</w:t>
            </w:r>
          </w:p>
        </w:tc>
        <w:tc>
          <w:tcPr>
            <w:tcW w:w="0" w:type="dxa"/>
            <w:vAlign w:val="bottom"/>
          </w:tcPr>
          <w:p>
            <w:pPr>
              <w:spacing w:after="0"/>
              <w:rPr>
                <w:sz w:val="1"/>
                <w:szCs w:val="1"/>
                <w:color w:val="auto"/>
              </w:rPr>
            </w:pPr>
          </w:p>
        </w:tc>
      </w:tr>
      <w:tr>
        <w:trPr>
          <w:trHeight w:val="18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of 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price paid</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7"/>
              </w:rPr>
              <w:t>announced plans or</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3"/>
                <w:szCs w:val="13"/>
                <w:b w:val="1"/>
                <w:bCs w:val="1"/>
                <w:color w:val="auto"/>
              </w:rPr>
              <w:t>purchased under the</w:t>
            </w:r>
          </w:p>
        </w:tc>
        <w:tc>
          <w:tcPr>
            <w:tcW w:w="0" w:type="dxa"/>
            <w:vAlign w:val="bottom"/>
          </w:tcPr>
          <w:p>
            <w:pPr>
              <w:spacing w:after="0"/>
              <w:rPr>
                <w:sz w:val="1"/>
                <w:szCs w:val="1"/>
                <w:color w:val="auto"/>
              </w:rPr>
            </w:pPr>
          </w:p>
        </w:tc>
      </w:tr>
      <w:tr>
        <w:trPr>
          <w:trHeight w:val="184"/>
        </w:trPr>
        <w:tc>
          <w:tcPr>
            <w:tcW w:w="47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purchased</w:t>
            </w:r>
          </w:p>
        </w:tc>
        <w:tc>
          <w:tcPr>
            <w:tcW w:w="160" w:type="dxa"/>
            <w:vAlign w:val="bottom"/>
          </w:tcPr>
          <w:p>
            <w:pPr>
              <w:spacing w:after="0"/>
              <w:rPr>
                <w:sz w:val="15"/>
                <w:szCs w:val="15"/>
                <w:color w:val="auto"/>
              </w:rPr>
            </w:pPr>
          </w:p>
        </w:tc>
        <w:tc>
          <w:tcPr>
            <w:tcW w:w="1040" w:type="dxa"/>
            <w:vAlign w:val="bottom"/>
            <w:gridSpan w:val="3"/>
          </w:tcPr>
          <w:p>
            <w:pPr>
              <w:jc w:val="center"/>
              <w:ind w:right="160"/>
              <w:spacing w:after="0" w:line="183" w:lineRule="exact"/>
              <w:rPr>
                <w:sz w:val="20"/>
                <w:szCs w:val="20"/>
                <w:color w:val="auto"/>
              </w:rPr>
            </w:pPr>
            <w:r>
              <w:rPr>
                <w:rFonts w:ascii="Arial" w:cs="Arial" w:eastAsia="Arial" w:hAnsi="Arial"/>
                <w:sz w:val="13"/>
                <w:szCs w:val="13"/>
                <w:b w:val="1"/>
                <w:bCs w:val="1"/>
                <w:color w:val="auto"/>
                <w:w w:val="93"/>
              </w:rPr>
              <w:t xml:space="preserve">per share </w:t>
            </w:r>
            <w:r>
              <w:rPr>
                <w:rFonts w:ascii="Arial" w:cs="Arial" w:eastAsia="Arial" w:hAnsi="Arial"/>
                <w:sz w:val="18"/>
                <w:szCs w:val="18"/>
                <w:b w:val="1"/>
                <w:bCs w:val="1"/>
                <w:color w:val="auto"/>
                <w:w w:val="93"/>
                <w:vertAlign w:val="superscript"/>
              </w:rPr>
              <w:t>(1)</w:t>
            </w:r>
          </w:p>
        </w:tc>
        <w:tc>
          <w:tcPr>
            <w:tcW w:w="1280" w:type="dxa"/>
            <w:vAlign w:val="bottom"/>
          </w:tcPr>
          <w:p>
            <w:pPr>
              <w:jc w:val="center"/>
              <w:spacing w:after="0" w:line="183" w:lineRule="exact"/>
              <w:rPr>
                <w:sz w:val="20"/>
                <w:szCs w:val="20"/>
                <w:color w:val="auto"/>
              </w:rPr>
            </w:pPr>
            <w:r>
              <w:rPr>
                <w:rFonts w:ascii="Arial" w:cs="Arial" w:eastAsia="Arial" w:hAnsi="Arial"/>
                <w:sz w:val="13"/>
                <w:szCs w:val="13"/>
                <w:b w:val="1"/>
                <w:bCs w:val="1"/>
                <w:color w:val="auto"/>
                <w:w w:val="91"/>
              </w:rPr>
              <w:t xml:space="preserve">programs </w:t>
            </w:r>
            <w:r>
              <w:rPr>
                <w:rFonts w:ascii="Arial" w:cs="Arial" w:eastAsia="Arial" w:hAnsi="Arial"/>
                <w:sz w:val="18"/>
                <w:szCs w:val="18"/>
                <w:b w:val="1"/>
                <w:bCs w:val="1"/>
                <w:color w:val="auto"/>
                <w:w w:val="91"/>
                <w:vertAlign w:val="superscript"/>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ind w:left="20"/>
              <w:spacing w:after="0" w:line="183" w:lineRule="exact"/>
              <w:rPr>
                <w:sz w:val="20"/>
                <w:szCs w:val="20"/>
                <w:color w:val="auto"/>
              </w:rPr>
            </w:pPr>
            <w:r>
              <w:rPr>
                <w:rFonts w:ascii="Arial" w:cs="Arial" w:eastAsia="Arial" w:hAnsi="Arial"/>
                <w:sz w:val="13"/>
                <w:szCs w:val="13"/>
                <w:b w:val="1"/>
                <w:bCs w:val="1"/>
                <w:color w:val="auto"/>
              </w:rPr>
              <w:t xml:space="preserve">plans or programs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November (11/3/24 - 12/2/24)</w:t>
            </w:r>
          </w:p>
        </w:tc>
        <w:tc>
          <w:tcPr>
            <w:tcW w:w="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50,011,482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gridSpan w:val="2"/>
          </w:tcPr>
          <w:p>
            <w:pPr>
              <w:spacing w:after="0"/>
              <w:rPr>
                <w:sz w:val="20"/>
                <w:szCs w:val="20"/>
                <w:color w:val="auto"/>
              </w:rPr>
            </w:pPr>
            <w:r>
              <w:rPr>
                <w:rFonts w:ascii="Arial" w:cs="Arial" w:eastAsia="Arial" w:hAnsi="Arial"/>
                <w:sz w:val="17"/>
                <w:szCs w:val="17"/>
                <w:color w:val="auto"/>
              </w:rPr>
              <w:t>December (12/3/24 - 1/1/25)</w:t>
            </w:r>
          </w:p>
        </w:tc>
        <w:tc>
          <w:tcPr>
            <w:tcW w:w="880" w:type="dxa"/>
            <w:vAlign w:val="bottom"/>
          </w:tcPr>
          <w:p>
            <w:pPr>
              <w:jc w:val="right"/>
              <w:spacing w:after="0"/>
              <w:rPr>
                <w:sz w:val="20"/>
                <w:szCs w:val="20"/>
                <w:color w:val="auto"/>
              </w:rPr>
            </w:pPr>
            <w:r>
              <w:rPr>
                <w:rFonts w:ascii="Arial" w:cs="Arial" w:eastAsia="Arial" w:hAnsi="Arial"/>
                <w:sz w:val="17"/>
                <w:szCs w:val="17"/>
                <w:color w:val="auto"/>
              </w:rPr>
              <w:t>77,965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25.48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77,965</w:t>
            </w: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48,026,585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(1/2/25 - 2/1/25)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c>
          <w:tcPr>
            <w:tcW w:w="16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67,273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46,237,233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Includes commissions for the shares repurchased under the stock repurchase program.</w:t>
      </w:r>
    </w:p>
    <w:p>
      <w:pPr>
        <w:spacing w:after="0" w:line="20" w:lineRule="exact"/>
        <w:rPr>
          <w:rFonts w:ascii="Arial" w:cs="Arial" w:eastAsia="Arial" w:hAnsi="Arial"/>
          <w:sz w:val="25"/>
          <w:szCs w:val="25"/>
          <w:color w:val="auto"/>
          <w:vertAlign w:val="superscript"/>
        </w:rPr>
      </w:pPr>
    </w:p>
    <w:p>
      <w:pPr>
        <w:ind w:left="120" w:right="880" w:hanging="112"/>
        <w:spacing w:after="0" w:line="234" w:lineRule="auto"/>
        <w:tabs>
          <w:tab w:leader="none" w:pos="216"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On November 30, 2021, the Company announced that its board of directors approved a $30 million stock repurchase program. On March 15, 2022 the company announced that its board of directors approved an additional $30 million stock repurchase program. The programs do not have expiration dates.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See Item 12 of this Report.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Set forth below is a line graph comparing the last five years’ percentage change in the cumulative total stockholder return on shares of our common stock against the cumulative total returns of the Russell 2000 Index and the Dow Jones US Specialty Retailers Index. This graph assumes that $100 was invested on January 31, 2020 in our common stock and in each of the market index and the industry indexes, and that all cash distributions were reinvested. Our common stock price performance shown on the graph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153670</wp:posOffset>
            </wp:positionV>
            <wp:extent cx="5109210" cy="4568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09210"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40" w:type="dxa"/>
            <w:vAlign w:val="bottom"/>
            <w:gridSpan w:val="3"/>
          </w:tcPr>
          <w:p>
            <w:pPr>
              <w:spacing w:after="0"/>
              <w:rPr>
                <w:sz w:val="20"/>
                <w:szCs w:val="20"/>
                <w:color w:val="auto"/>
              </w:rPr>
            </w:pPr>
            <w:r>
              <w:rPr>
                <w:rFonts w:ascii="Arial" w:cs="Arial" w:eastAsia="Arial" w:hAnsi="Arial"/>
                <w:sz w:val="17"/>
                <w:szCs w:val="17"/>
                <w:color w:val="auto"/>
              </w:rPr>
              <w:t>Total Return Analysis</w:t>
            </w:r>
          </w:p>
        </w:tc>
        <w:tc>
          <w:tcPr>
            <w:tcW w:w="680" w:type="dxa"/>
            <w:vAlign w:val="bottom"/>
          </w:tcPr>
          <w:p>
            <w:pPr>
              <w:jc w:val="right"/>
              <w:ind w:right="95"/>
              <w:spacing w:after="0"/>
              <w:rPr>
                <w:sz w:val="20"/>
                <w:szCs w:val="20"/>
                <w:color w:val="auto"/>
              </w:rPr>
            </w:pPr>
            <w:r>
              <w:rPr>
                <w:rFonts w:ascii="Arial" w:cs="Arial" w:eastAsia="Arial" w:hAnsi="Arial"/>
                <w:sz w:val="17"/>
                <w:szCs w:val="17"/>
                <w:b w:val="1"/>
                <w:bCs w:val="1"/>
                <w:color w:val="auto"/>
              </w:rPr>
              <w:t>1/20</w:t>
            </w:r>
          </w:p>
        </w:tc>
        <w:tc>
          <w:tcPr>
            <w:tcW w:w="240" w:type="dxa"/>
            <w:vAlign w:val="bottom"/>
          </w:tcPr>
          <w:p>
            <w:pPr>
              <w:spacing w:after="0"/>
              <w:rPr>
                <w:sz w:val="20"/>
                <w:szCs w:val="20"/>
                <w:color w:val="auto"/>
              </w:rPr>
            </w:pPr>
          </w:p>
        </w:tc>
        <w:tc>
          <w:tcPr>
            <w:tcW w:w="700" w:type="dxa"/>
            <w:vAlign w:val="bottom"/>
          </w:tcPr>
          <w:p>
            <w:pPr>
              <w:jc w:val="right"/>
              <w:ind w:right="95"/>
              <w:spacing w:after="0"/>
              <w:rPr>
                <w:sz w:val="20"/>
                <w:szCs w:val="20"/>
                <w:color w:val="auto"/>
              </w:rPr>
            </w:pPr>
            <w:r>
              <w:rPr>
                <w:rFonts w:ascii="Arial" w:cs="Arial" w:eastAsia="Arial" w:hAnsi="Arial"/>
                <w:sz w:val="17"/>
                <w:szCs w:val="17"/>
                <w:b w:val="1"/>
                <w:bCs w:val="1"/>
                <w:color w:val="auto"/>
              </w:rPr>
              <w:t>1/21</w:t>
            </w:r>
          </w:p>
        </w:tc>
        <w:tc>
          <w:tcPr>
            <w:tcW w:w="240" w:type="dxa"/>
            <w:vAlign w:val="bottom"/>
          </w:tcPr>
          <w:p>
            <w:pPr>
              <w:spacing w:after="0"/>
              <w:rPr>
                <w:sz w:val="20"/>
                <w:szCs w:val="20"/>
                <w:color w:val="auto"/>
              </w:rPr>
            </w:pPr>
          </w:p>
        </w:tc>
        <w:tc>
          <w:tcPr>
            <w:tcW w:w="680" w:type="dxa"/>
            <w:vAlign w:val="bottom"/>
          </w:tcPr>
          <w:p>
            <w:pPr>
              <w:jc w:val="right"/>
              <w:ind w:right="95"/>
              <w:spacing w:after="0"/>
              <w:rPr>
                <w:sz w:val="20"/>
                <w:szCs w:val="20"/>
                <w:color w:val="auto"/>
              </w:rPr>
            </w:pPr>
            <w:r>
              <w:rPr>
                <w:rFonts w:ascii="Arial" w:cs="Arial" w:eastAsia="Arial" w:hAnsi="Arial"/>
                <w:sz w:val="17"/>
                <w:szCs w:val="17"/>
                <w:b w:val="1"/>
                <w:bCs w:val="1"/>
                <w:color w:val="auto"/>
              </w:rPr>
              <w:t>1/22</w:t>
            </w:r>
          </w:p>
        </w:tc>
        <w:tc>
          <w:tcPr>
            <w:tcW w:w="240" w:type="dxa"/>
            <w:vAlign w:val="bottom"/>
          </w:tcPr>
          <w:p>
            <w:pPr>
              <w:spacing w:after="0"/>
              <w:rPr>
                <w:sz w:val="20"/>
                <w:szCs w:val="20"/>
                <w:color w:val="auto"/>
              </w:rPr>
            </w:pPr>
          </w:p>
        </w:tc>
        <w:tc>
          <w:tcPr>
            <w:tcW w:w="700" w:type="dxa"/>
            <w:vAlign w:val="bottom"/>
          </w:tcPr>
          <w:p>
            <w:pPr>
              <w:jc w:val="right"/>
              <w:ind w:right="95"/>
              <w:spacing w:after="0"/>
              <w:rPr>
                <w:sz w:val="20"/>
                <w:szCs w:val="20"/>
                <w:color w:val="auto"/>
              </w:rPr>
            </w:pPr>
            <w:r>
              <w:rPr>
                <w:rFonts w:ascii="Arial" w:cs="Arial" w:eastAsia="Arial" w:hAnsi="Arial"/>
                <w:sz w:val="17"/>
                <w:szCs w:val="17"/>
                <w:b w:val="1"/>
                <w:bCs w:val="1"/>
                <w:color w:val="auto"/>
              </w:rPr>
              <w:t>1/23</w:t>
            </w:r>
          </w:p>
        </w:tc>
        <w:tc>
          <w:tcPr>
            <w:tcW w:w="260" w:type="dxa"/>
            <w:vAlign w:val="bottom"/>
          </w:tcPr>
          <w:p>
            <w:pPr>
              <w:spacing w:after="0"/>
              <w:rPr>
                <w:sz w:val="20"/>
                <w:szCs w:val="20"/>
                <w:color w:val="auto"/>
              </w:rPr>
            </w:pPr>
          </w:p>
        </w:tc>
        <w:tc>
          <w:tcPr>
            <w:tcW w:w="700" w:type="dxa"/>
            <w:vAlign w:val="bottom"/>
          </w:tcPr>
          <w:p>
            <w:pPr>
              <w:jc w:val="right"/>
              <w:ind w:right="115"/>
              <w:spacing w:after="0"/>
              <w:rPr>
                <w:sz w:val="20"/>
                <w:szCs w:val="20"/>
                <w:color w:val="auto"/>
              </w:rPr>
            </w:pPr>
            <w:r>
              <w:rPr>
                <w:rFonts w:ascii="Arial" w:cs="Arial" w:eastAsia="Arial" w:hAnsi="Arial"/>
                <w:sz w:val="17"/>
                <w:szCs w:val="17"/>
                <w:b w:val="1"/>
                <w:bCs w:val="1"/>
                <w:color w:val="auto"/>
              </w:rPr>
              <w:t>1/24</w:t>
            </w:r>
          </w:p>
        </w:tc>
        <w:tc>
          <w:tcPr>
            <w:tcW w:w="240" w:type="dxa"/>
            <w:vAlign w:val="bottom"/>
          </w:tcPr>
          <w:p>
            <w:pPr>
              <w:spacing w:after="0"/>
              <w:rPr>
                <w:sz w:val="20"/>
                <w:szCs w:val="20"/>
                <w:color w:val="auto"/>
              </w:rPr>
            </w:pPr>
          </w:p>
        </w:tc>
        <w:tc>
          <w:tcPr>
            <w:tcW w:w="700" w:type="dxa"/>
            <w:vAlign w:val="bottom"/>
          </w:tcPr>
          <w:p>
            <w:pPr>
              <w:jc w:val="right"/>
              <w:ind w:right="95"/>
              <w:spacing w:after="0"/>
              <w:rPr>
                <w:sz w:val="20"/>
                <w:szCs w:val="20"/>
                <w:color w:val="auto"/>
              </w:rPr>
            </w:pPr>
            <w:r>
              <w:rPr>
                <w:rFonts w:ascii="Arial" w:cs="Arial" w:eastAsia="Arial" w:hAnsi="Arial"/>
                <w:sz w:val="17"/>
                <w:szCs w:val="17"/>
                <w:b w:val="1"/>
                <w:bCs w:val="1"/>
                <w:color w:val="auto"/>
              </w:rPr>
              <w:t>1/25</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Inc.</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254.38</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135.73</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7"/>
                <w:szCs w:val="17"/>
                <w:color w:val="auto"/>
              </w:rPr>
              <w:t>Russell 2000</w:t>
            </w:r>
          </w:p>
        </w:tc>
        <w:tc>
          <w:tcPr>
            <w:tcW w:w="680" w:type="dxa"/>
            <w:vAlign w:val="bottom"/>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130.17</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128.60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124.26</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127.24</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151.53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Dow Jones US Specialty Retailers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140.92</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142.18</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135.59</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159.02</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u w:val="single" w:color="auto"/>
          <w:color w:val="auto"/>
        </w:rPr>
        <w:t>RESERVED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44"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the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16"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i w:val="1"/>
          <w:iCs w:val="1"/>
          <w:color w:val="auto"/>
        </w:rPr>
        <w:t>Discussions of our results of operations for the year ended February 3, 2024 compared to the year ended January 28, 2023 that have been omitted under this item can be found in "Part II, Item 7 - Management's Discussion and Analysis of Financial Condition and Results of Operations" in our Annual Report on Form 10-K for the year ended February 3, 2024, which was filed with the United States Securities and Exchange Commission on April 18, 2024.</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are a leading off-price value retailer of apparel, accessories and home trends primarily for African American families. Our high-quality and trend-right merchandise offerings at everyday low prices are designed to appeal to the fashion and trend preferences of value-conscious customers. As of February 1, 2025, we operated 591 stores in urban, suburban and rural markets in 33 states.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2024 Business Highlights</w:t>
      </w:r>
    </w:p>
    <w:p>
      <w:pPr>
        <w:spacing w:after="0" w:line="142" w:lineRule="exact"/>
        <w:rPr>
          <w:sz w:val="20"/>
          <w:szCs w:val="20"/>
          <w:color w:val="auto"/>
        </w:rPr>
      </w:pPr>
    </w:p>
    <w:p>
      <w:pPr>
        <w:ind w:left="680" w:right="20" w:hanging="321"/>
        <w:spacing w:after="0" w:line="249" w:lineRule="auto"/>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After a mid-year fiscal 2024 CEO transition, began transformation efforts with significant improvement in financial results in the second half of the year. Comparable stores sales in the first half of 0.7% compared to second half comparable store sales of 6.1%.</w:t>
      </w:r>
    </w:p>
    <w:p>
      <w:pPr>
        <w:spacing w:after="0" w:line="92" w:lineRule="exact"/>
        <w:rPr>
          <w:rFonts w:ascii="Times New Roman" w:cs="Times New Roman" w:eastAsia="Times New Roman" w:hAnsi="Times New Roman"/>
          <w:sz w:val="17"/>
          <w:szCs w:val="17"/>
          <w:color w:val="auto"/>
        </w:rPr>
      </w:pPr>
    </w:p>
    <w:p>
      <w:pPr>
        <w:ind w:left="680" w:right="100" w:hanging="321"/>
        <w:spacing w:after="0" w:line="266" w:lineRule="auto"/>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Leveraged extensive, recent customer insights study to sharpen our focus on and understanding of our African American customer base</w:t>
      </w:r>
    </w:p>
    <w:p>
      <w:pPr>
        <w:spacing w:after="0" w:line="92" w:lineRule="exact"/>
        <w:rPr>
          <w:rFonts w:ascii="Times New Roman" w:cs="Times New Roman" w:eastAsia="Times New Roman" w:hAnsi="Times New Roman"/>
          <w:sz w:val="17"/>
          <w:szCs w:val="17"/>
          <w:color w:val="auto"/>
        </w:rPr>
      </w:pPr>
    </w:p>
    <w:p>
      <w:pPr>
        <w:jc w:val="both"/>
        <w:ind w:left="680" w:right="200" w:hanging="321"/>
        <w:spacing w:after="0" w:line="249" w:lineRule="auto"/>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Elevated our in-store experience with our updated, three-tiered product assortment strategy, with balanced good-better-best offerings, trend-right fashion and the addition of extreme value branded treasures, all focused on African American families</w:t>
      </w:r>
    </w:p>
    <w:p>
      <w:pPr>
        <w:spacing w:after="0" w:line="106" w:lineRule="exact"/>
        <w:rPr>
          <w:rFonts w:ascii="Times New Roman" w:cs="Times New Roman" w:eastAsia="Times New Roman" w:hAnsi="Times New Roman"/>
          <w:sz w:val="17"/>
          <w:szCs w:val="17"/>
          <w:color w:val="auto"/>
        </w:rPr>
      </w:pPr>
    </w:p>
    <w:p>
      <w:pPr>
        <w:ind w:left="680" w:right="60" w:hanging="321"/>
        <w:spacing w:after="0" w:line="266" w:lineRule="auto"/>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Implemented improved allocation methodology and updated in-season markdown approach to ensure improved inventory management and fresh product for our customers</w:t>
      </w:r>
    </w:p>
    <w:p>
      <w:pPr>
        <w:spacing w:after="0" w:line="78" w:lineRule="exact"/>
        <w:rPr>
          <w:rFonts w:ascii="Times New Roman" w:cs="Times New Roman" w:eastAsia="Times New Roman" w:hAnsi="Times New Roman"/>
          <w:sz w:val="17"/>
          <w:szCs w:val="17"/>
          <w:color w:val="auto"/>
        </w:rPr>
      </w:pPr>
    </w:p>
    <w:p>
      <w:pPr>
        <w:ind w:left="680" w:right="20" w:hanging="321"/>
        <w:spacing w:after="0" w:line="266" w:lineRule="auto"/>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Opened 1 new store, remodeled 35 stores and closed 12 stores; ended the year with 23% of the fleet in our updated store format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2024 Financial Highlights</w:t>
      </w:r>
    </w:p>
    <w:p>
      <w:pPr>
        <w:spacing w:after="0" w:line="129"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Total sales of $753.1 million; comparable store sales increase of 3.4% vs fiscal 2023</w:t>
      </w:r>
    </w:p>
    <w:p>
      <w:pPr>
        <w:spacing w:after="0" w:line="154" w:lineRule="exact"/>
        <w:rPr>
          <w:rFonts w:ascii="Times New Roman" w:cs="Times New Roman" w:eastAsia="Times New Roman" w:hAnsi="Times New Roman"/>
          <w:sz w:val="17"/>
          <w:szCs w:val="17"/>
          <w:color w:val="auto"/>
        </w:rPr>
      </w:pPr>
    </w:p>
    <w:p>
      <w:pPr>
        <w:ind w:left="680" w:right="40" w:hanging="321"/>
        <w:spacing w:after="0" w:line="266" w:lineRule="auto"/>
        <w:tabs>
          <w:tab w:leader="none" w:pos="6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Net loss of ($43.2) million, including the impact of $16.5 million of valuation allowance on deferred tax asset and impact of $16.5 million of strategic investments to fuel the transformation</w:t>
      </w:r>
    </w:p>
    <w:p>
      <w:pPr>
        <w:spacing w:after="0" w:line="9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Cash of $61.1 million at the end of the fiscal year, with no debt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42" w:lineRule="exact"/>
        <w:rPr>
          <w:sz w:val="20"/>
          <w:szCs w:val="20"/>
          <w:color w:val="auto"/>
        </w:rPr>
      </w:pPr>
    </w:p>
    <w:p>
      <w:pPr>
        <w:jc w:val="both"/>
        <w:ind w:right="420"/>
        <w:spacing w:after="0" w:line="249" w:lineRule="auto"/>
        <w:rPr>
          <w:sz w:val="20"/>
          <w:szCs w:val="20"/>
          <w:color w:val="auto"/>
        </w:rPr>
      </w:pPr>
      <w:r>
        <w:rPr>
          <w:rFonts w:ascii="Arial" w:cs="Arial" w:eastAsia="Arial" w:hAnsi="Arial"/>
          <w:sz w:val="17"/>
          <w:szCs w:val="17"/>
          <w:color w:val="auto"/>
        </w:rPr>
        <w:t>We believe that Citi Trends is in a unique position to serve our loyal customer base, with a long runway for store growth and a motivated leadership team supported by a healthy balance sheet. As described in more detail in “Item 1 – Business,” we have identified five strategic areas of focus that we believe will accelerate our sales and earnings growth over the next few years:</w:t>
      </w:r>
    </w:p>
    <w:p>
      <w:pPr>
        <w:spacing w:after="0" w:line="10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i w:val="1"/>
          <w:iCs w:val="1"/>
          <w:color w:val="auto"/>
        </w:rPr>
        <w:t>Offer Compelling Value Proposition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can drive increases in traffic and basket by focusing on our three-tiered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strategy of opening prices, core value product and familiar brands at incredible values, all focused on the wants and needs of our African American customers. We believe that delivering newness and freshness results in high customer frequency. Our expanded offering of “treasures”, or extreme value product offerings, further strengthens this strategy and deepens our relationship with our customers.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 xml:space="preserve">Focus on the African American Customer. </w:t>
      </w:r>
      <w:r>
        <w:rPr>
          <w:rFonts w:ascii="Arial" w:cs="Arial" w:eastAsia="Arial" w:hAnsi="Arial"/>
          <w:sz w:val="17"/>
          <w:szCs w:val="17"/>
          <w:color w:val="auto"/>
        </w:rPr>
        <w:t>We believe that a sharpened focus on our African American customers will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improved sales through a more focused product assortment designed to address their fashion needs and wants, supporting their ability to express themselves through the creation of their own style. We believe that our refined understanding of our customer will drive increased traffic and conversion in our stores.</w:t>
      </w:r>
    </w:p>
    <w:p>
      <w:pPr>
        <w:spacing w:after="0" w:line="11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auto"/>
        </w:rPr>
        <w:t>Consistent Operational Excellence</w:t>
      </w:r>
      <w:r>
        <w:rPr>
          <w:rFonts w:ascii="Arial" w:cs="Arial" w:eastAsia="Arial" w:hAnsi="Arial"/>
          <w:sz w:val="17"/>
          <w:szCs w:val="17"/>
          <w:color w:val="auto"/>
        </w:rPr>
        <w:t>. We believe that the work we are doing to develop fundamental retail practices and to ensure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execution will produce strong, sustainable financial results while positioning us for future, accelerated growth.</w:t>
      </w:r>
    </w:p>
    <w:p>
      <w:pPr>
        <w:spacing w:after="0" w:line="9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b w:val="1"/>
          <w:bCs w:val="1"/>
          <w:i w:val="1"/>
          <w:iCs w:val="1"/>
          <w:color w:val="auto"/>
        </w:rPr>
        <w:t>Growth</w:t>
      </w:r>
      <w:r>
        <w:rPr>
          <w:rFonts w:ascii="Arial" w:cs="Arial" w:eastAsia="Arial" w:hAnsi="Arial"/>
          <w:sz w:val="17"/>
          <w:szCs w:val="17"/>
          <w:color w:val="auto"/>
        </w:rPr>
        <w:t>. We believe that we can maximize the productivity of our existing 591 stores located in the heart of African American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neighborhoods by executing on the three areas of focus stated above and by continued refinement of our store format. While we believe that maximizing the productivity of our existing fleet provides significant opportunity for sales and earnings growth, we continue to believe that Citi Trends has the potential to grow, and we expect to accelerate square footage expansion in the range of 6% to 10% annually over time.</w:t>
      </w:r>
    </w:p>
    <w:p>
      <w:pPr>
        <w:spacing w:after="0" w:line="99"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b w:val="1"/>
          <w:bCs w:val="1"/>
          <w:i w:val="1"/>
          <w:iCs w:val="1"/>
          <w:color w:val="auto"/>
        </w:rPr>
        <w:t xml:space="preserve">People. </w:t>
      </w:r>
      <w:r>
        <w:rPr>
          <w:rFonts w:ascii="Arial" w:cs="Arial" w:eastAsia="Arial" w:hAnsi="Arial"/>
          <w:sz w:val="17"/>
          <w:szCs w:val="17"/>
          <w:color w:val="auto"/>
        </w:rPr>
        <w:t>We believe that our teams across the organization, led by Ken Seipel, our Chief Executive Officer, and their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consistently execute while staying focused on our African American customer, providing great product and a welcoming in-store environment, are a key differentiator for our business and are key to the continued transformation of our company.</w:t>
      </w:r>
    </w:p>
    <w:p>
      <w:pPr>
        <w:spacing w:after="0" w:line="10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strongly believe that our business strategy centered around these five areas will accelerate our long-term sales and earnings growth.</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Uncertainties and Challenges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Economic Conditions</w:t>
      </w:r>
    </w:p>
    <w:p>
      <w:pPr>
        <w:spacing w:after="0" w:line="14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expect that our operations in the short-term will continue to be influenced by general economic conditions, including on-going inflationary pressures, new tariff programs and changes in consumer sentiment.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and Weather Conditions</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products, traffic to our stores is still influenced by weather patterns to some extent.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9"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The years ended February 1, 2025, February 3, 2024 and January 28, 2023 are referred to herein as fiscal 2024, fiscal 2023 and fiscal 2022, respectively. Fiscal years 2024 and 2022 are each comprised of 52 weeks, while fiscal 2023 is comprised of 53 weeks.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following discussion of our financial performance is based on the consolidated financial statements set forth in Item 8 of this Report. The nature of our business is seasonal. Results may fluctuate due to changes in our business, consumer spending patterns, and the macroeconomic environment. Furthermore, the seasonal nature of our business may affect comparisons between periods.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 and Additional Operating Data</w:t>
      </w:r>
    </w:p>
    <w:p>
      <w:pPr>
        <w:spacing w:after="0" w:line="14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following table provides selected consolidated statement of operations data expressed both in dollars and as a percentage of net sales: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7"/>
                <w:szCs w:val="17"/>
                <w:color w:val="auto"/>
              </w:rPr>
              <w:t>Net sales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753,079</w:t>
            </w: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100.0 %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747,941</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100.0 %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795,011</w:t>
            </w:r>
          </w:p>
        </w:tc>
        <w:tc>
          <w:tcPr>
            <w:tcW w:w="2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Cost of sales (exclusive of depreciation)</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(471,036)</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(462,824)</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(484,022)</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(300,173)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(284,530)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(279,177)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(18,822)</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(18,990)</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(20,595)</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(2,536)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(1,051)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0.1 %</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7"/>
                <w:szCs w:val="17"/>
                <w:color w:val="auto"/>
              </w:rPr>
              <w:t>Gain on sale-leasebacks</w:t>
            </w: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0.0 %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64,088</w:t>
            </w: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(Loss) income from operations</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(39,488)</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(19,454)</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75,305</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9.5 %</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2,473</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(319)</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(306)</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(306)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line="20" w:lineRule="exact"/>
              <w:rPr>
                <w:sz w:val="1"/>
                <w:szCs w:val="1"/>
                <w:color w:val="auto"/>
              </w:rPr>
            </w:pPr>
          </w:p>
        </w:tc>
      </w:tr>
      <w:tr>
        <w:trPr>
          <w:trHeight w:val="225"/>
        </w:trPr>
        <w:tc>
          <w:tcPr>
            <w:tcW w:w="4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(37,334)</w:t>
            </w:r>
          </w:p>
        </w:tc>
        <w:tc>
          <w:tcPr>
            <w:tcW w:w="200" w:type="dxa"/>
            <w:vAlign w:val="bottom"/>
            <w:vMerge w:val="continue"/>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(15,886)</w:t>
            </w:r>
          </w:p>
        </w:tc>
        <w:tc>
          <w:tcPr>
            <w:tcW w:w="200" w:type="dxa"/>
            <w:vAlign w:val="bottom"/>
            <w:vMerge w:val="continue"/>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76,033</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(5,836)</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3,907</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0.5 %</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(17,141)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5"/>
        </w:trPr>
        <w:tc>
          <w:tcPr>
            <w:tcW w:w="43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7"/>
                <w:szCs w:val="17"/>
                <w:color w:val="auto"/>
              </w:rPr>
              <w:t>Net (loss)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(43,170)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(11,979)</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58,892</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7.4 %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store activity and the change in comparable store sales for each fiscal year: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7"/>
              </w:rPr>
              <w:t>Fiscal Year</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5"/>
                <w:szCs w:val="15"/>
                <w:color w:val="auto"/>
              </w:rPr>
            </w:pPr>
          </w:p>
        </w:tc>
        <w:tc>
          <w:tcPr>
            <w:tcW w:w="78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vMerge w:val="restart"/>
          </w:tcPr>
          <w:p>
            <w:pPr>
              <w:spacing w:after="0"/>
              <w:rPr>
                <w:sz w:val="20"/>
                <w:szCs w:val="20"/>
                <w:color w:val="auto"/>
              </w:rPr>
            </w:pPr>
          </w:p>
        </w:tc>
        <w:tc>
          <w:tcPr>
            <w:tcW w:w="24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vMerge w:val="continue"/>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stores open, beginning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New stores</w:t>
            </w: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Closed stores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7"/>
                <w:szCs w:val="17"/>
                <w:color w:val="auto"/>
              </w:rPr>
              <w:t>Total stores open, end of year</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602</w:t>
            </w:r>
          </w:p>
        </w:tc>
        <w:tc>
          <w:tcPr>
            <w:tcW w:w="26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160" w:type="dxa"/>
            <w:vAlign w:val="bottom"/>
            <w:gridSpan w:val="3"/>
          </w:tcPr>
          <w:p>
            <w:pPr>
              <w:ind w:left="40"/>
              <w:spacing w:after="0"/>
              <w:rPr>
                <w:sz w:val="20"/>
                <w:szCs w:val="20"/>
                <w:color w:val="auto"/>
              </w:rPr>
            </w:pPr>
            <w:r>
              <w:rPr>
                <w:rFonts w:ascii="Arial" w:cs="Arial" w:eastAsia="Arial" w:hAnsi="Arial"/>
                <w:sz w:val="17"/>
                <w:szCs w:val="17"/>
                <w:color w:val="auto"/>
              </w:rPr>
              <w:t xml:space="preserve">Comparable store sales increase (decrease) </w:t>
            </w:r>
            <w:r>
              <w:rPr>
                <w:rFonts w:ascii="Arial" w:cs="Arial" w:eastAsia="Arial" w:hAnsi="Arial"/>
                <w:sz w:val="25"/>
                <w:szCs w:val="25"/>
                <w:color w:val="auto"/>
                <w:vertAlign w:val="superscript"/>
              </w:rPr>
              <w:t>(1)</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3.4 %</w:t>
            </w: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(6.8)%</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right="80" w:hanging="372"/>
        <w:spacing w:after="0" w:line="244" w:lineRule="auto"/>
        <w:tabs>
          <w:tab w:leader="none" w:pos="380" w:val="left"/>
        </w:tabs>
        <w:numPr>
          <w:ilvl w:val="0"/>
          <w:numId w:val="12"/>
        </w:numPr>
        <w:rPr>
          <w:rFonts w:ascii="Arial" w:cs="Arial" w:eastAsia="Arial" w:hAnsi="Arial"/>
          <w:sz w:val="13"/>
          <w:szCs w:val="13"/>
          <w:color w:val="auto"/>
        </w:rPr>
      </w:pPr>
      <w:r>
        <w:rPr>
          <w:rFonts w:ascii="Arial" w:cs="Arial" w:eastAsia="Arial" w:hAnsi="Arial"/>
          <w:sz w:val="17"/>
          <w:szCs w:val="17"/>
          <w:color w:val="auto"/>
        </w:rPr>
        <w:t>Stores included in the comparable store sales calculation for any year are those stores that were open for at least 14 full consecutive months without closure for more than seven days within the same fiscal month. Remodeled and relocated stores are included in the comparable store sales results, while stores that are closed permanently or for an extended period are excluded from the comparable store sales results.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Operating Statistics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and distribution center expenses against budgeted amounts.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2024 Compared to Fiscal 2023</w:t>
      </w:r>
    </w:p>
    <w:p>
      <w:pPr>
        <w:spacing w:after="0" w:line="129" w:lineRule="exact"/>
        <w:rPr>
          <w:sz w:val="20"/>
          <w:szCs w:val="20"/>
          <w:color w:val="auto"/>
        </w:rPr>
      </w:pPr>
    </w:p>
    <w:p>
      <w:pPr>
        <w:ind w:right="360"/>
        <w:spacing w:after="0" w:line="244"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$5.1 million, or 0.7%, to $753.1 million in fiscal 2024 from $747.9 million in fiscal 2023.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sales was due to a 3.4% increase in comparable store sales, as well as a decrease of $9.1 million from net store opening and closing activity. The increase in comparable store sales was the result of increased traffic, basket and conversion, particularly in the second half of the year with the implementation of our refined strategies.</w:t>
      </w:r>
    </w:p>
    <w:p>
      <w:pPr>
        <w:spacing w:after="0" w:line="11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increased $8.2 million, or 1.8%, to $471.0 million in fiscal 2024 from $462.8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2023. As a percentage of net sales, cost of sales deleveraged 60 basis points to 62.5% in fiscal 2024 from 61.9% in fiscal 2023 driven by higher markdowns from our large, strategic inventory reset in the second quarter and higher shrink expense, partially offset by lower freight costs as a result of reduced rates from a new carrier relationship.</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$15.7 million, or 5.5%, to $300.2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2024 from $284.5 million in fiscal 2023. The increase was primarily due to (1) $4.1 million of merit increases for store, DC and corporate roles; (2) $3.9 million of expenses related to CEO transition and shareholder defense; (3) $3.1 million of one-time investments, such as consulting fees and store and DC labor to process off-price deals to fuel our strategic initiatives and (4) $1.8 million of store repair and maintenance costs. As a percentage of sales, SG&amp;A expenses deleveraged 190 basis points to 39.9% in fiscal 2024 from 38.0% in fiscal 2023, due to the aforementioned expense increases.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Depreciation expense decreased $0.2 million to $18.8 million in fiscal 2024 from $19.0 million in fiscal 2023.</w:t>
      </w:r>
    </w:p>
    <w:p>
      <w:pPr>
        <w:spacing w:after="0" w:line="14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i w:val="1"/>
          <w:iCs w:val="1"/>
          <w:color w:val="auto"/>
        </w:rPr>
        <w:t>Asset Impairment</w:t>
      </w:r>
      <w:r>
        <w:rPr>
          <w:rFonts w:ascii="Arial" w:cs="Arial" w:eastAsia="Arial" w:hAnsi="Arial"/>
          <w:sz w:val="17"/>
          <w:szCs w:val="17"/>
          <w:color w:val="auto"/>
        </w:rPr>
        <w:t>. Impairment charges for fiscal 2024 related to underperforming stores totaled $2.5 million, comprised of $1.2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leasehold improvements and fixtures and equipment, and $1.3 million for an operating lease right-of-use asset. Impairment charges for fiscal 2023 related to underperforming stores totaled $1.0 million, comprised of $0.9 million for leasehold improvements and fixtures and equipment, and $0.1 million for an operating right of use asset.</w:t>
      </w:r>
    </w:p>
    <w:p>
      <w:pPr>
        <w:spacing w:after="0" w:line="110"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i w:val="1"/>
          <w:iCs w:val="1"/>
          <w:color w:val="auto"/>
        </w:rPr>
        <w:t>Income</w:t>
      </w:r>
      <w:r>
        <w:rPr>
          <w:rFonts w:ascii="Arial" w:cs="Arial" w:eastAsia="Arial" w:hAnsi="Arial"/>
          <w:sz w:val="17"/>
          <w:szCs w:val="17"/>
          <w:color w:val="auto"/>
        </w:rPr>
        <w:t>​</w:t>
      </w:r>
      <w:r>
        <w:rPr>
          <w:rFonts w:ascii="Arial" w:cs="Arial" w:eastAsia="Arial" w:hAnsi="Arial"/>
          <w:sz w:val="17"/>
          <w:szCs w:val="17"/>
          <w:i w:val="1"/>
          <w:iCs w:val="1"/>
          <w:color w:val="auto"/>
        </w:rPr>
        <w:t xml:space="preserve"> Tax (Expense) Benefit. </w:t>
      </w:r>
      <w:r>
        <w:rPr>
          <w:rFonts w:ascii="Arial" w:cs="Arial" w:eastAsia="Arial" w:hAnsi="Arial"/>
          <w:sz w:val="17"/>
          <w:szCs w:val="17"/>
          <w:color w:val="auto"/>
        </w:rPr>
        <w:t>Income tax expense was $5.8 million in fiscal 2024 compared to income tax benefit of $3.9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fiscal 2023. The difference is attributable to the $16.5 million valuation allowance related to deferred tax assets, primarily associated with net operating loss carryforward generated in fiscal years 2023 and 2024. The cumulative losses during recent years represents sufficient negative evidence to require a valuation allowance, which will be maintained until sufficient positive evidence exists to support its reversal.</w:t>
      </w:r>
    </w:p>
    <w:p>
      <w:pPr>
        <w:spacing w:after="0" w:line="9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was $43.2 million in fiscal 2024 compared to net loss of $12.0 million in fiscal 2023, due to the factors discussed</w:t>
      </w:r>
      <w:r>
        <w:rPr>
          <w:rFonts w:ascii="Arial" w:cs="Arial" w:eastAsia="Arial" w:hAnsi="Arial"/>
          <w:sz w:val="17"/>
          <w:szCs w:val="17"/>
          <w:i w:val="1"/>
          <w:iCs w:val="1"/>
          <w:color w:val="auto"/>
        </w:rPr>
        <w:t xml:space="preserve"> </w:t>
      </w:r>
      <w:r>
        <w:rPr>
          <w:rFonts w:ascii="Arial" w:cs="Arial" w:eastAsia="Arial" w:hAnsi="Arial"/>
          <w:sz w:val="17"/>
          <w:szCs w:val="17"/>
          <w:color w:val="auto"/>
        </w:rPr>
        <w:t>above.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Allocation</w:t>
      </w:r>
    </w:p>
    <w:p>
      <w:pPr>
        <w:spacing w:after="0" w:line="142"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Our capital allocation strategy is to maintain adequate liquidity to support current operations while investing in opportunities to profitably grow our business, then to return excess cash to shareholders through our share repurchase programs. Our year-end cash and cash equivalents balance was $61.1 million compared to $79.7 million at the end of last year. Until required for other purposes, we maintain cash and cash equivalents in deposit or money market accounts.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4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Our year-end inventory balance was $122.6 million, compared with $130.4 million at the end of fiscal 2023. The decrease was the result of our large, strategic inventory reset which led to the markdown of aged product in the second quarter plus the impact of a faster supply chain and a focus on improved inventory productivity.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Capital expenditures in fiscal 2024 were $12.1 million, a decrease of $2.8 million from the prior year, primarily due to opening fewer stores in fiscal 2024. We anticipate capital expenditures in fiscal 2025 in the range of $18 million to $22 million, primarily for opening up to 5 new stores and remodeling approximately 50 stores, combined with continued investments in our systems and distribution centers.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14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In fiscal 2024 we returned $3.8 million to shareholders through share repurchases. See Part II, Item 5 of this Report and Note 6 to the Financial Statements for more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142"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color w:val="auto"/>
        </w:rPr>
        <w:t>We have a revolving credit facility that matures in April 2030 and provides a $75 million credit commitment and a $25 million uncommitted “accordion” feature. Additional details of the credit facility are in Note 4 to the Financial Statements. At the end of fiscal 2024, we had no borrowings under the credit facility and $2.2 million in letters of credit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Cash used in operating activities was $3.8 million in fiscal 2024 compared with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$9.6 million in fiscal 2023. For fiscal 2024, significant sources of cash included $7.8 million reduction in inventory and a $0.1 million increase in accounts payable. Significant uses of cash include a $49.5 million decrease in accrued expenses and other-long-term liabilities due primarily to payments of operating lease liabilities.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For fiscal 2023, significant sources of cash included $3.5 million from insurance proceeds related to operating activities and 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$17.9 million increase in accounts payable. Significant uses of cash included (1) a $58.3 million decrease in accrued expenses and other-long-term liabilities due primarily to payments of operating lease liabilities; (2) a $24.6 million increase in inventory due primarily to depleted inventory levels at the end of the prior year; and (3) a $3.5 million increase in income tax receivable.</w:t>
      </w:r>
    </w:p>
    <w:p>
      <w:pPr>
        <w:spacing w:after="0" w:line="10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Cash used in investing activities was $10.1 million in fiscal 2024 compared to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$13.4 million in fiscal 2023. Cash used in fiscal 2024 consisted entirely of purchases of property and equipment. Cash used in fiscal 2023 consisted of $14.9 million of purchases of property and equipment, partially offset by $1.5 million from insurance proceeds related to investing activities.</w:t>
      </w:r>
    </w:p>
    <w:p>
      <w:pPr>
        <w:spacing w:after="0" w:line="110"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$4.7 million in fiscal 2024 compared with $0.9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fiscal 2023. Cash used in fiscal 2024 was $3.8 million for share repurchases and $0.9 million to settle withholding taxes on the vesting of restricted stock. Cash used in fiscal 2023 was to settle withholding taxes on the vesting of restricted stock.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Requirements and Commitments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Our principal cash requirements consist of (1) inventory purchases; (2) capital expenditures to invest in our growth initiatives; and</w:t>
      </w:r>
    </w:p>
    <w:p>
      <w:pPr>
        <w:spacing w:after="0" w:line="10" w:lineRule="exact"/>
        <w:rPr>
          <w:sz w:val="20"/>
          <w:szCs w:val="20"/>
          <w:color w:val="auto"/>
        </w:rPr>
      </w:pPr>
    </w:p>
    <w:p>
      <w:pPr>
        <w:ind w:right="40" w:firstLine="8"/>
        <w:spacing w:after="0" w:line="236" w:lineRule="auto"/>
        <w:tabs>
          <w:tab w:leader="none" w:pos="2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operational needs, including salaries, occupancy costs, taxes and other operating costs. We have also historically used cash to repurchase stock under our stock repurchase programs. Historically, we have met these cash requirements using cash flow from operations and short-term trade credit. As of February 1, 2025, our contractual commitments for operating leases totaled $289.3 million (with $60.7 million due within 12 months) and our purchase obligations for open merchandise orders totaled $138.0 million due within 12 months. See Note 8 to the Financial Statements for more information regarding lease commitments.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consolidated financial statements are prepared in accordance with U.S. GAAP, which requires us to make estimates and apply judgments that affect the reported amounts. Actual results could differ from those estimates. We believe the following critical accounting policies describe the more significant judgments and estimates used in the preparation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2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markups, markdowns and shrink, which impact the ending inventory valuation at cost as well as resulting cost of sales. Merchandise markdowns are reflected in the inventory valuation when the price of an item is lowered in the stores. We estimate and record an allowance for shrink for the period between the last physical count and the balance sheet date. The estimate of shrink can be affected by changes in actual shrink trends. Inventory shrink as a percentage of sales in fiscal 2024, fiscal 2023 and fiscal 2022 was 1.7%, 1.0% and 0.7%, respectively. The allowance for inventory shrink was $5.2 million as of February 1, 2025 and $3.9 million as of February 3, 2024. As a measure of sensitivity, a ten percent change in our estimated shrink as of February 1, 2025, would not have materially impacted our cost of goods sold in fiscal 2024.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2024.</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of this standard on its consolidated financial statements and related disclosures.</w:t>
      </w:r>
    </w:p>
    <w:p>
      <w:pPr>
        <w:spacing w:after="0" w:line="101" w:lineRule="exact"/>
        <w:rPr>
          <w:sz w:val="20"/>
          <w:szCs w:val="20"/>
          <w:color w:val="auto"/>
        </w:rPr>
      </w:pPr>
    </w:p>
    <w:p>
      <w:pPr>
        <w:jc w:val="both"/>
        <w:ind w:right="80"/>
        <w:spacing w:after="0" w:line="239" w:lineRule="auto"/>
        <w:rPr>
          <w:sz w:val="20"/>
          <w:szCs w:val="20"/>
          <w:color w:val="auto"/>
        </w:rPr>
      </w:pPr>
      <w:r>
        <w:rPr>
          <w:rFonts w:ascii="Arial" w:cs="Arial" w:eastAsia="Arial" w:hAnsi="Arial"/>
          <w:sz w:val="17"/>
          <w:szCs w:val="17"/>
          <w:color w:val="auto"/>
        </w:rPr>
        <w:t>In November 2024, the FASB issued ASU 2024-03,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223" w:lineRule="exact"/>
        <w:rPr>
          <w:sz w:val="20"/>
          <w:szCs w:val="20"/>
          <w:color w:val="auto"/>
        </w:rPr>
      </w:pPr>
    </w:p>
    <w:p>
      <w:pPr>
        <w:jc w:val="center"/>
        <w:ind w:left="920"/>
        <w:spacing w:after="0"/>
        <w:rPr>
          <w:sz w:val="20"/>
          <w:szCs w:val="20"/>
          <w:color w:val="auto"/>
        </w:rPr>
      </w:pPr>
      <w:r>
        <w:rPr>
          <w:rFonts w:ascii="Arial" w:cs="Arial" w:eastAsia="Arial" w:hAnsi="Arial"/>
          <w:sz w:val="17"/>
          <w:szCs w:val="17"/>
          <w:b w:val="1"/>
          <w:bCs w:val="1"/>
          <w:color w:val="auto"/>
        </w:rPr>
        <w:t>Citi Trends, Inc.</w:t>
      </w:r>
    </w:p>
    <w:p>
      <w:pPr>
        <w:spacing w:after="0" w:line="23" w:lineRule="exact"/>
        <w:rPr>
          <w:sz w:val="20"/>
          <w:szCs w:val="20"/>
          <w:color w:val="auto"/>
        </w:rPr>
      </w:pPr>
    </w:p>
    <w:p>
      <w:pPr>
        <w:jc w:val="center"/>
        <w:ind w:left="92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Report of Independent Registered Public Accounting Firm</w:t>
      </w:r>
      <w:r>
        <w:rPr>
          <w:rFonts w:ascii="Arial" w:cs="Arial" w:eastAsia="Arial" w:hAnsi="Arial"/>
          <w:sz w:val="17"/>
          <w:szCs w:val="17"/>
          <w:color w:val="0000EE"/>
        </w:rPr>
        <w:t xml:space="preserve"> </w:t>
      </w:r>
      <w:r>
        <w:rPr>
          <w:rFonts w:ascii="Arial" w:cs="Arial" w:eastAsia="Arial" w:hAnsi="Arial"/>
          <w:sz w:val="17"/>
          <w:szCs w:val="17"/>
          <w:color w:val="000000"/>
        </w:rPr>
        <w:t>(Deloitte &amp; Touche LLP - PCAOB ID: 34)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Balance Sheets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Stockholders’ Equity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920"/>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ectPr>
          <w:pgSz w:w="11900" w:h="16838" w:orient="portrait"/>
          <w:cols w:equalWidth="0" w:num="2">
            <w:col w:w="9000" w:space="720"/>
            <w:col w:w="200"/>
          </w:cols>
          <w:pgMar w:left="980" w:top="517" w:right="99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140"/>
        <w:spacing w:after="0" w:line="40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Citi Trends, Inc. </w:t>
      </w:r>
      <w:r>
        <w:rPr>
          <w:rFonts w:ascii="Arial" w:cs="Arial" w:eastAsia="Arial" w:hAnsi="Arial"/>
          <w:sz w:val="17"/>
          <w:szCs w:val="17"/>
          <w:b w:val="1"/>
          <w:bCs w:val="1"/>
          <w:color w:val="auto"/>
        </w:rPr>
        <w:t>Opinion on the Financial Statements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audited the accompanying consolidated balance sheets of Citi Trends, Inc. and subsidiary (the "Company") as of February 1, 2025 and February 3, 2024, the related consolidated statements of operations, cash flows, and stockholders’ equity, for each of the three years in the period ended February 1, 2025, and the related notes (collectively referred to as the "financial statements"). In our opinion, the financial statements present fairly, in all material respects, the financial position of the Company as of February 1, 2025 and February 3, 2024, and the results of its operations and its cash flows for each of the three years in the period ended February 1, 2025, in conformity with accounting principles generally accepted in the United States of America.</w:t>
      </w:r>
    </w:p>
    <w:p>
      <w:pPr>
        <w:spacing w:after="0" w:line="115"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February 1, 2025,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report dated April 16, 2025, expressed an unqualified opinion on the Company's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5" w:lineRule="exact"/>
        <w:rPr>
          <w:sz w:val="20"/>
          <w:szCs w:val="20"/>
          <w:color w:val="auto"/>
        </w:rPr>
      </w:pPr>
    </w:p>
    <w:p>
      <w:pPr>
        <w:ind w:right="2300"/>
        <w:spacing w:after="0" w:line="406" w:lineRule="auto"/>
        <w:rPr>
          <w:sz w:val="20"/>
          <w:szCs w:val="20"/>
          <w:color w:val="auto"/>
        </w:rPr>
      </w:pPr>
      <w:r>
        <w:rPr>
          <w:rFonts w:ascii="Arial" w:cs="Arial" w:eastAsia="Arial" w:hAnsi="Arial"/>
          <w:sz w:val="17"/>
          <w:szCs w:val="17"/>
          <w:b w:val="1"/>
          <w:bCs w:val="1"/>
          <w:i w:val="1"/>
          <w:iCs w:val="1"/>
          <w:color w:val="auto"/>
        </w:rPr>
        <w:t xml:space="preserve">Inventory – Retail Inventory Method – Refer to Note 2 to the consolidated financial statements </w:t>
      </w:r>
      <w:r>
        <w:rPr>
          <w:rFonts w:ascii="Arial" w:cs="Arial" w:eastAsia="Arial" w:hAnsi="Arial"/>
          <w:sz w:val="17"/>
          <w:szCs w:val="17"/>
          <w:i w:val="1"/>
          <w:iCs w:val="1"/>
          <w:color w:val="auto"/>
        </w:rPr>
        <w:t>Critical Audit Matter Description</w:t>
      </w:r>
    </w:p>
    <w:p>
      <w:pPr>
        <w:ind w:right="60"/>
        <w:spacing w:after="0" w:line="241" w:lineRule="auto"/>
        <w:rPr>
          <w:sz w:val="20"/>
          <w:szCs w:val="20"/>
          <w:color w:val="auto"/>
        </w:rPr>
      </w:pPr>
      <w:r>
        <w:rPr>
          <w:rFonts w:ascii="Arial" w:cs="Arial" w:eastAsia="Arial" w:hAnsi="Arial"/>
          <w:sz w:val="17"/>
          <w:szCs w:val="17"/>
          <w:color w:val="auto"/>
        </w:rPr>
        <w:t>Inventory is stated at the lower of cost or net realizable value as determined by the retail inventory method for store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markdowns, which impact the ending inventory valuation at cost as well as resulting cost of sales. Merchandise markdowns are reflected in the inventory valuation when the price of an item is lowered in the stores.</w:t>
      </w:r>
    </w:p>
    <w:p>
      <w:pPr>
        <w:spacing w:after="0" w:line="11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Given the valuation of inventory under the retail inventory method requires management to make judgments and estimates, performing audit procedures to evaluate the reasonableness of the judgments and estimates related to the timing of markdowns used in the valuation of inventory required an elevated degree of auditor judgment.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audit procedures to evaluate the reasonableness of the judgments and estimates related to the timing of markdowns used in the valuation of inventory included the following, among others:</w:t>
      </w:r>
    </w:p>
    <w:p>
      <w:pPr>
        <w:spacing w:after="0" w:line="92" w:lineRule="exact"/>
        <w:rPr>
          <w:sz w:val="20"/>
          <w:szCs w:val="20"/>
          <w:color w:val="auto"/>
        </w:rPr>
      </w:pPr>
    </w:p>
    <w:p>
      <w:pPr>
        <w:ind w:left="680" w:right="100" w:hanging="321"/>
        <w:spacing w:after="0" w:line="266" w:lineRule="auto"/>
        <w:tabs>
          <w:tab w:leader="none" w:pos="68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effectiveness of controls over the measurement of inventory under the retail inventory method, including merchandise markdowns.</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timing of markdowns by:</w:t>
      </w:r>
    </w:p>
    <w:p>
      <w:pPr>
        <w:spacing w:after="0" w:line="155" w:lineRule="exact"/>
        <w:rPr>
          <w:sz w:val="20"/>
          <w:szCs w:val="20"/>
          <w:color w:val="auto"/>
        </w:rPr>
      </w:pPr>
    </w:p>
    <w:p>
      <w:pPr>
        <w:ind w:left="1340" w:right="300" w:hanging="333"/>
        <w:spacing w:after="0" w:line="249" w:lineRule="auto"/>
        <w:tabs>
          <w:tab w:leader="none" w:pos="134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Making a selection of markdowns recorded throughout the year and after year-end to test the accuracy and timeliness of the markdowns recorded.</w:t>
      </w:r>
    </w:p>
    <w:p>
      <w:pPr>
        <w:spacing w:after="0" w:line="105" w:lineRule="exact"/>
        <w:rPr>
          <w:rFonts w:ascii="Courier New" w:cs="Courier New" w:eastAsia="Courier New" w:hAnsi="Courier New"/>
          <w:sz w:val="17"/>
          <w:szCs w:val="17"/>
          <w:color w:val="auto"/>
        </w:rPr>
      </w:pPr>
    </w:p>
    <w:p>
      <w:pPr>
        <w:ind w:left="1340" w:right="40" w:hanging="333"/>
        <w:spacing w:after="0" w:line="249" w:lineRule="auto"/>
        <w:tabs>
          <w:tab w:leader="none" w:pos="134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Making a selection of purchases made throughout the year; determining if those purchases were subsequently marked down; and, if marked down, that the markdown was recorded timely.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April 16, 2025</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517" w:right="119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February 1,</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February 3,</w:t>
            </w:r>
          </w:p>
        </w:tc>
      </w:tr>
      <w:tr>
        <w:trPr>
          <w:trHeight w:val="197"/>
        </w:trPr>
        <w:tc>
          <w:tcPr>
            <w:tcW w:w="7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7"/>
                <w:szCs w:val="17"/>
                <w:color w:val="auto"/>
              </w:rPr>
            </w:pPr>
          </w:p>
        </w:tc>
      </w:tr>
      <w:tr>
        <w:trPr>
          <w:trHeight w:val="237"/>
        </w:trPr>
        <w:tc>
          <w:tcPr>
            <w:tcW w:w="7520" w:type="dxa"/>
            <w:vAlign w:val="bottom"/>
            <w:shd w:val="clear" w:color="auto" w:fill="CCEEFF"/>
          </w:tcPr>
          <w:p>
            <w:pPr>
              <w:ind w:left="338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35"/>
        </w:trPr>
        <w:tc>
          <w:tcPr>
            <w:tcW w:w="75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79,706</w:t>
            </w:r>
          </w:p>
        </w:tc>
        <w:tc>
          <w:tcPr>
            <w:tcW w:w="280" w:type="dxa"/>
            <w:vAlign w:val="bottom"/>
            <w:shd w:val="clear" w:color="auto" w:fill="CCEEFF"/>
          </w:tcPr>
          <w:p>
            <w:pPr>
              <w:spacing w:after="0"/>
              <w:rPr>
                <w:sz w:val="21"/>
                <w:szCs w:val="21"/>
                <w:color w:val="auto"/>
              </w:rPr>
            </w:pPr>
          </w:p>
        </w:tc>
      </w:tr>
      <w:tr>
        <w:trPr>
          <w:trHeight w:val="235"/>
        </w:trPr>
        <w:tc>
          <w:tcPr>
            <w:tcW w:w="75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122,640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130,432</w:t>
            </w:r>
          </w:p>
        </w:tc>
        <w:tc>
          <w:tcPr>
            <w:tcW w:w="280" w:type="dxa"/>
            <w:vAlign w:val="bottom"/>
          </w:tcPr>
          <w:p>
            <w:pPr>
              <w:spacing w:after="0"/>
              <w:rPr>
                <w:sz w:val="20"/>
                <w:szCs w:val="20"/>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280" w:type="dxa"/>
            <w:vAlign w:val="bottom"/>
            <w:shd w:val="clear" w:color="auto" w:fill="CCEEFF"/>
          </w:tcPr>
          <w:p>
            <w:pPr>
              <w:spacing w:after="0"/>
              <w:rPr>
                <w:sz w:val="21"/>
                <w:szCs w:val="21"/>
                <w:color w:val="auto"/>
              </w:rPr>
            </w:pPr>
          </w:p>
        </w:tc>
      </w:tr>
      <w:tr>
        <w:trPr>
          <w:trHeight w:val="236"/>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receivable</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w:t>
            </w:r>
          </w:p>
        </w:tc>
        <w:tc>
          <w:tcPr>
            <w:tcW w:w="280" w:type="dxa"/>
            <w:vAlign w:val="bottom"/>
            <w:tcBorders>
              <w:bottom w:val="single" w:sz="8" w:color="CCEEFF"/>
            </w:tcBorders>
          </w:tcPr>
          <w:p>
            <w:pPr>
              <w:spacing w:after="0"/>
              <w:rPr>
                <w:sz w:val="20"/>
                <w:szCs w:val="20"/>
                <w:color w:val="auto"/>
              </w:rPr>
            </w:pPr>
          </w:p>
        </w:tc>
      </w:tr>
      <w:tr>
        <w:trPr>
          <w:trHeight w:val="230"/>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197,060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225,099</w:t>
            </w:r>
          </w:p>
        </w:tc>
        <w:tc>
          <w:tcPr>
            <w:tcW w:w="280" w:type="dxa"/>
            <w:vAlign w:val="bottom"/>
            <w:shd w:val="clear" w:color="auto" w:fill="CCEEFF"/>
          </w:tcPr>
          <w:p>
            <w:pPr>
              <w:spacing w:after="0"/>
              <w:rPr>
                <w:sz w:val="19"/>
                <w:szCs w:val="19"/>
                <w:color w:val="auto"/>
              </w:rPr>
            </w:pPr>
          </w:p>
        </w:tc>
      </w:tr>
      <w:tr>
        <w:trPr>
          <w:trHeight w:val="235"/>
        </w:trPr>
        <w:tc>
          <w:tcPr>
            <w:tcW w:w="7520" w:type="dxa"/>
            <w:vAlign w:val="bottom"/>
          </w:tcPr>
          <w:p>
            <w:pPr>
              <w:ind w:left="220"/>
              <w:spacing w:after="0"/>
              <w:rPr>
                <w:sz w:val="20"/>
                <w:szCs w:val="20"/>
                <w:color w:val="auto"/>
              </w:rPr>
            </w:pPr>
            <w:r>
              <w:rPr>
                <w:rFonts w:ascii="Arial" w:cs="Arial" w:eastAsia="Arial" w:hAnsi="Arial"/>
                <w:sz w:val="16"/>
                <w:szCs w:val="16"/>
                <w:color w:val="auto"/>
              </w:rPr>
              <w:t>Property and equipment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50,715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56,231</w:t>
            </w:r>
          </w:p>
        </w:tc>
        <w:tc>
          <w:tcPr>
            <w:tcW w:w="280" w:type="dxa"/>
            <w:vAlign w:val="bottom"/>
          </w:tcPr>
          <w:p>
            <w:pPr>
              <w:spacing w:after="0"/>
              <w:rPr>
                <w:sz w:val="20"/>
                <w:szCs w:val="20"/>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214,148</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231,281</w:t>
            </w:r>
          </w:p>
        </w:tc>
        <w:tc>
          <w:tcPr>
            <w:tcW w:w="280" w:type="dxa"/>
            <w:vAlign w:val="bottom"/>
            <w:shd w:val="clear" w:color="auto" w:fill="CCEEFF"/>
          </w:tcPr>
          <w:p>
            <w:pPr>
              <w:spacing w:after="0"/>
              <w:rPr>
                <w:sz w:val="21"/>
                <w:szCs w:val="21"/>
                <w:color w:val="auto"/>
              </w:rPr>
            </w:pPr>
          </w:p>
        </w:tc>
      </w:tr>
      <w:tr>
        <w:trPr>
          <w:trHeight w:val="235"/>
        </w:trPr>
        <w:tc>
          <w:tcPr>
            <w:tcW w:w="75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5,105</w:t>
            </w:r>
          </w:p>
        </w:tc>
        <w:tc>
          <w:tcPr>
            <w:tcW w:w="280" w:type="dxa"/>
            <w:vAlign w:val="bottom"/>
          </w:tcPr>
          <w:p>
            <w:pPr>
              <w:spacing w:after="0"/>
              <w:rPr>
                <w:sz w:val="20"/>
                <w:szCs w:val="20"/>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2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80" w:type="dxa"/>
            <w:vAlign w:val="bottom"/>
            <w:shd w:val="clear" w:color="auto" w:fill="CCEEFF"/>
          </w:tcPr>
          <w:p>
            <w:pPr>
              <w:spacing w:after="0"/>
              <w:rPr>
                <w:sz w:val="21"/>
                <w:szCs w:val="21"/>
                <w:color w:val="auto"/>
              </w:rPr>
            </w:pPr>
          </w:p>
        </w:tc>
      </w:tr>
      <w:tr>
        <w:trPr>
          <w:trHeight w:val="249"/>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462,769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518,721</w:t>
            </w:r>
          </w:p>
        </w:tc>
        <w:tc>
          <w:tcPr>
            <w:tcW w:w="280" w:type="dxa"/>
            <w:vAlign w:val="bottom"/>
            <w:tcBorders>
              <w:bottom w:val="single" w:sz="8" w:color="CCEEFF"/>
            </w:tcBorders>
          </w:tcPr>
          <w:p>
            <w:pPr>
              <w:spacing w:after="0"/>
              <w:rPr>
                <w:sz w:val="21"/>
                <w:szCs w:val="21"/>
                <w:color w:val="auto"/>
              </w:rPr>
            </w:pPr>
          </w:p>
        </w:tc>
      </w:tr>
      <w:tr>
        <w:trPr>
          <w:trHeight w:val="197"/>
        </w:trPr>
        <w:tc>
          <w:tcPr>
            <w:tcW w:w="7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9"/>
        </w:trPr>
        <w:tc>
          <w:tcPr>
            <w:tcW w:w="7520" w:type="dxa"/>
            <w:vAlign w:val="bottom"/>
          </w:tcPr>
          <w:p>
            <w:pPr>
              <w:ind w:left="22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35"/>
        </w:trPr>
        <w:tc>
          <w:tcPr>
            <w:tcW w:w="75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102,456</w:t>
            </w:r>
          </w:p>
        </w:tc>
        <w:tc>
          <w:tcPr>
            <w:tcW w:w="2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100,366</w:t>
            </w:r>
          </w:p>
        </w:tc>
        <w:tc>
          <w:tcPr>
            <w:tcW w:w="280" w:type="dxa"/>
            <w:vAlign w:val="bottom"/>
          </w:tcPr>
          <w:p>
            <w:pPr>
              <w:spacing w:after="0"/>
              <w:rPr>
                <w:sz w:val="20"/>
                <w:szCs w:val="20"/>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45,842</w:t>
            </w:r>
          </w:p>
        </w:tc>
        <w:tc>
          <w:tcPr>
            <w:tcW w:w="280" w:type="dxa"/>
            <w:vAlign w:val="bottom"/>
            <w:shd w:val="clear" w:color="auto" w:fill="CCEEFF"/>
          </w:tcPr>
          <w:p>
            <w:pPr>
              <w:spacing w:after="0"/>
              <w:rPr>
                <w:sz w:val="21"/>
                <w:szCs w:val="21"/>
                <w:color w:val="auto"/>
              </w:rPr>
            </w:pPr>
          </w:p>
        </w:tc>
      </w:tr>
      <w:tr>
        <w:trPr>
          <w:trHeight w:val="235"/>
        </w:trPr>
        <w:tc>
          <w:tcPr>
            <w:tcW w:w="75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16,466</w:t>
            </w:r>
          </w:p>
        </w:tc>
        <w:tc>
          <w:tcPr>
            <w:tcW w:w="280" w:type="dxa"/>
            <w:vAlign w:val="bottom"/>
          </w:tcPr>
          <w:p>
            <w:pPr>
              <w:spacing w:after="0"/>
              <w:rPr>
                <w:sz w:val="20"/>
                <w:szCs w:val="20"/>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w:t>
            </w:r>
          </w:p>
        </w:tc>
        <w:tc>
          <w:tcPr>
            <w:tcW w:w="280" w:type="dxa"/>
            <w:vAlign w:val="bottom"/>
            <w:shd w:val="clear" w:color="auto" w:fill="CCEEFF"/>
          </w:tcPr>
          <w:p>
            <w:pPr>
              <w:spacing w:after="0"/>
              <w:rPr>
                <w:sz w:val="21"/>
                <w:szCs w:val="21"/>
                <w:color w:val="auto"/>
              </w:rPr>
            </w:pPr>
          </w:p>
        </w:tc>
      </w:tr>
      <w:tr>
        <w:trPr>
          <w:trHeight w:val="237"/>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Layaway deposits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280" w:type="dxa"/>
            <w:vAlign w:val="bottom"/>
            <w:tcBorders>
              <w:bottom w:val="single" w:sz="8" w:color="CCEEFF"/>
            </w:tcBorders>
          </w:tcPr>
          <w:p>
            <w:pPr>
              <w:spacing w:after="0"/>
              <w:rPr>
                <w:sz w:val="20"/>
                <w:szCs w:val="20"/>
                <w:color w:val="auto"/>
              </w:rPr>
            </w:pPr>
          </w:p>
        </w:tc>
      </w:tr>
      <w:tr>
        <w:trPr>
          <w:trHeight w:val="230"/>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174,391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169,904</w:t>
            </w:r>
          </w:p>
        </w:tc>
        <w:tc>
          <w:tcPr>
            <w:tcW w:w="280" w:type="dxa"/>
            <w:vAlign w:val="bottom"/>
            <w:shd w:val="clear" w:color="auto" w:fill="CCEEFF"/>
          </w:tcPr>
          <w:p>
            <w:pPr>
              <w:spacing w:after="0"/>
              <w:rPr>
                <w:sz w:val="19"/>
                <w:szCs w:val="19"/>
                <w:color w:val="auto"/>
              </w:rPr>
            </w:pPr>
          </w:p>
        </w:tc>
      </w:tr>
      <w:tr>
        <w:trPr>
          <w:trHeight w:val="235"/>
        </w:trPr>
        <w:tc>
          <w:tcPr>
            <w:tcW w:w="75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172,675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188,810</w:t>
            </w:r>
          </w:p>
        </w:tc>
        <w:tc>
          <w:tcPr>
            <w:tcW w:w="280" w:type="dxa"/>
            <w:vAlign w:val="bottom"/>
          </w:tcPr>
          <w:p>
            <w:pPr>
              <w:spacing w:after="0"/>
              <w:rPr>
                <w:sz w:val="20"/>
                <w:szCs w:val="20"/>
                <w:color w:val="auto"/>
              </w:rPr>
            </w:pPr>
          </w:p>
        </w:tc>
      </w:tr>
      <w:tr>
        <w:trPr>
          <w:trHeight w:val="251"/>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r>
      <w:tr>
        <w:trPr>
          <w:trHeight w:val="237"/>
        </w:trPr>
        <w:tc>
          <w:tcPr>
            <w:tcW w:w="7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w:t>
            </w:r>
          </w:p>
        </w:tc>
        <w:tc>
          <w:tcPr>
            <w:tcW w:w="280" w:type="dxa"/>
            <w:vAlign w:val="bottom"/>
            <w:tcBorders>
              <w:bottom w:val="single" w:sz="8" w:color="CCEEFF"/>
            </w:tcBorders>
          </w:tcPr>
          <w:p>
            <w:pPr>
              <w:spacing w:after="0"/>
              <w:rPr>
                <w:sz w:val="20"/>
                <w:szCs w:val="20"/>
                <w:color w:val="auto"/>
              </w:rPr>
            </w:pPr>
          </w:p>
        </w:tc>
      </w:tr>
      <w:tr>
        <w:trPr>
          <w:trHeight w:val="223"/>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349,593</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361,015</w:t>
            </w:r>
          </w:p>
        </w:tc>
        <w:tc>
          <w:tcPr>
            <w:tcW w:w="280" w:type="dxa"/>
            <w:vAlign w:val="bottom"/>
            <w:shd w:val="clear" w:color="auto" w:fill="CCEEFF"/>
          </w:tcPr>
          <w:p>
            <w:pPr>
              <w:spacing w:after="0"/>
              <w:rPr>
                <w:sz w:val="19"/>
                <w:szCs w:val="19"/>
                <w:color w:val="auto"/>
              </w:rPr>
            </w:pPr>
          </w:p>
        </w:tc>
      </w:tr>
      <w:tr>
        <w:trPr>
          <w:trHeight w:val="229"/>
        </w:trPr>
        <w:tc>
          <w:tcPr>
            <w:tcW w:w="7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02"/>
        </w:trPr>
        <w:tc>
          <w:tcPr>
            <w:tcW w:w="7520" w:type="dxa"/>
            <w:vAlign w:val="bottom"/>
          </w:tcPr>
          <w:p>
            <w:pPr>
              <w:ind w:left="220"/>
              <w:spacing w:after="0"/>
              <w:rPr>
                <w:sz w:val="20"/>
                <w:szCs w:val="20"/>
                <w:color w:val="auto"/>
              </w:rPr>
            </w:pPr>
            <w:r>
              <w:rPr>
                <w:rFonts w:ascii="Arial" w:cs="Arial" w:eastAsia="Arial" w:hAnsi="Arial"/>
                <w:sz w:val="16"/>
                <w:szCs w:val="16"/>
                <w:color w:val="auto"/>
              </w:rPr>
              <w:t>Common stock, $0.01 par value. Authorized 32,000,000 shares; 16,497,092 shares issued as of</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520" w:type="dxa"/>
            <w:vAlign w:val="bottom"/>
          </w:tcPr>
          <w:p>
            <w:pPr>
              <w:ind w:left="220"/>
              <w:spacing w:after="0"/>
              <w:rPr>
                <w:sz w:val="20"/>
                <w:szCs w:val="20"/>
                <w:color w:val="auto"/>
              </w:rPr>
            </w:pPr>
            <w:r>
              <w:rPr>
                <w:rFonts w:ascii="Arial" w:cs="Arial" w:eastAsia="Arial" w:hAnsi="Arial"/>
                <w:sz w:val="16"/>
                <w:szCs w:val="16"/>
                <w:color w:val="auto"/>
              </w:rPr>
              <w:t>February 1, 2025 and 16,354,714 shares issued as of February 3, 2024; 8,547,841 shares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7520" w:type="dxa"/>
            <w:vAlign w:val="bottom"/>
          </w:tcPr>
          <w:p>
            <w:pPr>
              <w:ind w:left="220"/>
              <w:spacing w:after="0"/>
              <w:rPr>
                <w:sz w:val="20"/>
                <w:szCs w:val="20"/>
                <w:color w:val="auto"/>
              </w:rPr>
            </w:pPr>
            <w:r>
              <w:rPr>
                <w:rFonts w:ascii="Arial" w:cs="Arial" w:eastAsia="Arial" w:hAnsi="Arial"/>
                <w:sz w:val="16"/>
                <w:szCs w:val="16"/>
                <w:color w:val="auto"/>
              </w:rPr>
              <w:t>outstanding as of February 1, 2025 and 8,550,701 shares outstanding as of February 3, 2024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w:t>
            </w:r>
          </w:p>
        </w:tc>
        <w:tc>
          <w:tcPr>
            <w:tcW w:w="280" w:type="dxa"/>
            <w:vAlign w:val="bottom"/>
          </w:tcPr>
          <w:p>
            <w:pPr>
              <w:spacing w:after="0"/>
              <w:rPr>
                <w:sz w:val="19"/>
                <w:szCs w:val="19"/>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 in capital</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108,101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105,686</w:t>
            </w:r>
          </w:p>
        </w:tc>
        <w:tc>
          <w:tcPr>
            <w:tcW w:w="280" w:type="dxa"/>
            <w:vAlign w:val="bottom"/>
            <w:shd w:val="clear" w:color="auto" w:fill="CCEEFF"/>
          </w:tcPr>
          <w:p>
            <w:pPr>
              <w:spacing w:after="0"/>
              <w:rPr>
                <w:sz w:val="21"/>
                <w:szCs w:val="21"/>
                <w:color w:val="auto"/>
              </w:rPr>
            </w:pPr>
          </w:p>
        </w:tc>
      </w:tr>
      <w:tr>
        <w:trPr>
          <w:trHeight w:val="235"/>
        </w:trPr>
        <w:tc>
          <w:tcPr>
            <w:tcW w:w="752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275,901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319,071</w:t>
            </w:r>
          </w:p>
        </w:tc>
        <w:tc>
          <w:tcPr>
            <w:tcW w:w="280" w:type="dxa"/>
            <w:vAlign w:val="bottom"/>
          </w:tcPr>
          <w:p>
            <w:pPr>
              <w:spacing w:after="0"/>
              <w:rPr>
                <w:sz w:val="20"/>
                <w:szCs w:val="20"/>
                <w:color w:val="auto"/>
              </w:rPr>
            </w:pPr>
          </w:p>
        </w:tc>
      </w:tr>
      <w:tr>
        <w:trPr>
          <w:trHeight w:val="210"/>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7,949,251 shares held as of February 1, 2025 and 7,804,013 shares held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0"/>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 of February 3, 2024</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(270,988)</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(267,211)</w:t>
            </w:r>
          </w:p>
        </w:tc>
      </w:tr>
      <w:tr>
        <w:trPr>
          <w:trHeight w:val="217"/>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113,176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157,706</w:t>
            </w:r>
          </w:p>
        </w:tc>
        <w:tc>
          <w:tcPr>
            <w:tcW w:w="280" w:type="dxa"/>
            <w:vAlign w:val="bottom"/>
            <w:tcBorders>
              <w:bottom w:val="single" w:sz="8" w:color="CCEEFF"/>
            </w:tcBorders>
          </w:tcPr>
          <w:p>
            <w:pPr>
              <w:spacing w:after="0"/>
              <w:rPr>
                <w:sz w:val="18"/>
                <w:szCs w:val="18"/>
                <w:color w:val="auto"/>
              </w:rPr>
            </w:pPr>
          </w:p>
        </w:tc>
      </w:tr>
      <w:tr>
        <w:trPr>
          <w:trHeight w:val="230"/>
        </w:trPr>
        <w:tc>
          <w:tcPr>
            <w:tcW w:w="7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35"/>
        </w:trPr>
        <w:tc>
          <w:tcPr>
            <w:tcW w:w="7520" w:type="dxa"/>
            <w:vAlign w:val="bottom"/>
          </w:tcPr>
          <w:p>
            <w:pPr>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462,769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518,721</w:t>
            </w:r>
          </w:p>
        </w:tc>
        <w:tc>
          <w:tcPr>
            <w:tcW w:w="280" w:type="dxa"/>
            <w:vAlign w:val="bottom"/>
            <w:tcBorders>
              <w:bottom w:val="single" w:sz="8" w:color="CCEEFF"/>
            </w:tcBorders>
            <w:shd w:val="clear" w:color="auto" w:fill="CCEEFF"/>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data)</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753,079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(exclusive of depreciation shown separately below)</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(471,036)</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(462,824)</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(484,022)</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(300,173)</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(284,530)</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(279,177)</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(18,822)</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(18,990)</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(20,595)</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Asset impairment</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(2,536)</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sale-leasebacks</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64,088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6"/>
                <w:szCs w:val="16"/>
                <w:color w:val="auto"/>
              </w:rPr>
              <w:t>(Loss) income from operations</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income before income taxes</w:t>
            </w: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76,033</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8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(5,836)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(17,141)</w:t>
            </w:r>
          </w:p>
        </w:tc>
        <w:tc>
          <w:tcPr>
            <w:tcW w:w="0" w:type="dxa"/>
            <w:vAlign w:val="bottom"/>
          </w:tcPr>
          <w:p>
            <w:pPr>
              <w:spacing w:after="0"/>
              <w:rPr>
                <w:sz w:val="1"/>
                <w:szCs w:val="1"/>
                <w:color w:val="auto"/>
              </w:rPr>
            </w:pPr>
          </w:p>
        </w:tc>
      </w:tr>
      <w:tr>
        <w:trPr>
          <w:trHeight w:val="215"/>
        </w:trPr>
        <w:tc>
          <w:tcPr>
            <w:tcW w:w="6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Net (loss)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(43,170)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(11,979)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Asset impairment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(2,211)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 of assets or insurance related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(64,088)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(24,638)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Prepaid and other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(18,329)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(49,489)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(58,318)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(54,844)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(3,977)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(15,073)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tax payable/receivable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(3,508)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Layaway deposits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(used in)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(10,108)</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(14,875)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(22,287)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Insurance proceeds related to investing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Proceeds from sale-leasebacks</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Cash used to settle withholding taxes on vested restricted stock</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(887)</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(854)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common stock</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(3,777)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year</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103,495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End of year</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61,085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79,706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paid for interest</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(receipts) payments of income taxes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disclosures of non-cash investing activities: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Accrual for purchases of property and equipment</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1640" w:type="dxa"/>
            <w:vAlign w:val="bottom"/>
            <w:gridSpan w:val="6"/>
          </w:tcPr>
          <w:p>
            <w:pPr>
              <w:ind w:left="22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7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4080" w:type="dxa"/>
            <w:vAlign w:val="bottom"/>
          </w:tcPr>
          <w:p>
            <w:pPr>
              <w:spacing w:after="0"/>
              <w:rPr>
                <w:sz w:val="16"/>
                <w:szCs w:val="16"/>
                <w:color w:val="auto"/>
              </w:rPr>
            </w:pPr>
          </w:p>
        </w:tc>
        <w:tc>
          <w:tcPr>
            <w:tcW w:w="8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8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January 29,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16,090,365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$ 101,037</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$ 272,158</w:t>
            </w: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7,473,155</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(257,211)</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116,143</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Vesting of nonvested shares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6"/>
                <w:szCs w:val="16"/>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140,441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6"/>
        </w:trPr>
        <w:tc>
          <w:tcPr>
            <w:tcW w:w="4080" w:type="dxa"/>
            <w:vAlign w:val="bottom"/>
          </w:tcPr>
          <w:p>
            <w:pPr>
              <w:spacing w:after="0"/>
              <w:rPr>
                <w:sz w:val="20"/>
                <w:szCs w:val="20"/>
                <w:color w:val="auto"/>
              </w:rPr>
            </w:pPr>
            <w:r>
              <w:rPr>
                <w:rFonts w:ascii="Arial" w:cs="Arial" w:eastAsia="Arial" w:hAnsi="Arial"/>
                <w:sz w:val="14"/>
                <w:szCs w:val="14"/>
                <w:color w:val="auto"/>
              </w:rPr>
              <w:t>Issuance of common stock under incentive plan, net of shares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4"/>
        </w:trPr>
        <w:tc>
          <w:tcPr>
            <w:tcW w:w="4080" w:type="dxa"/>
            <w:vAlign w:val="bottom"/>
          </w:tcPr>
          <w:p>
            <w:pPr>
              <w:spacing w:after="0"/>
              <w:rPr>
                <w:sz w:val="20"/>
                <w:szCs w:val="20"/>
                <w:color w:val="auto"/>
              </w:rPr>
            </w:pPr>
            <w:r>
              <w:rPr>
                <w:rFonts w:ascii="Arial" w:cs="Arial" w:eastAsia="Arial" w:hAnsi="Arial"/>
                <w:sz w:val="14"/>
                <w:szCs w:val="14"/>
                <w:color w:val="auto"/>
              </w:rPr>
              <w:t>withheld for taxes</w:t>
            </w:r>
          </w:p>
        </w:tc>
        <w:tc>
          <w:tcPr>
            <w:tcW w:w="800" w:type="dxa"/>
            <w:vAlign w:val="bottom"/>
          </w:tcPr>
          <w:p>
            <w:pPr>
              <w:jc w:val="right"/>
              <w:spacing w:after="0"/>
              <w:rPr>
                <w:sz w:val="20"/>
                <w:szCs w:val="20"/>
                <w:color w:val="auto"/>
              </w:rPr>
            </w:pPr>
            <w:r>
              <w:rPr>
                <w:rFonts w:ascii="Arial" w:cs="Arial" w:eastAsia="Arial" w:hAnsi="Arial"/>
                <w:sz w:val="14"/>
                <w:szCs w:val="14"/>
                <w:color w:val="auto"/>
              </w:rPr>
              <w:t>15,977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97"/>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Forfeiture of nonvested shares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(42,782)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3,635</w:t>
            </w:r>
          </w:p>
        </w:tc>
        <w:tc>
          <w:tcPr>
            <w:tcW w:w="40" w:type="dxa"/>
            <w:vAlign w:val="bottom"/>
          </w:tcPr>
          <w:p>
            <w:pPr>
              <w:spacing w:after="0"/>
              <w:rPr>
                <w:sz w:val="16"/>
                <w:szCs w:val="16"/>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(45,507)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(2,227)</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(2,228)</w:t>
            </w: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330,858</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(10,000)</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58,892</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58,892</w:t>
            </w:r>
          </w:p>
        </w:tc>
        <w:tc>
          <w:tcPr>
            <w:tcW w:w="40" w:type="dxa"/>
            <w:vAlign w:val="bottom"/>
            <w:shd w:val="clear" w:color="auto" w:fill="CCEEFF"/>
          </w:tcPr>
          <w:p>
            <w:pPr>
              <w:spacing w:after="0"/>
              <w:rPr>
                <w:sz w:val="16"/>
                <w:szCs w:val="16"/>
                <w:color w:val="auto"/>
              </w:rPr>
            </w:pPr>
          </w:p>
        </w:tc>
      </w:tr>
      <w:tr>
        <w:trPr>
          <w:trHeight w:val="183"/>
        </w:trPr>
        <w:tc>
          <w:tcPr>
            <w:tcW w:w="4080" w:type="dxa"/>
            <w:vAlign w:val="bottom"/>
          </w:tcPr>
          <w:p>
            <w:pPr>
              <w:spacing w:after="0"/>
              <w:rPr>
                <w:sz w:val="20"/>
                <w:szCs w:val="20"/>
                <w:color w:val="auto"/>
              </w:rPr>
            </w:pPr>
            <w:r>
              <w:rPr>
                <w:rFonts w:ascii="Arial" w:cs="Arial" w:eastAsia="Arial" w:hAnsi="Arial"/>
                <w:sz w:val="14"/>
                <w:szCs w:val="14"/>
                <w:b w:val="1"/>
                <w:bCs w:val="1"/>
                <w:color w:val="auto"/>
              </w:rPr>
              <w:t>Balances — January 28, 2023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16,158,494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$ 102,445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$ 331,050</w:t>
            </w:r>
          </w:p>
        </w:tc>
        <w:tc>
          <w:tcPr>
            <w:tcW w:w="14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7,804,013</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(267,211)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166,444</w:t>
            </w:r>
          </w:p>
        </w:tc>
        <w:tc>
          <w:tcPr>
            <w:tcW w:w="40" w:type="dxa"/>
            <w:vAlign w:val="bottom"/>
          </w:tcPr>
          <w:p>
            <w:pPr>
              <w:spacing w:after="0"/>
              <w:rPr>
                <w:sz w:val="15"/>
                <w:szCs w:val="15"/>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Vesting of nonvested units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Issuance of nonvested shares</w:t>
            </w:r>
          </w:p>
        </w:tc>
        <w:tc>
          <w:tcPr>
            <w:tcW w:w="800" w:type="dxa"/>
            <w:vAlign w:val="bottom"/>
          </w:tcPr>
          <w:p>
            <w:pPr>
              <w:jc w:val="right"/>
              <w:spacing w:after="0"/>
              <w:rPr>
                <w:sz w:val="20"/>
                <w:szCs w:val="20"/>
                <w:color w:val="auto"/>
              </w:rPr>
            </w:pPr>
            <w:r>
              <w:rPr>
                <w:rFonts w:ascii="Arial" w:cs="Arial" w:eastAsia="Arial" w:hAnsi="Arial"/>
                <w:sz w:val="14"/>
                <w:szCs w:val="14"/>
                <w:color w:val="auto"/>
              </w:rPr>
              <w:t>272,426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6"/>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under incentive plan, net of shares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withheld for taxes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Forfeiture of nonvested shares</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(39,321)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40" w:type="dxa"/>
            <w:vAlign w:val="bottom"/>
            <w:shd w:val="clear" w:color="auto" w:fill="CCEEFF"/>
          </w:tcPr>
          <w:p>
            <w:pPr>
              <w:spacing w:after="0"/>
              <w:rPr>
                <w:sz w:val="16"/>
                <w:szCs w:val="16"/>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Net share settlement of nonvested shares</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(36,885)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(854)</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(854)</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(11,979)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(11,979)</w:t>
            </w:r>
          </w:p>
        </w:tc>
      </w:tr>
      <w:tr>
        <w:trPr>
          <w:trHeight w:val="183"/>
        </w:trPr>
        <w:tc>
          <w:tcPr>
            <w:tcW w:w="4080" w:type="dxa"/>
            <w:vAlign w:val="bottom"/>
          </w:tcPr>
          <w:p>
            <w:pPr>
              <w:spacing w:after="0"/>
              <w:rPr>
                <w:sz w:val="20"/>
                <w:szCs w:val="20"/>
                <w:color w:val="auto"/>
              </w:rPr>
            </w:pPr>
            <w:r>
              <w:rPr>
                <w:rFonts w:ascii="Arial" w:cs="Arial" w:eastAsia="Arial" w:hAnsi="Arial"/>
                <w:sz w:val="14"/>
                <w:szCs w:val="14"/>
                <w:b w:val="1"/>
                <w:bCs w:val="1"/>
                <w:color w:val="auto"/>
              </w:rPr>
              <w:t>Balances — February 3, 2024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16,354,714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$ 105,686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$ 319,071</w:t>
            </w:r>
          </w:p>
        </w:tc>
        <w:tc>
          <w:tcPr>
            <w:tcW w:w="14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7,804,013</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(267,211)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157,706</w:t>
            </w:r>
          </w:p>
        </w:tc>
        <w:tc>
          <w:tcPr>
            <w:tcW w:w="40" w:type="dxa"/>
            <w:vAlign w:val="bottom"/>
          </w:tcPr>
          <w:p>
            <w:pPr>
              <w:spacing w:after="0"/>
              <w:rPr>
                <w:sz w:val="15"/>
                <w:szCs w:val="15"/>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Vesting of nonvested units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6"/>
                <w:szCs w:val="16"/>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Issuance of nonvested shares</w:t>
            </w:r>
          </w:p>
        </w:tc>
        <w:tc>
          <w:tcPr>
            <w:tcW w:w="800" w:type="dxa"/>
            <w:vAlign w:val="bottom"/>
          </w:tcPr>
          <w:p>
            <w:pPr>
              <w:jc w:val="right"/>
              <w:spacing w:after="0"/>
              <w:rPr>
                <w:sz w:val="20"/>
                <w:szCs w:val="20"/>
                <w:color w:val="auto"/>
              </w:rPr>
            </w:pPr>
            <w:r>
              <w:rPr>
                <w:rFonts w:ascii="Arial" w:cs="Arial" w:eastAsia="Arial" w:hAnsi="Arial"/>
                <w:sz w:val="14"/>
                <w:szCs w:val="14"/>
                <w:color w:val="auto"/>
              </w:rPr>
              <w:t>230,852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Forfeiture of nonvested shares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(51,450)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3,302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3,302</w:t>
            </w:r>
          </w:p>
        </w:tc>
        <w:tc>
          <w:tcPr>
            <w:tcW w:w="40" w:type="dxa"/>
            <w:vAlign w:val="bottom"/>
          </w:tcPr>
          <w:p>
            <w:pPr>
              <w:spacing w:after="0"/>
              <w:rPr>
                <w:sz w:val="16"/>
                <w:szCs w:val="16"/>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(37,024)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(887)</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(887)</w:t>
            </w:r>
          </w:p>
        </w:tc>
      </w:tr>
      <w:tr>
        <w:trPr>
          <w:trHeight w:val="189"/>
        </w:trPr>
        <w:tc>
          <w:tcPr>
            <w:tcW w:w="408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145,238</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(3,777)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(43,170)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(43,170)</w:t>
            </w:r>
          </w:p>
        </w:tc>
      </w:tr>
      <w:tr>
        <w:trPr>
          <w:trHeight w:val="183"/>
        </w:trPr>
        <w:tc>
          <w:tcPr>
            <w:tcW w:w="4080" w:type="dxa"/>
            <w:vAlign w:val="bottom"/>
          </w:tcPr>
          <w:p>
            <w:pPr>
              <w:spacing w:after="0"/>
              <w:rPr>
                <w:sz w:val="20"/>
                <w:szCs w:val="20"/>
                <w:color w:val="auto"/>
              </w:rPr>
            </w:pPr>
            <w:r>
              <w:rPr>
                <w:rFonts w:ascii="Arial" w:cs="Arial" w:eastAsia="Arial" w:hAnsi="Arial"/>
                <w:sz w:val="14"/>
                <w:szCs w:val="14"/>
                <w:b w:val="1"/>
                <w:bCs w:val="1"/>
                <w:color w:val="auto"/>
              </w:rPr>
              <w:t>Balances — February 1, 2025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16,497,092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$ 108,101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$ 275,901</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7,949,251</w:t>
            </w: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(270,988)</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113,176</w:t>
            </w:r>
          </w:p>
        </w:tc>
        <w:tc>
          <w:tcPr>
            <w:tcW w:w="40" w:type="dxa"/>
            <w:vAlign w:val="bottom"/>
          </w:tcPr>
          <w:p>
            <w:pPr>
              <w:spacing w:after="0"/>
              <w:rPr>
                <w:sz w:val="15"/>
                <w:szCs w:val="15"/>
                <w:color w:val="auto"/>
              </w:rPr>
            </w:pPr>
          </w:p>
        </w:tc>
      </w:tr>
      <w:tr>
        <w:trPr>
          <w:trHeight w:val="20"/>
        </w:trPr>
        <w:tc>
          <w:tcPr>
            <w:tcW w:w="4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Citi Trends, Inc.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Business</w:t>
      </w:r>
    </w:p>
    <w:p>
      <w:pPr>
        <w:spacing w:after="0" w:line="142"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Citi Trends, Inc. and its subsidiary (the “Company”) is a leading off-price value retailer of apparel, accessories and home trends primarily for African American families in the United States. As of February 1, 2025, the Company operated 591 stores in urban, suburban and rural markets in 33 states.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42"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subsidiary. All intercompany transactions and balances have been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w:t>
      </w:r>
    </w:p>
    <w:p>
      <w:pPr>
        <w:spacing w:after="0" w:line="12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The Company’s fiscal year ends on the Saturday closest to January 31 of each year. The years ended February 1, 2025, February 3, 2024 and January 28, 2023 are referred to as fiscal 2024, fiscal 2023 and fiscal 2022, respectively, in the accompanying consolidated financial statements. Fiscal years 2024 and 2022 have a 52-week accounting period, and fiscal year 2023 is comprised of 53 weeks.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apply judgments that affect the reported amounts. Actual results could differ from those estimates.</w:t>
      </w:r>
    </w:p>
    <w:p>
      <w:pPr>
        <w:spacing w:after="0" w:line="94"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most significant estimates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Equivalents/Concentration of Credit Risk</w:t>
      </w:r>
    </w:p>
    <w:p>
      <w:pPr>
        <w:spacing w:after="0" w:line="129"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4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 based on the most recent physical inventory counts and other assumptions for shrink activity. The allowance for inventory shrink was $5.2 million as of February 1, 2025 and $3.9 million as of February 3, 2024.</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seven years for major purchased software systems, ten years for leasehold improvements and fifteen to twenty years for buildings and building improvements) of the related assets or the relevant lease term.</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4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facts and circumstances indicate that a long-lived asset may be impaired, the carrying value is reviewed. If this review indicates that the carrying value of the asset group will not be recovered as determined based on projected undiscounted cash flows related to the asset over its remaining life, the carrying value of the asset is reduced to its estimated fair value. There was non-cash impairment expense in fiscal 2024 of $2.5 million consisting of $1.2 million for leasehold improvements and fixtures and equipment at underperforming stores, and $1.3 for right of use assets. There was non-cash impairment expense in fiscal year 2023 of $1.0 million consisting of $0.9 million for leasehold improvements and fixtures and equipment at an underperforming store, and $0.1 million for a right of use asset.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largely self-insured for workers’ compensation costs, general liability claims. The Company’s self-insured retention or deductible, as applicable, for each claim involving workers’ compensation and general liability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recognizes compensation expense associated with all nonvested restricted stock and performance-based restricted stock units based on the grant-date fair value of each award. The fair value of the awards is calculated based on the stock price on the grant date, incorporating an analysis of the performance measure where applicable. Compensation expense is recognized ratably over the requisite service period. See Note 6 for additional information on the Company’s stock-based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Company’s primary source of revenue is derived from the sale of apparel, accessories and home goods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Returns</w:t>
      </w:r>
    </w:p>
    <w:p>
      <w:pPr>
        <w:spacing w:after="0" w:line="127"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The refund liability for merchandise returns is recorded in accrued expenses on the consolidated balance sheet and totaled $0.2 million as of both February 1, 2025 and February 3, 2024. The corresponding asset for the recoverable cost of expected refunds is included in prepaid and other current assets and totaled $0.1 million as of both February 1, 2025 and February 3, 2024.</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12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In the following table, the Company’s revenue is disaggregated by Division or major product category. The following table provides the percentage of net sales for each Division within the merchandise assortment:</w:t>
      </w:r>
    </w:p>
    <w:p>
      <w:pPr>
        <w:spacing w:after="0" w:line="118"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5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Divisions</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2024</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Womens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Kids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23 %  23 %   23 %</w:t>
            </w: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Accessories &amp; Beauty</w:t>
            </w:r>
          </w:p>
        </w:tc>
        <w:tc>
          <w:tcPr>
            <w:tcW w:w="1800" w:type="dxa"/>
            <w:vAlign w:val="bottom"/>
            <w:gridSpan w:val="6"/>
            <w:shd w:val="clear" w:color="auto" w:fill="CCEEFF"/>
          </w:tcPr>
          <w:p>
            <w:pPr>
              <w:jc w:val="right"/>
              <w:ind w:right="35"/>
              <w:spacing w:after="0"/>
              <w:rPr>
                <w:sz w:val="20"/>
                <w:szCs w:val="20"/>
                <w:color w:val="auto"/>
              </w:rPr>
            </w:pPr>
            <w:r>
              <w:rPr>
                <w:rFonts w:ascii="Arial" w:cs="Arial" w:eastAsia="Arial" w:hAnsi="Arial"/>
                <w:sz w:val="17"/>
                <w:szCs w:val="17"/>
                <w:color w:val="auto"/>
              </w:rPr>
              <w:t>17 %  17 %   18 %</w:t>
            </w:r>
          </w:p>
        </w:tc>
        <w:tc>
          <w:tcPr>
            <w:tcW w:w="0" w:type="dxa"/>
            <w:vAlign w:val="bottom"/>
          </w:tcPr>
          <w:p>
            <w:pPr>
              <w:spacing w:after="0"/>
              <w:rPr>
                <w:sz w:val="1"/>
                <w:szCs w:val="1"/>
                <w:color w:val="auto"/>
              </w:rPr>
            </w:pP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Mens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17 %  17 %   17 %</w:t>
            </w: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10 %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9 %</w:t>
            </w:r>
          </w:p>
        </w:tc>
        <w:tc>
          <w:tcPr>
            <w:tcW w:w="6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6 %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7 %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2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Cost of sales includes the cost of inventory sold during the period and transportation costs, including inbound freight related to inventory sold, freight from the distribution centers to the stores and freight from vendors to stores, net of discounts and allowances. Distribution center costs, store 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2024, 2023 and 2022 were $32.1 million, $31.0 million and $26.3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4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99" w:lineRule="exact"/>
        <w:rPr>
          <w:sz w:val="20"/>
          <w:szCs w:val="20"/>
          <w:color w:val="auto"/>
        </w:rPr>
      </w:pPr>
    </w:p>
    <w:p>
      <w:pPr>
        <w:jc w:val="both"/>
        <w:ind w:right="600"/>
        <w:spacing w:after="0" w:line="249" w:lineRule="auto"/>
        <w:rPr>
          <w:sz w:val="20"/>
          <w:szCs w:val="20"/>
          <w:color w:val="auto"/>
        </w:rPr>
      </w:pPr>
      <w:r>
        <w:rPr>
          <w:rFonts w:ascii="Arial" w:cs="Arial" w:eastAsia="Arial" w:hAnsi="Arial"/>
          <w:sz w:val="17"/>
          <w:szCs w:val="17"/>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8,314,825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8,221,450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8,216,448</w:t>
            </w:r>
          </w:p>
        </w:tc>
        <w:tc>
          <w:tcPr>
            <w:tcW w:w="100" w:type="dxa"/>
            <w:vAlign w:val="bottom"/>
            <w:shd w:val="clear" w:color="auto" w:fill="CCEEFF"/>
          </w:tcPr>
          <w:p>
            <w:pPr>
              <w:spacing w:after="0"/>
              <w:rPr>
                <w:sz w:val="19"/>
                <w:szCs w:val="19"/>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number of common shares and common stock equivalents outstanding</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8,314,825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8,221,450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8,216,448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dilutive effect of stock-based compensation arrangements is accounted for using the treasury stock method. The Company includes as assumed proceeds the amount of compensation costs attributed to future services and not yet recognized. For fiscal 2024, 2023 and 2022, respectively, there were 248,000, 273,000 and 218,000 shares of nonvested restricted stock excluded from the calculation of diluted earnings per share because of antidilution.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4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 expenses advertising as incurred. Advertising expense for fiscal 2024, 2023 and 2022 was $2.3 million, $1.6 million and $0.8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42"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Company leases all of its retail store locations, its distribution centers and certain office space and equipment. All leases are classified as operating leases. The Company records right-of-use assets and lease liabilities based on the present value of future minimum lease payments using an incremental borrowing rate. The incremental borrowing rate is determined based on rates and terms from the Company’s existing borrowing facility with adjustments to bridge for differences in collateral, terms and payments. Lease costs are recognized over the estimated term of the lease, which includes any reasonably certain lease periods associated with available renewal periods.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 Leases with an initial term of 12 months or less are not recorded on the balance sheet.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15"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If realization of the deferred tax asset is not considered more likely than not, then a valuation allowance is recorded to reduce the deferred tax asset to its net realizable value.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Operating Segment</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is an off-price value retailer of fashion apparel, accessories and home goods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29"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of this standard on its consolidated financial statements and related disclosures.</w:t>
      </w:r>
    </w:p>
    <w:p>
      <w:pPr>
        <w:spacing w:after="0" w:line="115" w:lineRule="exact"/>
        <w:rPr>
          <w:sz w:val="20"/>
          <w:szCs w:val="20"/>
          <w:color w:val="auto"/>
        </w:rPr>
      </w:pPr>
    </w:p>
    <w:p>
      <w:pPr>
        <w:jc w:val="both"/>
        <w:ind w:right="60"/>
        <w:spacing w:after="0" w:line="239" w:lineRule="auto"/>
        <w:rPr>
          <w:sz w:val="20"/>
          <w:szCs w:val="20"/>
          <w:color w:val="auto"/>
        </w:rPr>
      </w:pPr>
      <w:r>
        <w:rPr>
          <w:rFonts w:ascii="Arial" w:cs="Arial" w:eastAsia="Arial" w:hAnsi="Arial"/>
          <w:sz w:val="17"/>
          <w:szCs w:val="17"/>
          <w:color w:val="auto"/>
        </w:rPr>
        <w:t>In November 2024, the FASB issued ASU 2024-03,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3,</w:t>
            </w:r>
          </w:p>
        </w:tc>
      </w:tr>
      <w:tr>
        <w:trPr>
          <w:trHeight w:val="197"/>
        </w:trPr>
        <w:tc>
          <w:tcPr>
            <w:tcW w:w="422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17"/>
                <w:szCs w:val="17"/>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4,786</w:t>
            </w:r>
          </w:p>
        </w:tc>
        <w:tc>
          <w:tcPr>
            <w:tcW w:w="60" w:type="dxa"/>
            <w:vAlign w:val="bottom"/>
            <w:shd w:val="clear" w:color="auto" w:fill="CCEEFF"/>
          </w:tcPr>
          <w:p>
            <w:pPr>
              <w:spacing w:after="0"/>
              <w:rPr>
                <w:sz w:val="19"/>
                <w:szCs w:val="19"/>
                <w:color w:val="auto"/>
              </w:rPr>
            </w:pPr>
          </w:p>
        </w:tc>
      </w:tr>
      <w:tr>
        <w:trPr>
          <w:trHeight w:val="225"/>
        </w:trPr>
        <w:tc>
          <w:tcPr>
            <w:tcW w:w="42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136,491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131,143</w:t>
            </w:r>
          </w:p>
        </w:tc>
        <w:tc>
          <w:tcPr>
            <w:tcW w:w="60" w:type="dxa"/>
            <w:vAlign w:val="bottom"/>
          </w:tcPr>
          <w:p>
            <w:pPr>
              <w:spacing w:after="0"/>
              <w:rPr>
                <w:sz w:val="19"/>
                <w:szCs w:val="19"/>
                <w:color w:val="auto"/>
              </w:rPr>
            </w:pPr>
          </w:p>
        </w:tc>
      </w:tr>
      <w:tr>
        <w:trPr>
          <w:trHeight w:val="23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144,321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138,980</w:t>
            </w:r>
          </w:p>
        </w:tc>
        <w:tc>
          <w:tcPr>
            <w:tcW w:w="60" w:type="dxa"/>
            <w:vAlign w:val="bottom"/>
            <w:shd w:val="clear" w:color="auto" w:fill="CCEEFF"/>
          </w:tcPr>
          <w:p>
            <w:pPr>
              <w:spacing w:after="0"/>
              <w:rPr>
                <w:sz w:val="20"/>
                <w:szCs w:val="20"/>
                <w:color w:val="auto"/>
              </w:rPr>
            </w:pPr>
          </w:p>
        </w:tc>
      </w:tr>
      <w:tr>
        <w:trPr>
          <w:trHeight w:val="225"/>
        </w:trPr>
        <w:tc>
          <w:tcPr>
            <w:tcW w:w="4220" w:type="dxa"/>
            <w:vAlign w:val="bottom"/>
          </w:tcPr>
          <w:p>
            <w:pPr>
              <w:spacing w:after="0"/>
              <w:rPr>
                <w:sz w:val="20"/>
                <w:szCs w:val="20"/>
                <w:color w:val="auto"/>
              </w:rPr>
            </w:pPr>
            <w:r>
              <w:rPr>
                <w:rFonts w:ascii="Arial" w:cs="Arial" w:eastAsia="Arial" w:hAnsi="Arial"/>
                <w:sz w:val="17"/>
                <w:szCs w:val="17"/>
                <w:color w:val="auto"/>
              </w:rPr>
              <w:t>Computer equipment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59,993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56,666</w:t>
            </w:r>
          </w:p>
        </w:tc>
        <w:tc>
          <w:tcPr>
            <w:tcW w:w="60" w:type="dxa"/>
            <w:vAlign w:val="bottom"/>
          </w:tcPr>
          <w:p>
            <w:pPr>
              <w:spacing w:after="0"/>
              <w:rPr>
                <w:sz w:val="19"/>
                <w:szCs w:val="19"/>
                <w:color w:val="auto"/>
              </w:rPr>
            </w:pPr>
          </w:p>
        </w:tc>
      </w:tr>
      <w:tr>
        <w:trPr>
          <w:trHeight w:val="232"/>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7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60" w:type="dxa"/>
            <w:vAlign w:val="bottom"/>
            <w:shd w:val="clear" w:color="auto" w:fill="CCEEFF"/>
          </w:tcPr>
          <w:p>
            <w:pPr>
              <w:spacing w:after="0"/>
              <w:rPr>
                <w:sz w:val="20"/>
                <w:szCs w:val="20"/>
                <w:color w:val="auto"/>
              </w:rPr>
            </w:pPr>
          </w:p>
        </w:tc>
      </w:tr>
      <w:tr>
        <w:trPr>
          <w:trHeight w:val="221"/>
        </w:trPr>
        <w:tc>
          <w:tcPr>
            <w:tcW w:w="4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348,111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332,677</w:t>
            </w:r>
          </w:p>
        </w:tc>
        <w:tc>
          <w:tcPr>
            <w:tcW w:w="60" w:type="dxa"/>
            <w:vAlign w:val="bottom"/>
          </w:tcPr>
          <w:p>
            <w:pPr>
              <w:spacing w:after="0"/>
              <w:rPr>
                <w:sz w:val="19"/>
                <w:szCs w:val="19"/>
                <w:color w:val="auto"/>
              </w:rPr>
            </w:pPr>
          </w:p>
        </w:tc>
      </w:tr>
      <w:tr>
        <w:trPr>
          <w:trHeight w:val="23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17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(297,396)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(276,446)</w:t>
            </w:r>
          </w:p>
        </w:tc>
        <w:tc>
          <w:tcPr>
            <w:tcW w:w="60" w:type="dxa"/>
            <w:vAlign w:val="bottom"/>
            <w:shd w:val="clear" w:color="auto" w:fill="CCEEFF"/>
          </w:tcPr>
          <w:p>
            <w:pPr>
              <w:spacing w:after="0"/>
              <w:rPr>
                <w:sz w:val="20"/>
                <w:szCs w:val="20"/>
                <w:color w:val="auto"/>
              </w:rPr>
            </w:pPr>
          </w:p>
        </w:tc>
      </w:tr>
      <w:tr>
        <w:trPr>
          <w:trHeight w:val="221"/>
        </w:trPr>
        <w:tc>
          <w:tcPr>
            <w:tcW w:w="4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50,715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56,231</w:t>
            </w:r>
          </w:p>
        </w:tc>
        <w:tc>
          <w:tcPr>
            <w:tcW w:w="6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Revolving Line of Credit</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 In May 2023, the facility was amended to replace the London Interbank Offered Rate (“LIBOR”) with the Secured Overnight Financing Rate (“SOFR”). See Note 10 to the Financial Statements for more information regarding the subsequent amendment to extend the maturity date of the current agreement.</w:t>
      </w:r>
    </w:p>
    <w:p>
      <w:pPr>
        <w:spacing w:after="0" w:line="11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w:t>
      </w:r>
    </w:p>
    <w:p>
      <w:pPr>
        <w:spacing w:after="0" w:line="9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Borrowings under the credit facility bear interest (a) for SOFR Loans, at a rate equal to the SOFR Rate plus a SOFR adjustment equal to 0.10% plus either 1.25%, 1.50% or 1.75%, or (b) for Base Rate Loans, at a rate equal to the highest of (i) the prime rate,</w:t>
      </w:r>
    </w:p>
    <w:p>
      <w:pPr>
        <w:spacing w:after="0" w:line="1" w:lineRule="exact"/>
        <w:rPr>
          <w:sz w:val="20"/>
          <w:szCs w:val="20"/>
          <w:color w:val="auto"/>
        </w:rPr>
      </w:pPr>
    </w:p>
    <w:p>
      <w:pPr>
        <w:ind w:right="420" w:firstLine="8"/>
        <w:spacing w:after="0" w:line="248" w:lineRule="auto"/>
        <w:tabs>
          <w:tab w:leader="none" w:pos="23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Funds Rate plus 0.5% or (iii) the Eurodollar Rate plus 1.0%, plus, in each case either 0.25%, 0.50% or 0.75%, based in any such case on the average daily availability for borrowings under the facility.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1, 2025, the Company had no borrowings under the credit facility and $2.2 million of letters of credit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benefit consists of the following (in thousands):</w:t>
      </w:r>
    </w:p>
    <w:p>
      <w:pPr>
        <w:spacing w:after="0" w:line="236"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3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8"/>
                <w:szCs w:val="18"/>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16"/>
                <w:szCs w:val="16"/>
                <w:color w:val="auto"/>
              </w:rPr>
              <w:t>Federal</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(275)</w:t>
            </w:r>
          </w:p>
        </w:tc>
        <w:tc>
          <w:tcPr>
            <w:tcW w:w="2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(12,616)</w:t>
            </w:r>
          </w:p>
        </w:tc>
      </w:tr>
      <w:tr>
        <w:trPr>
          <w:trHeight w:val="230"/>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(4,426)</w:t>
            </w: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80" w:type="dxa"/>
            <w:vAlign w:val="bottom"/>
          </w:tcPr>
          <w:p>
            <w:pPr>
              <w:ind w:left="340"/>
              <w:spacing w:after="0"/>
              <w:rPr>
                <w:sz w:val="20"/>
                <w:szCs w:val="20"/>
                <w:color w:val="auto"/>
              </w:rPr>
            </w:pPr>
            <w:r>
              <w:rPr>
                <w:rFonts w:ascii="Arial" w:cs="Arial" w:eastAsia="Arial" w:hAnsi="Arial"/>
                <w:sz w:val="16"/>
                <w:szCs w:val="16"/>
                <w:color w:val="auto"/>
              </w:rPr>
              <w:t>Total current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(17,042)</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w:t>
            </w:r>
          </w:p>
        </w:tc>
        <w:tc>
          <w:tcPr>
            <w:tcW w:w="1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4380" w:type="dxa"/>
            <w:vAlign w:val="bottom"/>
          </w:tcPr>
          <w:p>
            <w:pPr>
              <w:ind w:left="220"/>
              <w:spacing w:after="0"/>
              <w:rPr>
                <w:sz w:val="20"/>
                <w:szCs w:val="20"/>
                <w:color w:val="auto"/>
              </w:rPr>
            </w:pPr>
            <w:r>
              <w:rPr>
                <w:rFonts w:ascii="Arial" w:cs="Arial" w:eastAsia="Arial" w:hAnsi="Arial"/>
                <w:sz w:val="16"/>
                <w:szCs w:val="16"/>
                <w:color w:val="auto"/>
              </w:rPr>
              <w:t>Federal</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(1,031)</w:t>
            </w:r>
          </w:p>
        </w:tc>
      </w:tr>
      <w:tr>
        <w:trPr>
          <w:trHeight w:val="230"/>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1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60" w:type="dxa"/>
            <w:vAlign w:val="bottom"/>
            <w:shd w:val="clear" w:color="auto" w:fill="CCEEFF"/>
          </w:tcPr>
          <w:p>
            <w:pPr>
              <w:spacing w:after="0"/>
              <w:rPr>
                <w:sz w:val="19"/>
                <w:szCs w:val="19"/>
                <w:color w:val="auto"/>
              </w:rPr>
            </w:pPr>
          </w:p>
        </w:tc>
      </w:tr>
      <w:tr>
        <w:trPr>
          <w:trHeight w:val="210"/>
        </w:trPr>
        <w:tc>
          <w:tcPr>
            <w:tcW w:w="4380" w:type="dxa"/>
            <w:vAlign w:val="bottom"/>
          </w:tcPr>
          <w:p>
            <w:pPr>
              <w:ind w:left="340"/>
              <w:spacing w:after="0"/>
              <w:rPr>
                <w:sz w:val="20"/>
                <w:szCs w:val="20"/>
                <w:color w:val="auto"/>
              </w:rPr>
            </w:pPr>
            <w:r>
              <w:rPr>
                <w:rFonts w:ascii="Arial" w:cs="Arial" w:eastAsia="Arial" w:hAnsi="Arial"/>
                <w:sz w:val="16"/>
                <w:szCs w:val="16"/>
                <w:color w:val="auto"/>
              </w:rPr>
              <w:t>Total deferred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(5,141)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r>
      <w:tr>
        <w:trPr>
          <w:trHeight w:val="196"/>
        </w:trPr>
        <w:tc>
          <w:tcPr>
            <w:tcW w:w="4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income tax (expense) benefit</w:t>
            </w: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Income tax (expense) benefit computed using the federal statutory rate is reconciled to the reported income tax (expense) benefit as follows (in thousands):</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6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5"/>
                <w:szCs w:val="15"/>
                <w:color w:val="auto"/>
              </w:rPr>
            </w:pPr>
          </w:p>
        </w:tc>
        <w:tc>
          <w:tcPr>
            <w:tcW w:w="76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Statutory rate applied to income before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7,840</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$ 3,337</w:t>
            </w:r>
          </w:p>
        </w:tc>
        <w:tc>
          <w:tcPr>
            <w:tcW w:w="1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(15,967)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25"/>
        </w:trPr>
        <w:tc>
          <w:tcPr>
            <w:tcW w:w="620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1,151</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240</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(2,738)</w:t>
            </w:r>
          </w:p>
        </w:tc>
        <w:tc>
          <w:tcPr>
            <w:tcW w:w="60" w:type="dxa"/>
            <w:vAlign w:val="bottom"/>
          </w:tcPr>
          <w:p>
            <w:pPr>
              <w:spacing w:after="0"/>
              <w:rPr>
                <w:sz w:val="19"/>
                <w:szCs w:val="19"/>
                <w:color w:val="auto"/>
              </w:rPr>
            </w:pPr>
          </w:p>
        </w:tc>
      </w:tr>
      <w:tr>
        <w:trPr>
          <w:trHeight w:val="234"/>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credits</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(268)</w:t>
            </w:r>
          </w:p>
        </w:tc>
        <w:tc>
          <w:tcPr>
            <w:tcW w:w="60" w:type="dxa"/>
            <w:vAlign w:val="bottom"/>
            <w:shd w:val="clear" w:color="auto" w:fill="CCEEFF"/>
          </w:tcPr>
          <w:p>
            <w:pPr>
              <w:spacing w:after="0"/>
              <w:rPr>
                <w:sz w:val="20"/>
                <w:szCs w:val="20"/>
                <w:color w:val="auto"/>
              </w:rPr>
            </w:pPr>
          </w:p>
        </w:tc>
      </w:tr>
      <w:tr>
        <w:trPr>
          <w:trHeight w:val="225"/>
        </w:trPr>
        <w:tc>
          <w:tcPr>
            <w:tcW w:w="6200" w:type="dxa"/>
            <w:vAlign w:val="bottom"/>
          </w:tcPr>
          <w:p>
            <w:pPr>
              <w:spacing w:after="0"/>
              <w:rPr>
                <w:sz w:val="20"/>
                <w:szCs w:val="20"/>
                <w:color w:val="auto"/>
              </w:rPr>
            </w:pPr>
            <w:r>
              <w:rPr>
                <w:rFonts w:ascii="Arial" w:cs="Arial" w:eastAsia="Arial" w:hAnsi="Arial"/>
                <w:sz w:val="17"/>
                <w:szCs w:val="17"/>
                <w:color w:val="auto"/>
              </w:rPr>
              <w:t>State tax credits - valuation allowance (net of federal benefit)</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7"/>
                <w:szCs w:val="17"/>
                <w:color w:val="auto"/>
              </w:rPr>
              <w:t>(774)</w:t>
            </w:r>
          </w:p>
        </w:tc>
        <w:tc>
          <w:tcPr>
            <w:tcW w:w="800" w:type="dxa"/>
            <w:vAlign w:val="bottom"/>
          </w:tcPr>
          <w:p>
            <w:pPr>
              <w:jc w:val="right"/>
              <w:spacing w:after="0"/>
              <w:rPr>
                <w:sz w:val="20"/>
                <w:szCs w:val="20"/>
                <w:color w:val="auto"/>
              </w:rPr>
            </w:pPr>
            <w:r>
              <w:rPr>
                <w:rFonts w:ascii="Arial" w:cs="Arial" w:eastAsia="Arial" w:hAnsi="Arial"/>
                <w:sz w:val="17"/>
                <w:szCs w:val="17"/>
                <w:color w:val="auto"/>
              </w:rPr>
              <w:t>393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General business credits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1,840</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5"/>
        </w:trPr>
        <w:tc>
          <w:tcPr>
            <w:tcW w:w="6200" w:type="dxa"/>
            <w:vAlign w:val="bottom"/>
          </w:tcPr>
          <w:p>
            <w:pPr>
              <w:spacing w:after="0"/>
              <w:rPr>
                <w:sz w:val="20"/>
                <w:szCs w:val="20"/>
                <w:color w:val="auto"/>
              </w:rPr>
            </w:pPr>
            <w:r>
              <w:rPr>
                <w:rFonts w:ascii="Arial" w:cs="Arial" w:eastAsia="Arial" w:hAnsi="Arial"/>
                <w:sz w:val="17"/>
                <w:szCs w:val="17"/>
                <w:color w:val="auto"/>
              </w:rPr>
              <w:t>Nondeductible compensation</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(44)</w:t>
            </w:r>
          </w:p>
        </w:tc>
        <w:tc>
          <w:tcPr>
            <w:tcW w:w="60" w:type="dxa"/>
            <w:vAlign w:val="bottom"/>
          </w:tcPr>
          <w:p>
            <w:pPr>
              <w:spacing w:after="0"/>
              <w:rPr>
                <w:sz w:val="19"/>
                <w:szCs w:val="19"/>
                <w:color w:val="auto"/>
              </w:rPr>
            </w:pPr>
          </w:p>
        </w:tc>
      </w:tr>
      <w:tr>
        <w:trPr>
          <w:trHeight w:val="234"/>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Excess (deficit) tax benefits from stock-based compensation</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(507)</w:t>
            </w:r>
          </w:p>
        </w:tc>
        <w:tc>
          <w:tcPr>
            <w:tcW w:w="60" w:type="dxa"/>
            <w:vAlign w:val="bottom"/>
            <w:shd w:val="clear" w:color="auto" w:fill="CCEEFF"/>
          </w:tcPr>
          <w:p>
            <w:pPr>
              <w:spacing w:after="0"/>
              <w:rPr>
                <w:sz w:val="20"/>
                <w:szCs w:val="20"/>
                <w:color w:val="auto"/>
              </w:rPr>
            </w:pPr>
          </w:p>
        </w:tc>
      </w:tr>
      <w:tr>
        <w:trPr>
          <w:trHeight w:val="225"/>
        </w:trPr>
        <w:tc>
          <w:tcPr>
            <w:tcW w:w="6200" w:type="dxa"/>
            <w:vAlign w:val="bottom"/>
          </w:tcPr>
          <w:p>
            <w:pPr>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(14,582)</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r>
      <w:tr>
        <w:trPr>
          <w:trHeight w:val="234"/>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7"/>
                <w:szCs w:val="17"/>
                <w:color w:val="auto"/>
              </w:rPr>
              <w:t>Income tax (expense) benefit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$ 3,907</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(17,141)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deferred tax liabilities consist of the following (in thousands):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1,</w:t>
            </w:r>
          </w:p>
        </w:tc>
        <w:tc>
          <w:tcPr>
            <w:tcW w:w="1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Inventory capitalization</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1,930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Vacation liability</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Operating lease liabilities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55,247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59,556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 tax credits</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Federal tax credits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 compensation</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Insurance liabilities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Net operating loss and charitable contribution carryforwards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10,097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6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Pr>
          <w:p>
            <w:pPr>
              <w:ind w:left="300"/>
              <w:spacing w:after="0"/>
              <w:rPr>
                <w:sz w:val="20"/>
                <w:szCs w:val="20"/>
                <w:color w:val="auto"/>
              </w:rPr>
            </w:pPr>
            <w:r>
              <w:rPr>
                <w:rFonts w:ascii="Arial" w:cs="Arial" w:eastAsia="Arial" w:hAnsi="Arial"/>
                <w:sz w:val="17"/>
                <w:szCs w:val="17"/>
                <w:color w:val="auto"/>
              </w:rPr>
              <w:t>Subtotal deferred tax assets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74,507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71,320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Less: Valuation allowance - net</w:t>
            </w:r>
          </w:p>
        </w:tc>
        <w:tc>
          <w:tcPr>
            <w:tcW w:w="6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(16,519)</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deferred tax assets</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57,988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69,383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Right of use asset</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Book and tax depreciation differences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Prepaid expenses</w:t>
            </w:r>
          </w:p>
        </w:tc>
        <w:tc>
          <w:tcPr>
            <w:tcW w:w="6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deferred tax liabilities</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(58,130)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(64,278)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Net deferred tax (liability) asset</w:t>
            </w: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7" w:right="115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2020. The Company reviews and assesses uncertain tax positions, if any, with recognition and measurement of tax benefit based on a “more-likely-than-not” standard with respect to the ultimate outcome, regardless of whether this assessment is favorable or unfavorable. As of February 1, 2025, there were no material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26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At February 1, 2025, the Company had income tax net operating loss (“NOL”) carryforwards for federal purposes of $39.6 million (gross) and for state purposes of $1.7 million (tax effected). The federal tax NOL carryforwards have an indefinite carryforward, but are limited to offsetting 80% of taxable income in future years. The majority of state tax NOL carryforwards either follow federal indefinite carryforward or begin to expire in 2038, with one jurisdiction expiring in 2028.</w:t>
      </w:r>
    </w:p>
    <w:p>
      <w:pPr>
        <w:spacing w:after="0" w:line="11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 At February 1, 2025, the valuation allowance established against the entire net deferred tax asset totaled $16.5 million.</w:t>
      </w:r>
    </w:p>
    <w:p>
      <w:pPr>
        <w:spacing w:after="0" w:line="10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effective income tax rate for fiscal 2024, 2023 and 2022 included the recognition of benefits arising from various federal and state tax credits. Under current IRS and state income tax regulations, these credits may be carried back for one year or carried forward for periods up to 20 years. The income tax benefit included $0.0 million, $2.2 million and $1.6 million related to such credits in each of fiscal 2024, 2023 and 2022, respectively. The credits generated for fiscal year 2024 were recorded with a full valuation allowance</w:t>
      </w:r>
      <w:r>
        <w:rPr>
          <w:rFonts w:ascii="Arial" w:cs="Arial" w:eastAsia="Arial" w:hAnsi="Arial"/>
          <w:sz w:val="16"/>
          <w:szCs w:val="16"/>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w:t>
      </w:r>
      <w:r>
        <w:rPr>
          <w:rFonts w:ascii="Arial" w:cs="Arial" w:eastAsia="Arial" w:hAnsi="Arial"/>
          <w:sz w:val="17"/>
          <w:szCs w:val="17"/>
          <w:color w:val="auto"/>
        </w:rPr>
        <w:t>.</w:t>
      </w:r>
      <w:r>
        <w:rPr>
          <w:rFonts w:ascii="Arial" w:cs="Arial" w:eastAsia="Arial" w:hAnsi="Arial"/>
          <w:sz w:val="17"/>
          <w:szCs w:val="17"/>
          <w:b w:val="1"/>
          <w:bCs w:val="1"/>
          <w:color w:val="auto"/>
        </w:rPr>
        <w:t xml:space="preserve">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Repurchases of common stock</w:t>
      </w:r>
    </w:p>
    <w:p>
      <w:pPr>
        <w:spacing w:after="0" w:line="14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The Company periodically repurchases shares of its common stock under board-authorized repurchase programs. Such repurchases may be made in the open market, through block trades or through other negotiated transactions. Share repurchases are as follows (in thousands, except per share data):</w:t>
      </w:r>
    </w:p>
    <w:p>
      <w:pPr>
        <w:spacing w:after="0" w:line="26"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09"/>
        </w:trPr>
        <w:tc>
          <w:tcPr>
            <w:tcW w:w="5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r>
      <w:tr>
        <w:trPr>
          <w:trHeight w:val="23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Total number of shares purchased</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7"/>
        </w:trPr>
        <w:tc>
          <w:tcPr>
            <w:tcW w:w="5040" w:type="dxa"/>
            <w:vAlign w:val="bottom"/>
          </w:tcPr>
          <w:p>
            <w:pPr>
              <w:spacing w:after="0"/>
              <w:rPr>
                <w:sz w:val="20"/>
                <w:szCs w:val="20"/>
                <w:color w:val="auto"/>
              </w:rPr>
            </w:pPr>
            <w:r>
              <w:rPr>
                <w:rFonts w:ascii="Arial" w:cs="Arial" w:eastAsia="Arial" w:hAnsi="Arial"/>
                <w:sz w:val="17"/>
                <w:szCs w:val="17"/>
                <w:color w:val="auto"/>
              </w:rPr>
              <w:t>Average price paid per share (including commissions)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25.99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30.22</w:t>
            </w:r>
          </w:p>
        </w:tc>
      </w:tr>
      <w:tr>
        <w:trPr>
          <w:trHeight w:val="232"/>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bl>
    <w:p>
      <w:pPr>
        <w:spacing w:after="0" w:line="180" w:lineRule="exact"/>
        <w:rPr>
          <w:sz w:val="20"/>
          <w:szCs w:val="20"/>
          <w:color w:val="auto"/>
        </w:rPr>
      </w:pPr>
    </w:p>
    <w:p>
      <w:pPr>
        <w:ind w:right="40"/>
        <w:spacing w:after="0" w:line="414" w:lineRule="auto"/>
        <w:rPr>
          <w:sz w:val="20"/>
          <w:szCs w:val="20"/>
          <w:color w:val="auto"/>
        </w:rPr>
      </w:pPr>
      <w:r>
        <w:rPr>
          <w:rFonts w:ascii="Arial" w:cs="Arial" w:eastAsia="Arial" w:hAnsi="Arial"/>
          <w:sz w:val="17"/>
          <w:szCs w:val="17"/>
          <w:color w:val="auto"/>
        </w:rPr>
        <w:t xml:space="preserve">At February 1, 2025, $46.2 million remained available under the Company’s previously announced stock repurchase authorization. </w:t>
      </w:r>
      <w:r>
        <w:rPr>
          <w:rFonts w:ascii="Arial" w:cs="Arial" w:eastAsia="Arial" w:hAnsi="Arial"/>
          <w:sz w:val="17"/>
          <w:szCs w:val="17"/>
          <w:i w:val="1"/>
          <w:iCs w:val="1"/>
          <w:color w:val="auto"/>
        </w:rPr>
        <w:t>Stock-Based Compensation</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 maintains the Citi Trends, Inc. Incentive Plan (the “Plan”) which permits the grant of stock-based incentive awards to employees, officers, directors and consultants. The Plan provides for the grant of incentive and nonqualified options, stock appreciation rights, restricted stock, restricted stock units, performance awards and other forms of stock-based and cash-settled equity compensation. At February 1, 2025, the Company had 360,954 shares reserved for future grants under the Plan. During fiscal 2024, 2023 and 2022, non-cash stock-based compensation expense recorded in selling and general and administrative expenses totaled $3.3 million, $4.1 million and $3.6 million, respectively. The income tax expense resulting from the fair market value of restricted stock at vesting versus the cumulative compensation cost of such stock is recorded as a component of income tax expense and was $0.1 million, $0.5 million and $0.5 million, respectively.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Company issues shares of restricted stock to key team members and non-employee directors. Restricted stock granted to employees vests in equal installments over three years from the date of grant. Restricted stock granted to non-employee directors vests one year from the date of grant.</w:t>
      </w:r>
    </w:p>
    <w:p>
      <w:pPr>
        <w:spacing w:after="0" w:line="107"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The Company also issues performance-based restricted stock units (“PSUs”) to key team members that cliff vest at the end of a three-year period based upon the Company’s achievement of pre-established goals. The number of units earned and vested is subject to scaling based on a pre-established performance matrix.</w:t>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On November 18, 2024, the Company granted a performance-based restricted stock award to the Chief Executive Officer. The total number of shares earned depends on the attainment of predefined average stock price targets measured over rolling 45-trading-day periods during the performance period ending November 15, 2027. Earned shares vest annually over a period extending through November 15, 2028. The Company estimated the fair value of the awards using a Monte Carlo simulation including the following assumptions:</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257"/>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Stock Price on grant date</w:t>
            </w:r>
          </w:p>
        </w:tc>
        <w:tc>
          <w:tcPr>
            <w:tcW w:w="3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w:t>
            </w:r>
          </w:p>
        </w:tc>
      </w:tr>
      <w:tr>
        <w:trPr>
          <w:trHeight w:val="229"/>
        </w:trPr>
        <w:tc>
          <w:tcPr>
            <w:tcW w:w="50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7"/>
                <w:szCs w:val="17"/>
                <w:color w:val="auto"/>
              </w:rPr>
              <w:t>4.21%</w:t>
            </w:r>
          </w:p>
        </w:tc>
      </w:tr>
      <w:tr>
        <w:trPr>
          <w:trHeight w:val="27"/>
        </w:trPr>
        <w:tc>
          <w:tcPr>
            <w:tcW w:w="50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volatility (annualized)</w:t>
            </w:r>
          </w:p>
        </w:tc>
        <w:tc>
          <w:tcPr>
            <w:tcW w:w="3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62.90%</w:t>
            </w:r>
          </w:p>
        </w:tc>
      </w:tr>
      <w:tr>
        <w:trPr>
          <w:trHeight w:val="230"/>
        </w:trPr>
        <w:tc>
          <w:tcPr>
            <w:tcW w:w="5060" w:type="dxa"/>
            <w:vAlign w:val="bottom"/>
          </w:tcPr>
          <w:p>
            <w:pPr>
              <w:spacing w:after="0"/>
              <w:rPr>
                <w:sz w:val="20"/>
                <w:szCs w:val="20"/>
                <w:color w:val="auto"/>
              </w:rPr>
            </w:pPr>
            <w:r>
              <w:rPr>
                <w:rFonts w:ascii="Arial" w:cs="Arial" w:eastAsia="Arial" w:hAnsi="Arial"/>
                <w:sz w:val="17"/>
                <w:szCs w:val="17"/>
                <w:color w:val="auto"/>
              </w:rPr>
              <w:t>Dividend yield</w:t>
            </w:r>
          </w:p>
        </w:tc>
        <w:tc>
          <w:tcPr>
            <w:tcW w:w="3360" w:type="dxa"/>
            <w:vAlign w:val="bottom"/>
          </w:tcPr>
          <w:p>
            <w:pPr>
              <w:jc w:val="right"/>
              <w:spacing w:after="0"/>
              <w:rPr>
                <w:sz w:val="20"/>
                <w:szCs w:val="20"/>
                <w:color w:val="auto"/>
              </w:rPr>
            </w:pPr>
            <w:r>
              <w:rPr>
                <w:rFonts w:ascii="Arial" w:cs="Arial" w:eastAsia="Arial" w:hAnsi="Arial"/>
                <w:sz w:val="17"/>
                <w:szCs w:val="17"/>
                <w:color w:val="auto"/>
              </w:rPr>
              <w:t>0%</w:t>
            </w:r>
          </w:p>
        </w:tc>
      </w:tr>
    </w:tbl>
    <w:p>
      <w:pPr>
        <w:spacing w:after="0" w:line="23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risk-free interest rate was derived from the continuously compounded yield of zero-coupon U.S. Treasury STRIPS. The expected volatility is based on the Company’s historical daily stock price movements for a period equal to the simulation term. The dividend yield was based on the Company’s recent dividend history. The total grant date fair value of the award was $3.36 million, or $10.45 per share.</w:t>
      </w:r>
    </w:p>
    <w:p>
      <w:pPr>
        <w:spacing w:after="0" w:line="96" w:lineRule="exact"/>
        <w:rPr>
          <w:sz w:val="20"/>
          <w:szCs w:val="20"/>
          <w:color w:val="auto"/>
        </w:rPr>
      </w:pPr>
    </w:p>
    <w:p>
      <w:pPr>
        <w:jc w:val="both"/>
        <w:ind w:right="160"/>
        <w:spacing w:after="0" w:line="244" w:lineRule="auto"/>
        <w:rPr>
          <w:sz w:val="20"/>
          <w:szCs w:val="20"/>
          <w:color w:val="auto"/>
        </w:rPr>
      </w:pPr>
      <w:r>
        <w:rPr>
          <w:rFonts w:ascii="Arial" w:cs="Arial" w:eastAsia="Arial" w:hAnsi="Arial"/>
          <w:sz w:val="17"/>
          <w:szCs w:val="17"/>
          <w:color w:val="auto"/>
        </w:rPr>
        <w:t>The fair value associated with each tranche of the award will be recognized, straight-line, over the requisite service period for that tranche. Failure to meet the market conditions for an award does not result in reversal of previously recognized expense, so long as the required service period condition is met. The Company recognized $0.3 million of expense related to the award during the year ended February 1, 2025.</w:t>
      </w:r>
    </w:p>
    <w:p>
      <w:pPr>
        <w:spacing w:after="0" w:line="110"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The following tables summarize activity related to nonvested restricted stock and PSUs and performance-based restricted stock during fiscal 2024:</w:t>
      </w:r>
    </w:p>
    <w:p>
      <w:pPr>
        <w:spacing w:after="0" w:line="118"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Time-Based Restricted Stock</w:t>
            </w:r>
          </w:p>
        </w:tc>
      </w:tr>
      <w:tr>
        <w:trPr>
          <w:trHeight w:val="174"/>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Nonvested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Grant Date</w:t>
            </w:r>
          </w:p>
        </w:tc>
      </w:tr>
      <w:tr>
        <w:trPr>
          <w:trHeight w:val="197"/>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as of February 3, 2024</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310,882</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21.83</w:t>
            </w:r>
          </w:p>
        </w:tc>
      </w:tr>
      <w:tr>
        <w:trPr>
          <w:trHeight w:val="227"/>
        </w:trPr>
        <w:tc>
          <w:tcPr>
            <w:tcW w:w="56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230,852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21.08</w:t>
            </w:r>
          </w:p>
        </w:tc>
      </w:tr>
      <w:tr>
        <w:trPr>
          <w:trHeight w:val="232"/>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(156,201)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w:t>
            </w:r>
          </w:p>
        </w:tc>
      </w:tr>
      <w:tr>
        <w:trPr>
          <w:trHeight w:val="227"/>
        </w:trPr>
        <w:tc>
          <w:tcPr>
            <w:tcW w:w="560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1340" w:type="dxa"/>
            <w:vAlign w:val="bottom"/>
            <w:gridSpan w:val="3"/>
          </w:tcPr>
          <w:p>
            <w:pPr>
              <w:jc w:val="right"/>
              <w:ind w:right="140"/>
              <w:spacing w:after="0"/>
              <w:rPr>
                <w:sz w:val="20"/>
                <w:szCs w:val="20"/>
                <w:color w:val="auto"/>
              </w:rPr>
            </w:pPr>
            <w:r>
              <w:rPr>
                <w:rFonts w:ascii="Arial" w:cs="Arial" w:eastAsia="Arial" w:hAnsi="Arial"/>
                <w:sz w:val="17"/>
                <w:szCs w:val="17"/>
                <w:color w:val="auto"/>
              </w:rPr>
              <w:t>(51,450)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20.44</w:t>
            </w:r>
          </w:p>
        </w:tc>
      </w:tr>
      <w:tr>
        <w:trPr>
          <w:trHeight w:val="225"/>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as of February 1, 2025</w:t>
            </w: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334,083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20.15</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33"/>
        </w:trPr>
        <w:tc>
          <w:tcPr>
            <w:tcW w:w="5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159"/>
              <w:spacing w:after="0"/>
              <w:rPr>
                <w:sz w:val="20"/>
                <w:szCs w:val="20"/>
                <w:color w:val="auto"/>
              </w:rPr>
            </w:pPr>
            <w:r>
              <w:rPr>
                <w:rFonts w:ascii="Arial" w:cs="Arial" w:eastAsia="Arial" w:hAnsi="Arial"/>
                <w:sz w:val="14"/>
                <w:szCs w:val="14"/>
                <w:b w:val="1"/>
                <w:bCs w:val="1"/>
                <w:color w:val="auto"/>
              </w:rPr>
              <w:t>Performance-Based Restricted Stock</w:t>
            </w:r>
          </w:p>
        </w:tc>
      </w:tr>
      <w:tr>
        <w:trPr>
          <w:trHeight w:val="174"/>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Nonvested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99"/>
              <w:spacing w:after="0"/>
              <w:rPr>
                <w:sz w:val="20"/>
                <w:szCs w:val="20"/>
                <w:color w:val="auto"/>
              </w:rPr>
            </w:pPr>
            <w:r>
              <w:rPr>
                <w:rFonts w:ascii="Arial" w:cs="Arial" w:eastAsia="Arial" w:hAnsi="Arial"/>
                <w:sz w:val="14"/>
                <w:szCs w:val="14"/>
                <w:b w:val="1"/>
                <w:bCs w:val="1"/>
                <w:color w:val="auto"/>
              </w:rPr>
              <w:t>Grant Date</w:t>
            </w:r>
          </w:p>
        </w:tc>
      </w:tr>
      <w:tr>
        <w:trPr>
          <w:trHeight w:val="197"/>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February 3, 2024</w:t>
            </w: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6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321,502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10.45</w:t>
            </w:r>
          </w:p>
        </w:tc>
      </w:tr>
      <w:tr>
        <w:trPr>
          <w:trHeight w:val="232"/>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600" w:type="dxa"/>
            <w:vAlign w:val="bottom"/>
            <w:gridSpan w:val="2"/>
          </w:tcPr>
          <w:p>
            <w:pPr>
              <w:spacing w:after="0"/>
              <w:rPr>
                <w:sz w:val="20"/>
                <w:szCs w:val="20"/>
                <w:color w:val="auto"/>
              </w:rPr>
            </w:pPr>
            <w:r>
              <w:rPr>
                <w:rFonts w:ascii="Arial" w:cs="Arial" w:eastAsia="Arial" w:hAnsi="Arial"/>
                <w:sz w:val="17"/>
                <w:szCs w:val="17"/>
                <w:color w:val="auto"/>
              </w:rPr>
              <w:t>Outstanding as of February 1, 2025</w:t>
            </w:r>
          </w:p>
        </w:tc>
        <w:tc>
          <w:tcPr>
            <w:tcW w:w="1080" w:type="dxa"/>
            <w:vAlign w:val="bottom"/>
          </w:tcPr>
          <w:p>
            <w:pPr>
              <w:jc w:val="right"/>
              <w:spacing w:after="0"/>
              <w:rPr>
                <w:sz w:val="20"/>
                <w:szCs w:val="20"/>
                <w:color w:val="auto"/>
              </w:rPr>
            </w:pPr>
            <w:r>
              <w:rPr>
                <w:rFonts w:ascii="Arial" w:cs="Arial" w:eastAsia="Arial" w:hAnsi="Arial"/>
                <w:sz w:val="17"/>
                <w:szCs w:val="17"/>
                <w:color w:val="auto"/>
              </w:rPr>
              <w:t>321,502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10.45</w:t>
            </w: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2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Performance-Based</w:t>
            </w:r>
          </w:p>
        </w:tc>
      </w:tr>
      <w:tr>
        <w:trPr>
          <w:trHeight w:val="197"/>
        </w:trPr>
        <w:tc>
          <w:tcPr>
            <w:tcW w:w="5540" w:type="dxa"/>
            <w:vAlign w:val="bottom"/>
          </w:tcPr>
          <w:p>
            <w:pPr>
              <w:spacing w:after="0"/>
              <w:rPr>
                <w:sz w:val="17"/>
                <w:szCs w:val="17"/>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Restricted Stock Units</w:t>
            </w:r>
          </w:p>
        </w:tc>
      </w:tr>
      <w:tr>
        <w:trPr>
          <w:trHeight w:val="174"/>
        </w:trPr>
        <w:tc>
          <w:tcPr>
            <w:tcW w:w="5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right="40"/>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5540" w:type="dxa"/>
            <w:vAlign w:val="bottom"/>
          </w:tcPr>
          <w:p>
            <w:pPr>
              <w:spacing w:after="0"/>
              <w:rPr>
                <w:sz w:val="16"/>
                <w:szCs w:val="16"/>
                <w:color w:val="auto"/>
              </w:rPr>
            </w:pPr>
          </w:p>
        </w:tc>
        <w:tc>
          <w:tcPr>
            <w:tcW w:w="1160" w:type="dxa"/>
            <w:vAlign w:val="bottom"/>
          </w:tcPr>
          <w:p>
            <w:pPr>
              <w:jc w:val="right"/>
              <w:ind w:right="141"/>
              <w:spacing w:after="0"/>
              <w:rPr>
                <w:sz w:val="20"/>
                <w:szCs w:val="20"/>
                <w:color w:val="auto"/>
              </w:rPr>
            </w:pPr>
            <w:r>
              <w:rPr>
                <w:rFonts w:ascii="Arial" w:cs="Arial" w:eastAsia="Arial" w:hAnsi="Arial"/>
                <w:sz w:val="14"/>
                <w:szCs w:val="14"/>
                <w:b w:val="1"/>
                <w:bCs w:val="1"/>
                <w:color w:val="auto"/>
              </w:rPr>
              <w:t>Nonvested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40"/>
              <w:spacing w:after="0"/>
              <w:rPr>
                <w:sz w:val="20"/>
                <w:szCs w:val="20"/>
                <w:color w:val="auto"/>
              </w:rPr>
            </w:pPr>
            <w:r>
              <w:rPr>
                <w:rFonts w:ascii="Arial" w:cs="Arial" w:eastAsia="Arial" w:hAnsi="Arial"/>
                <w:sz w:val="14"/>
                <w:szCs w:val="14"/>
                <w:b w:val="1"/>
                <w:bCs w:val="1"/>
                <w:color w:val="auto"/>
              </w:rPr>
              <w:t>Grant Date</w:t>
            </w:r>
          </w:p>
        </w:tc>
      </w:tr>
      <w:tr>
        <w:trPr>
          <w:trHeight w:val="197"/>
        </w:trPr>
        <w:tc>
          <w:tcPr>
            <w:tcW w:w="55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Units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February 3, 2024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99,467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w:t>
            </w:r>
          </w:p>
        </w:tc>
      </w:tr>
      <w:tr>
        <w:trPr>
          <w:trHeight w:val="225"/>
        </w:trPr>
        <w:tc>
          <w:tcPr>
            <w:tcW w:w="5540" w:type="dxa"/>
            <w:vAlign w:val="bottom"/>
          </w:tcPr>
          <w:p>
            <w:pPr>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82,193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23.52</w:t>
            </w:r>
          </w:p>
        </w:tc>
      </w:tr>
      <w:tr>
        <w:trPr>
          <w:trHeight w:val="234"/>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(91,679)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18.84</w:t>
            </w:r>
          </w:p>
        </w:tc>
      </w:tr>
      <w:tr>
        <w:trPr>
          <w:trHeight w:val="225"/>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February 1, 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89,981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20.06</w:t>
            </w:r>
          </w:p>
        </w:tc>
      </w:tr>
      <w:tr>
        <w:trPr>
          <w:trHeight w:val="20"/>
        </w:trPr>
        <w:tc>
          <w:tcPr>
            <w:tcW w:w="5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At February 1, 2025, there was $4.5 million of unrecognized compensation expense related to restricted stock. Based on current probable performance, we have determined no compensation expense is required on our PSUs.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142"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w:t>
      </w:r>
    </w:p>
    <w:p>
      <w:pPr>
        <w:spacing w:after="0" w:line="9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connection with the January 2023 cyber disruption previously disclosed in the Company’s Form 8-K filed on February 23, 2023, four putative class action lawsuits were filed against the Company in the United States District Court for the Southern District of Georgia (the “Court”). These matters, Matousek et al v. Citi Trends, Inc.; Sienna Thomas v. Citi Trends, Inc.; Yeimy Sambrano v. Citi Trends, Inc.; Sabrina Green-Fogg v. Citi Trends, Inc. were filed in the second half of 2023, and consolidated into one case by the Court on November 8, 2023. The plaintiffs allege harm in connection with the January 2023 cyber disruption and assert a variety of claims seeking unspecified monetary damages and other related relief. A consolidated class action complaint was filed on February 15, 2024, adding an additional plaintiff, Shykira Scott. The Company is vigorously defending these lawsuits and filed a motion to dismiss the consolidated class action complaint, as well as a motion to compel individual arbitration and dismiss or stay actions on March 22, 2024. In addition, the Attorneys General of Alabama, Connecticut, Indiana and Texas sent inquiry letters to the Company regarding the January 2023 cyber disruption, which the Company has answered. As of the end of fiscal 2024, the Company had an accrual of $0.7 million for estimated losses in connection with these matters recorded in Accrued expenses. The ultimate loss to the Company for these matters could be materially different from the amount the Company has accrued. The Company cannot predict or estimate the duration or ultimate outcome of these matters. The Company is unable to predict whether it may be subject to other lawsuits, claims or inquiries.</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While legal proceedings are subject to uncertainties and the outcome of any such matter is not predictable and it is possible that we could incur losses associated with these proceedings, the Company does not believe, based on the information available to it at the time of this filing, that any legal proceedings pending or threatened against it will have a material adverse effect on its financial condition, results of operations or liquidity.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also party to purchase obligations for open merchandise orders of $138.0 million that is due within 12 months.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Leases</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Company leases its retail store locations, its distribution centers and certain office space and equipment. Leases for store locations are typically for a term of five years with options to extend for one or more five-year periods. In fiscal 2022, the Company completed sale-leasebacks of its distribution centers. The Darlington, South Carolina distribution center lease has a 20-year lease term with the option to extend for six additional periods of five years each. The Roland, Oklahoma distribution center has a 15-year lease term with the option to extend for six additional periods of five years each. The sale-leaseback transactions resulted in a gain of approximately $64.1 million in the Statement of Operations for the year ended January 28, 2023.</w:t>
      </w:r>
    </w:p>
    <w:p>
      <w:pPr>
        <w:spacing w:after="0" w:line="101"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The Company analyzes all leases at inception to determine if a right-of-use asset and lease liability should be recognized. Leases with an initial term of 12 months or less and leases with mutual termination clauses are not included on the consolidated balance sheets. The lease liability is measured at the present value of future lease payments as of the lease commencement date.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84"/>
        </w:trPr>
        <w:tc>
          <w:tcPr>
            <w:tcW w:w="45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60,167</w:t>
            </w:r>
          </w:p>
        </w:tc>
      </w:tr>
      <w:tr>
        <w:trPr>
          <w:trHeight w:val="215"/>
        </w:trPr>
        <w:tc>
          <w:tcPr>
            <w:tcW w:w="4540" w:type="dxa"/>
            <w:vAlign w:val="bottom"/>
          </w:tcPr>
          <w:p>
            <w:pPr>
              <w:spacing w:after="0"/>
              <w:rPr>
                <w:sz w:val="20"/>
                <w:szCs w:val="20"/>
                <w:color w:val="auto"/>
              </w:rPr>
            </w:pPr>
            <w:r>
              <w:rPr>
                <w:rFonts w:ascii="Arial" w:cs="Arial" w:eastAsia="Arial" w:hAnsi="Arial"/>
                <w:sz w:val="16"/>
                <w:szCs w:val="16"/>
                <w:color w:val="auto"/>
              </w:rPr>
              <w:t>Variable lease cost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9,911</w:t>
            </w:r>
          </w:p>
        </w:tc>
      </w:tr>
      <w:tr>
        <w:trPr>
          <w:trHeight w:val="217"/>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r>
      <w:tr>
        <w:trPr>
          <w:trHeight w:val="209"/>
        </w:trPr>
        <w:tc>
          <w:tcPr>
            <w:tcW w:w="4540" w:type="dxa"/>
            <w:vAlign w:val="bottom"/>
          </w:tcPr>
          <w:p>
            <w:pPr>
              <w:spacing w:after="0"/>
              <w:rPr>
                <w:sz w:val="20"/>
                <w:szCs w:val="20"/>
                <w:color w:val="auto"/>
              </w:rPr>
            </w:pPr>
            <w:r>
              <w:rPr>
                <w:rFonts w:ascii="Arial" w:cs="Arial" w:eastAsia="Arial" w:hAnsi="Arial"/>
                <w:sz w:val="16"/>
                <w:szCs w:val="16"/>
                <w:color w:val="auto"/>
              </w:rPr>
              <w:t>Total lease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74,831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71,473</w:t>
            </w: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as of February 1, 2025 are as follows (in thousands):</w:t>
      </w:r>
    </w:p>
    <w:p>
      <w:pPr>
        <w:spacing w:after="0" w:line="236" w:lineRule="exact"/>
        <w:rPr>
          <w:sz w:val="20"/>
          <w:szCs w:val="20"/>
          <w:color w:val="auto"/>
        </w:rPr>
      </w:pPr>
    </w:p>
    <w:tbl>
      <w:tblPr>
        <w:tblLayout w:type="fixed"/>
        <w:tblInd w:w="880" w:type="dxa"/>
        <w:tblCellMar>
          <w:top w:w="0" w:type="dxa"/>
          <w:left w:w="0" w:type="dxa"/>
          <w:bottom w:w="0" w:type="dxa"/>
          <w:right w:w="0" w:type="dxa"/>
        </w:tblCellMar>
      </w:tblPr>
      <w:tr>
        <w:trPr>
          <w:trHeight w:val="196"/>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Lease Costs</w:t>
            </w:r>
          </w:p>
        </w:tc>
        <w:tc>
          <w:tcPr>
            <w:tcW w:w="460" w:type="dxa"/>
            <w:vAlign w:val="bottom"/>
            <w:tcBorders>
              <w:bottom w:val="single" w:sz="8" w:color="CCEEFF"/>
            </w:tcBorders>
          </w:tcPr>
          <w:p>
            <w:pPr>
              <w:spacing w:after="0"/>
              <w:rPr>
                <w:sz w:val="17"/>
                <w:szCs w:val="17"/>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60,651</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49,602</w:t>
            </w:r>
          </w:p>
        </w:tc>
        <w:tc>
          <w:tcPr>
            <w:tcW w:w="460" w:type="dxa"/>
            <w:vAlign w:val="bottom"/>
          </w:tcPr>
          <w:p>
            <w:pPr>
              <w:spacing w:after="0"/>
              <w:rPr>
                <w:sz w:val="18"/>
                <w:szCs w:val="18"/>
                <w:color w:val="auto"/>
              </w:rPr>
            </w:pPr>
          </w:p>
        </w:tc>
      </w:tr>
      <w:tr>
        <w:trPr>
          <w:trHeight w:val="217"/>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38,230</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2028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29,989</w:t>
            </w:r>
          </w:p>
        </w:tc>
        <w:tc>
          <w:tcPr>
            <w:tcW w:w="460" w:type="dxa"/>
            <w:vAlign w:val="bottom"/>
          </w:tcPr>
          <w:p>
            <w:pPr>
              <w:spacing w:after="0"/>
              <w:rPr>
                <w:sz w:val="18"/>
                <w:szCs w:val="18"/>
                <w:color w:val="auto"/>
              </w:rPr>
            </w:pPr>
          </w:p>
        </w:tc>
      </w:tr>
      <w:tr>
        <w:trPr>
          <w:trHeight w:val="217"/>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21,595</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89,197</w:t>
            </w:r>
          </w:p>
        </w:tc>
        <w:tc>
          <w:tcPr>
            <w:tcW w:w="460" w:type="dxa"/>
            <w:vAlign w:val="bottom"/>
            <w:tcBorders>
              <w:bottom w:val="single" w:sz="8" w:color="CCEEFF"/>
            </w:tcBorders>
          </w:tcPr>
          <w:p>
            <w:pPr>
              <w:spacing w:after="0"/>
              <w:rPr>
                <w:sz w:val="18"/>
                <w:szCs w:val="18"/>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Total future minimum lease payments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289,264</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97"/>
              <w:spacing w:after="0"/>
              <w:rPr>
                <w:sz w:val="20"/>
                <w:szCs w:val="20"/>
                <w:color w:val="auto"/>
              </w:rPr>
            </w:pPr>
            <w:r>
              <w:rPr>
                <w:rFonts w:ascii="Arial" w:cs="Arial" w:eastAsia="Arial" w:hAnsi="Arial"/>
                <w:sz w:val="16"/>
                <w:szCs w:val="16"/>
                <w:color w:val="auto"/>
              </w:rPr>
              <w:t xml:space="preserve">(68,865) </w:t>
            </w:r>
            <w:r>
              <w:rPr>
                <w:rFonts w:ascii="Arial" w:cs="Arial" w:eastAsia="Arial" w:hAnsi="Arial"/>
                <w:sz w:val="12"/>
                <w:szCs w:val="12"/>
                <w:color w:val="auto"/>
              </w:rPr>
              <w:t>(1)</w:t>
            </w:r>
          </w:p>
        </w:tc>
      </w:tr>
      <w:tr>
        <w:trPr>
          <w:trHeight w:val="209"/>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present value of lease liabilities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220,399</w:t>
            </w:r>
          </w:p>
        </w:tc>
        <w:tc>
          <w:tcPr>
            <w:tcW w:w="460" w:type="dxa"/>
            <w:vAlign w:val="bottom"/>
            <w:tcBorders>
              <w:top w:val="single" w:sz="8" w:color="CCEEFF"/>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r>
      <w:tr>
        <w:trPr>
          <w:trHeight w:val="20"/>
        </w:trPr>
        <w:tc>
          <w:tcPr>
            <w:tcW w:w="5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93" w:lineRule="exact"/>
        <w:rPr>
          <w:sz w:val="20"/>
          <w:szCs w:val="20"/>
          <w:color w:val="auto"/>
        </w:rPr>
      </w:pPr>
    </w:p>
    <w:p>
      <w:pPr>
        <w:ind w:left="1380" w:hanging="319"/>
        <w:spacing w:after="0"/>
        <w:tabs>
          <w:tab w:leader="none" w:pos="1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using the incremental borrowing rate for each lease.</w:t>
      </w:r>
    </w:p>
    <w:p>
      <w:pPr>
        <w:spacing w:after="0" w:line="41" w:lineRule="exact"/>
        <w:rPr>
          <w:rFonts w:ascii="Arial" w:cs="Arial" w:eastAsia="Arial" w:hAnsi="Arial"/>
          <w:sz w:val="14"/>
          <w:szCs w:val="14"/>
          <w:color w:val="auto"/>
        </w:rPr>
      </w:pPr>
    </w:p>
    <w:p>
      <w:pPr>
        <w:ind w:left="1380" w:hanging="319"/>
        <w:spacing w:after="0"/>
        <w:tabs>
          <w:tab w:leader="none" w:pos="1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leases.</w:t>
      </w:r>
    </w:p>
    <w:p>
      <w:pPr>
        <w:spacing w:after="0" w:line="3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92"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color w:val="auto"/>
        </w:rPr>
        <w:t>Supplemental cash flow and other information related to operating leases are as follows (in thousands, except for weighted average amounts):</w:t>
      </w:r>
    </w:p>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February 1, 2025February 3, 2024</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Cash paid for operating leases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62,582</w:t>
            </w: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50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33,183</w:t>
            </w: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27,836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101,241</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7.26</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Segment Reporting</w:t>
      </w:r>
    </w:p>
    <w:p>
      <w:pPr>
        <w:spacing w:after="0" w:line="129"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The Company is an off-price value retailer of fashion apparel, accessories and home trends primarily for African American families. The retail operations represent a single operating segment based on the way the Company manages its business. The Company’s Chief Executive Officer, as our chief operating decision maker (“CODM”), manages and allocates resources to the operations of the Company on a consolidated basis. This enables the Chief Executive Officer to assess the Company’s overall level of available resources and determine how best to deploy these resources across retail stores that are in line with the Company’s long-term company-wide strategic goals. The Company’s retail stores sell similar products, use similar processes to sell those products, and sell 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budget-to-actual variances on a monthly basis when making decisions about allocating capital and personnel. The CODM does not review assets in evaluating results, therefore such information is not provided.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The following table summarizes the Company’s one reportable segment profit or loss, including significant segment expenses, and includes the reconciliation to consolidated net (loss) income: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260"/>
              <w:spacing w:after="0"/>
              <w:rPr>
                <w:sz w:val="20"/>
                <w:szCs w:val="20"/>
                <w:color w:val="auto"/>
              </w:rPr>
            </w:pPr>
            <w:r>
              <w:rPr>
                <w:rFonts w:ascii="Arial" w:cs="Arial" w:eastAsia="Arial" w:hAnsi="Arial"/>
                <w:sz w:val="17"/>
                <w:szCs w:val="17"/>
                <w:b w:val="1"/>
                <w:bCs w:val="1"/>
                <w:color w:val="auto"/>
              </w:rPr>
              <w:t>Fiscal Year</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5"/>
        </w:trPr>
        <w:tc>
          <w:tcPr>
            <w:tcW w:w="55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2024</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2022</w:t>
            </w: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753,079</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747,941</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795,011</w:t>
            </w:r>
          </w:p>
        </w:tc>
      </w:tr>
      <w:tr>
        <w:trPr>
          <w:trHeight w:val="227"/>
        </w:trPr>
        <w:tc>
          <w:tcPr>
            <w:tcW w:w="5500" w:type="dxa"/>
            <w:vAlign w:val="bottom"/>
          </w:tcPr>
          <w:p>
            <w:pPr>
              <w:spacing w:after="0"/>
              <w:rPr>
                <w:sz w:val="20"/>
                <w:szCs w:val="20"/>
                <w:color w:val="auto"/>
              </w:rPr>
            </w:pPr>
            <w:r>
              <w:rPr>
                <w:rFonts w:ascii="Arial" w:cs="Arial" w:eastAsia="Arial" w:hAnsi="Arial"/>
                <w:sz w:val="17"/>
                <w:szCs w:val="17"/>
                <w:color w:val="auto"/>
              </w:rPr>
              <w:t>Cost of sales (exclusive of depreciation shown separately below)</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2"/>
        </w:trPr>
        <w:tc>
          <w:tcPr>
            <w:tcW w:w="5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Merchandising and other</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(430,300)</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(418,103)</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(441,242)</w:t>
            </w:r>
          </w:p>
        </w:tc>
      </w:tr>
      <w:tr>
        <w:trPr>
          <w:trHeight w:val="225"/>
        </w:trPr>
        <w:tc>
          <w:tcPr>
            <w:tcW w:w="5500" w:type="dxa"/>
            <w:vAlign w:val="bottom"/>
          </w:tcPr>
          <w:p>
            <w:pPr>
              <w:ind w:left="120"/>
              <w:spacing w:after="0"/>
              <w:rPr>
                <w:sz w:val="20"/>
                <w:szCs w:val="20"/>
                <w:color w:val="auto"/>
              </w:rPr>
            </w:pPr>
            <w:r>
              <w:rPr>
                <w:rFonts w:ascii="Arial" w:cs="Arial" w:eastAsia="Arial" w:hAnsi="Arial"/>
                <w:sz w:val="17"/>
                <w:szCs w:val="17"/>
                <w:color w:val="auto"/>
              </w:rPr>
              <w:t>Freight in and out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(40,736)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(44,721)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(42,780)</w:t>
            </w:r>
          </w:p>
        </w:tc>
      </w:tr>
      <w:tr>
        <w:trPr>
          <w:trHeight w:val="234"/>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7"/>
        </w:trPr>
        <w:tc>
          <w:tcPr>
            <w:tcW w:w="5500" w:type="dxa"/>
            <w:vAlign w:val="bottom"/>
          </w:tcPr>
          <w:p>
            <w:pPr>
              <w:ind w:left="120"/>
              <w:spacing w:after="0"/>
              <w:rPr>
                <w:sz w:val="20"/>
                <w:szCs w:val="20"/>
                <w:color w:val="auto"/>
              </w:rPr>
            </w:pPr>
            <w:r>
              <w:rPr>
                <w:rFonts w:ascii="Arial" w:cs="Arial" w:eastAsia="Arial" w:hAnsi="Arial"/>
                <w:sz w:val="17"/>
                <w:szCs w:val="17"/>
                <w:color w:val="auto"/>
              </w:rPr>
              <w:t>Store expenses - payroll and related expenses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(91,558)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(90,405)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(90,295)</w:t>
            </w:r>
          </w:p>
        </w:tc>
      </w:tr>
      <w:tr>
        <w:trPr>
          <w:trHeight w:val="232"/>
        </w:trPr>
        <w:tc>
          <w:tcPr>
            <w:tcW w:w="5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Store expenses - rent</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(66,660)</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(67,110)</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(66,431)</w:t>
            </w:r>
          </w:p>
        </w:tc>
      </w:tr>
      <w:tr>
        <w:trPr>
          <w:trHeight w:val="227"/>
        </w:trPr>
        <w:tc>
          <w:tcPr>
            <w:tcW w:w="5500" w:type="dxa"/>
            <w:vAlign w:val="bottom"/>
          </w:tcPr>
          <w:p>
            <w:pPr>
              <w:ind w:left="120"/>
              <w:spacing w:after="0"/>
              <w:rPr>
                <w:sz w:val="20"/>
                <w:szCs w:val="20"/>
                <w:color w:val="auto"/>
              </w:rPr>
            </w:pPr>
            <w:r>
              <w:rPr>
                <w:rFonts w:ascii="Arial" w:cs="Arial" w:eastAsia="Arial" w:hAnsi="Arial"/>
                <w:sz w:val="17"/>
                <w:szCs w:val="17"/>
                <w:color w:val="auto"/>
              </w:rPr>
              <w:t>Corporate expenses - payroll and related expenses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(29,614)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(26,189)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(26,859)</w:t>
            </w:r>
          </w:p>
        </w:tc>
      </w:tr>
      <w:tr>
        <w:trPr>
          <w:trHeight w:val="232"/>
        </w:trPr>
        <w:tc>
          <w:tcPr>
            <w:tcW w:w="5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Distribution center expenses - payroll and related expenses</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(16,686)</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(17,412)</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(15,549)</w:t>
            </w:r>
          </w:p>
        </w:tc>
      </w:tr>
      <w:tr>
        <w:trPr>
          <w:trHeight w:val="229"/>
        </w:trPr>
        <w:tc>
          <w:tcPr>
            <w:tcW w:w="5500" w:type="dxa"/>
            <w:vAlign w:val="bottom"/>
          </w:tcPr>
          <w:p>
            <w:pPr>
              <w:ind w:left="120"/>
              <w:spacing w:after="0" w:line="229" w:lineRule="exact"/>
              <w:rPr>
                <w:sz w:val="20"/>
                <w:szCs w:val="20"/>
                <w:color w:val="auto"/>
              </w:rPr>
            </w:pPr>
            <w:r>
              <w:rPr>
                <w:rFonts w:ascii="Arial" w:cs="Arial" w:eastAsia="Arial" w:hAnsi="Arial"/>
                <w:sz w:val="17"/>
                <w:szCs w:val="17"/>
                <w:color w:val="auto"/>
              </w:rPr>
              <w:t xml:space="preserve">Other segment expenses </w:t>
            </w:r>
            <w:r>
              <w:rPr>
                <w:rFonts w:ascii="Arial" w:cs="Arial" w:eastAsia="Arial" w:hAnsi="Arial"/>
                <w:sz w:val="25"/>
                <w:szCs w:val="25"/>
                <w:color w:val="auto"/>
                <w:vertAlign w:val="superscript"/>
              </w:rPr>
              <w:t>(1)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(95,655)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(83,414)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(80,043)</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(18,822)</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(18,990)</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(20,595)</w:t>
            </w:r>
          </w:p>
        </w:tc>
      </w:tr>
      <w:tr>
        <w:trPr>
          <w:trHeight w:val="225"/>
        </w:trPr>
        <w:tc>
          <w:tcPr>
            <w:tcW w:w="5500" w:type="dxa"/>
            <w:vAlign w:val="bottom"/>
          </w:tcPr>
          <w:p>
            <w:pPr>
              <w:spacing w:after="0"/>
              <w:rPr>
                <w:sz w:val="20"/>
                <w:szCs w:val="20"/>
                <w:color w:val="auto"/>
              </w:rPr>
            </w:pPr>
            <w:r>
              <w:rPr>
                <w:rFonts w:ascii="Arial" w:cs="Arial" w:eastAsia="Arial" w:hAnsi="Arial"/>
                <w:sz w:val="17"/>
                <w:szCs w:val="17"/>
                <w:color w:val="auto"/>
              </w:rPr>
              <w:t>Asset impairment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(2,536)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Gain on sale leaseback</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64,088</w:t>
            </w:r>
          </w:p>
        </w:tc>
      </w:tr>
      <w:tr>
        <w:trPr>
          <w:trHeight w:val="225"/>
        </w:trPr>
        <w:tc>
          <w:tcPr>
            <w:tcW w:w="5500" w:type="dxa"/>
            <w:vAlign w:val="bottom"/>
          </w:tcPr>
          <w:p>
            <w:pPr>
              <w:spacing w:after="0"/>
              <w:rPr>
                <w:sz w:val="20"/>
                <w:szCs w:val="20"/>
                <w:color w:val="auto"/>
              </w:rPr>
            </w:pPr>
            <w:r>
              <w:rPr>
                <w:rFonts w:ascii="Arial" w:cs="Arial" w:eastAsia="Arial" w:hAnsi="Arial"/>
                <w:sz w:val="17"/>
                <w:szCs w:val="17"/>
                <w:color w:val="auto"/>
              </w:rPr>
              <w:t>Interest income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2,473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3,874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1,034</w:t>
            </w:r>
          </w:p>
        </w:tc>
      </w:tr>
      <w:tr>
        <w:trPr>
          <w:trHeight w:val="234"/>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r>
      <w:tr>
        <w:trPr>
          <w:trHeight w:val="227"/>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Income tax (provision) benefit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(5,836)</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3,907</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(17,141)</w:t>
            </w:r>
          </w:p>
        </w:tc>
      </w:tr>
      <w:tr>
        <w:trPr>
          <w:trHeight w:val="223"/>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(loss) income</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(43,170)</w:t>
            </w: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(11,979)</w:t>
            </w:r>
          </w:p>
        </w:tc>
        <w:tc>
          <w:tcPr>
            <w:tcW w:w="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58,892</w:t>
            </w: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0" w:right="180" w:hanging="132"/>
        <w:spacing w:after="0" w:line="221" w:lineRule="auto"/>
        <w:tabs>
          <w:tab w:leader="none" w:pos="202"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Other segment expenses represent other store, corporate and distribution center expenses including utilities, repairs, supplies, insurance, professional fees and other miscellaneous fees.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Subsequent Events</w:t>
      </w:r>
    </w:p>
    <w:p>
      <w:pPr>
        <w:spacing w:after="0" w:line="142" w:lineRule="exact"/>
        <w:rPr>
          <w:sz w:val="20"/>
          <w:szCs w:val="20"/>
          <w:color w:val="auto"/>
        </w:rPr>
      </w:pPr>
    </w:p>
    <w:p>
      <w:pPr>
        <w:ind w:right="540"/>
        <w:spacing w:after="0" w:line="244" w:lineRule="auto"/>
        <w:rPr>
          <w:sz w:val="20"/>
          <w:szCs w:val="20"/>
          <w:color w:val="auto"/>
        </w:rPr>
      </w:pPr>
      <w:r>
        <w:rPr>
          <w:rFonts w:ascii="Arial" w:cs="Arial" w:eastAsia="Arial" w:hAnsi="Arial"/>
          <w:sz w:val="17"/>
          <w:szCs w:val="17"/>
          <w:color w:val="auto"/>
        </w:rPr>
        <w:t>As previously disclosed in the Company’s Form 8-K filed on March 27, 2025, the Company entered into an Amended and Restated Cooperation Agreement (the “Cooperation Agreement”) with Fund 1 Investments, LLC, a Delaware limited liability company (the “Investor”) on March 25, 2025. The Cooperation Agreement amends and restates the cooperation agreement previously entered into by the parties on February 28, 2024.</w:t>
      </w:r>
    </w:p>
    <w:p>
      <w:pPr>
        <w:spacing w:after="0" w:line="110" w:lineRule="exact"/>
        <w:rPr>
          <w:sz w:val="20"/>
          <w:szCs w:val="20"/>
          <w:color w:val="auto"/>
        </w:rPr>
      </w:pPr>
    </w:p>
    <w:p>
      <w:pPr>
        <w:jc w:val="both"/>
        <w:ind w:right="460"/>
        <w:spacing w:after="0" w:line="244" w:lineRule="auto"/>
        <w:rPr>
          <w:sz w:val="20"/>
          <w:szCs w:val="20"/>
          <w:color w:val="auto"/>
        </w:rPr>
      </w:pPr>
      <w:r>
        <w:rPr>
          <w:rFonts w:ascii="Arial" w:cs="Arial" w:eastAsia="Arial" w:hAnsi="Arial"/>
          <w:sz w:val="17"/>
          <w:szCs w:val="17"/>
          <w:color w:val="auto"/>
        </w:rPr>
        <w:t>Pursuant to the Cooperation Agreement, the Company agreed to, among other things, (i) appoint each of Wesley Calvert and Pamela Edwards to the Company’s Board of Directors (the “New Directors”) and (ii) nominate each of the New Directors, and David Heath, Charles Liu and Michael Kvitko for election to the Board at the Company’s 2025 annual meeting of stockholders (the “2025 Annual Meeting”).</w:t>
      </w:r>
    </w:p>
    <w:p>
      <w:pPr>
        <w:spacing w:after="0" w:line="96"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 Investor also agreed to certain customary standstill provisions prohibiting it from, among other things, (i) soliciting proxies; (ii) advising or knowingly encouraging any person with respect to the voting or disposition of any securities of the Company, subject to limited exceptions; (iii) making public announcements regarding certain transactions involving the Company; and (iv) taking actions to change or influence the Board, management or the direction of certain Company matters; in each case as further described in the Cooperation Agreement. Until the Termination Date (as defined in the Cooperation Agreement), the Company and the Investor have also agreed to certain mutual non-disparagement provisions.</w:t>
      </w:r>
    </w:p>
    <w:p>
      <w:pPr>
        <w:spacing w:after="0" w:line="115"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The Cooperation Agreement will terminate on the date that is 30 days prior to the closing of the window for the submission of stockholder director nominations for the Company’s 2026 annual meeting of stockholders; provided, however, that the Termination Date will be automatically extended to the date that is 30 days prior to the closing of the window for the submission of stockholder director nominations for the Company’s 2027 annual meeting of stockholders if the Company’s stock price meets certain thresholds as described in the Cooperation Agreement.</w:t>
      </w:r>
    </w:p>
    <w:p>
      <w:pPr>
        <w:spacing w:after="0" w:line="11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On April 10, 2025 the Company amended the five-year, $75 million credit facility with Bank of America to extend the maturity date to April 10, 2030.</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w:t>
      </w:r>
    </w:p>
    <w:p>
      <w:pPr>
        <w:spacing w:after="0" w:line="112"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Borrowings under the credit facility bear interest (a) for SOFR Loans, at a rate equal to the SOFR Rate plus a SOFR adjustment equal to 0.10% plus either 1.50%, 1.75% or 2.00%, or (b) for Base Rate Loans, at a rate equal to the highest of (i) the prime rate,</w:t>
      </w:r>
    </w:p>
    <w:p>
      <w:pPr>
        <w:spacing w:after="0" w:line="1" w:lineRule="exact"/>
        <w:rPr>
          <w:sz w:val="20"/>
          <w:szCs w:val="20"/>
          <w:color w:val="auto"/>
        </w:rPr>
      </w:pPr>
    </w:p>
    <w:p>
      <w:pPr>
        <w:ind w:right="180" w:firstLine="8"/>
        <w:spacing w:after="0" w:line="248" w:lineRule="auto"/>
        <w:tabs>
          <w:tab w:leader="none" w:pos="23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Funds Rate plus 0.5% and (iii) the Term SOFR Rate plus 1.0%, plus, in each case either 0.50%, 0.75% or 1.00%, based in any such case on the average daily availability for borrowings under the facility.</w:t>
      </w:r>
    </w:p>
    <w:p>
      <w:pPr>
        <w:spacing w:after="0" w:line="309" w:lineRule="exact"/>
        <w:rPr>
          <w:sz w:val="20"/>
          <w:szCs w:val="20"/>
          <w:color w:val="auto"/>
        </w:rPr>
      </w:pPr>
    </w:p>
    <w:p>
      <w:pPr>
        <w:spacing w:after="0" w:line="450" w:lineRule="auto"/>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u w:val="single" w:color="auto"/>
          <w:color w:val="auto"/>
        </w:rPr>
        <w:t>CHANGES IN AND DISAGREEMENTS WITH ACCOUNTANTS ON ACCOUNTING AND FINANCIAL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Not applicable.</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1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9"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pacing w:after="0" w:line="110"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07"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officer and principal financial officer, we assessed the effectiveness of our internal control over financial reporting as of February 1, 2025, based on the criteria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on this assessment, our management concluded that our internal control over financial reporting was effective based on those criteria as of February 1, 2025.</w:t>
      </w:r>
    </w:p>
    <w:p>
      <w:pPr>
        <w:spacing w:after="0" w:line="99"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Our independent registered public accounting firm, Deloitte &amp; Touche LLP, audited the effectiveness of our internal control over financial reporting as of February 1, 2025, as stated in their report which is included herein.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42"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There were no changes in our internal control over financial reporting that occurred during the fourth quarter of fiscal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120"/>
        <w:spacing w:after="0" w:line="40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Citi Trends, Inc. </w:t>
      </w:r>
      <w:r>
        <w:rPr>
          <w:rFonts w:ascii="Arial" w:cs="Arial" w:eastAsia="Arial" w:hAnsi="Arial"/>
          <w:sz w:val="17"/>
          <w:szCs w:val="17"/>
          <w:b w:val="1"/>
          <w:bCs w:val="1"/>
          <w:color w:val="auto"/>
        </w:rPr>
        <w:t>Opinion on Internal Control over Financial Reporting</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have audited the internal control over financial reporting of Citi Trends, Inc. and subsidiary (the “Company”) as of February 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February 1, 2025, based on criteria established in Internal Control — Integrated Framework (2013) issued by COSO.</w:t>
      </w:r>
    </w:p>
    <w:p>
      <w:pPr>
        <w:spacing w:after="0" w:line="112"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February 1, 2025, of the Company and our report dated April 16, 2025, expressed an unqualified opinion on those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right="60" w:firstLine="8"/>
        <w:spacing w:after="0" w:line="236" w:lineRule="auto"/>
        <w:tabs>
          <w:tab w:leader="none" w:pos="2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4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April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Rule 10b5-1 Trading Plans</w:t>
      </w:r>
    </w:p>
    <w:p>
      <w:pPr>
        <w:spacing w:after="0" w:line="142"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color w:val="auto"/>
        </w:rPr>
        <w:t>During the fourth quarter ended February 1, 2025, no director or officer adopted or terminated any “Rule 10b5-1 trading arrangement” or “non-Rule 10b5-1 trading arrangement,” as each term is defined in Item 408 of Regulation S-K.</w:t>
      </w:r>
    </w:p>
    <w:p>
      <w:pPr>
        <w:spacing w:after="0" w:line="78" w:lineRule="exact"/>
        <w:rPr>
          <w:sz w:val="20"/>
          <w:szCs w:val="20"/>
          <w:color w:val="auto"/>
        </w:rPr>
      </w:pPr>
    </w:p>
    <w:p>
      <w:pPr>
        <w:ind w:right="1860"/>
        <w:spacing w:after="0" w:line="414" w:lineRule="auto"/>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u w:val="single" w:color="auto"/>
          <w:color w:val="auto"/>
        </w:rPr>
        <w:t>DISCLOSURE REGARDING FOREIGN JURISDICTIONS THAT PREVENT INSPECTIONS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 applicable.</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PART III</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information required by this Item with respect to our executive officers and directors, our insider trading policy,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Corporate Governance,” “Executive Officers,” “Executive Compensation,” and “Delinquent Section 16(a) Reports” in our definitive proxy statement for our 2025 Annual Meeting of Stockholders (or will be filed by amendment to this Report).</w:t>
      </w:r>
    </w:p>
    <w:p>
      <w:pPr>
        <w:spacing w:after="0" w:line="7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u w:val="single" w:color="auto"/>
          <w:color w:val="auto"/>
        </w:rPr>
        <w:t>EXECUTIVE COMPENSATION</w:t>
      </w:r>
    </w:p>
    <w:p>
      <w:pPr>
        <w:spacing w:after="0" w:line="142"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for our 2025 Annual Meeting of Stockholders (or will be filed by amendment to this Report).</w:t>
      </w:r>
    </w:p>
    <w:p>
      <w:pPr>
        <w:spacing w:after="0" w:line="94" w:lineRule="exact"/>
        <w:rPr>
          <w:sz w:val="20"/>
          <w:szCs w:val="20"/>
          <w:color w:val="auto"/>
        </w:rPr>
      </w:pPr>
    </w:p>
    <w:p>
      <w:pPr>
        <w:ind w:right="900"/>
        <w:spacing w:after="0" w:line="280" w:lineRule="auto"/>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u w:val="single" w:color="auto"/>
          <w:color w:val="auto"/>
        </w:rPr>
        <w:t>SECURITY OWNERSHIP OF CERTAIN BENEFICIAL OWNERS AND MANAGEMENT AND RELATED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STOCKHOLDER MATTERS</w:t>
      </w:r>
    </w:p>
    <w:p>
      <w:pPr>
        <w:spacing w:after="0" w:line="7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“Security Ownership of Certain Beneficial Owners and Management” and “Executive Compensation – Equity Compensation Plan Information” in our definitive proxy statement for our 2025 Annual Meeting of Stockholders (or will be filed by amendment to this Report).</w:t>
      </w:r>
    </w:p>
    <w:p>
      <w:pPr>
        <w:spacing w:after="0" w:line="96"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for our 2025 Annual Meeting of Stockholders (or will be filed by amendment to this Report).</w:t>
      </w:r>
    </w:p>
    <w:p>
      <w:pPr>
        <w:spacing w:after="0" w:line="10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u w:val="single" w:color="auto"/>
          <w:color w:val="auto"/>
        </w:rPr>
        <w:t>PRINCIPAL ACCOUNTANT FEES AND SERVICES</w:t>
      </w:r>
    </w:p>
    <w:p>
      <w:pPr>
        <w:spacing w:after="0" w:line="12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 entitled “Ratification of Independent Registered Public Accounting Firm” in our definitive proxy statement for our 2025 Annual Meeting of Stockholders (or will be filed by amendment to this Report).</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517" w:right="113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PART IV</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AND FINANCIAL STATEMENT SCHEDULES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required under this item is filed as part of this report:</w:t>
      </w:r>
    </w:p>
    <w:p>
      <w:pPr>
        <w:spacing w:after="0" w:line="129"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Financial Statements. See Part II, Item 8.</w:t>
      </w:r>
    </w:p>
    <w:p>
      <w:pPr>
        <w:spacing w:after="0" w:line="142" w:lineRule="exact"/>
        <w:rPr>
          <w:rFonts w:ascii="Arial" w:cs="Arial" w:eastAsia="Arial" w:hAnsi="Arial"/>
          <w:sz w:val="17"/>
          <w:szCs w:val="17"/>
          <w:color w:val="auto"/>
        </w:rPr>
      </w:pPr>
    </w:p>
    <w:p>
      <w:pPr>
        <w:ind w:left="920" w:right="180" w:hanging="264"/>
        <w:spacing w:after="0" w:line="267" w:lineRule="auto"/>
        <w:tabs>
          <w:tab w:leader="none" w:pos="917"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Financial Statement Schedules. Other schedules are omitted as they are not applicable or the information is included elsewhere in this Report.</w:t>
      </w:r>
    </w:p>
    <w:p>
      <w:pPr>
        <w:spacing w:after="0" w:line="91" w:lineRule="exact"/>
        <w:rPr>
          <w:rFonts w:ascii="Arial" w:cs="Arial" w:eastAsia="Arial" w:hAnsi="Arial"/>
          <w:sz w:val="17"/>
          <w:szCs w:val="17"/>
          <w:color w:val="auto"/>
        </w:rPr>
      </w:pPr>
    </w:p>
    <w:p>
      <w:pPr>
        <w:ind w:left="900" w:hanging="244"/>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Exhibits:</w:t>
      </w:r>
    </w:p>
    <w:p>
      <w:pPr>
        <w:spacing w:after="0" w:line="129"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42" w:lineRule="exact"/>
        <w:rPr>
          <w:sz w:val="20"/>
          <w:szCs w:val="20"/>
          <w:color w:val="auto"/>
        </w:rPr>
      </w:pPr>
    </w:p>
    <w:p>
      <w:pPr>
        <w:ind w:left="1180" w:right="90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63">
        <w:r>
          <w:rPr>
            <w:rFonts w:ascii="Arial" w:cs="Arial" w:eastAsia="Arial" w:hAnsi="Arial"/>
            <w:sz w:val="17"/>
            <w:szCs w:val="17"/>
            <w:u w:val="single" w:color="auto"/>
            <w:color w:val="0000EE"/>
          </w:rPr>
          <w:t>Third Amended and Restated Certificate of Incorporation (incorporated by reference to Exhibit 3.1 to the</w:t>
        </w:r>
      </w:hyperlink>
      <w:r>
        <w:rPr>
          <w:rFonts w:ascii="Arial" w:cs="Arial" w:eastAsia="Arial" w:hAnsi="Arial"/>
          <w:sz w:val="17"/>
          <w:szCs w:val="17"/>
          <w:u w:val="single" w:color="auto"/>
          <w:color w:val="0000EE"/>
        </w:rPr>
        <w:t xml:space="preserve"> </w:t>
      </w:r>
      <w:hyperlink r:id="rId63">
        <w:r>
          <w:rPr>
            <w:rFonts w:ascii="Arial" w:cs="Arial" w:eastAsia="Arial" w:hAnsi="Arial"/>
            <w:sz w:val="17"/>
            <w:szCs w:val="17"/>
            <w:u w:val="single" w:color="auto"/>
            <w:color w:val="0000EE"/>
          </w:rPr>
          <w:t>Company’s Current Report on Form 8-K filed with the SEC on June 7, 2018)</w:t>
        </w:r>
      </w:hyperlink>
    </w:p>
    <w:p>
      <w:pPr>
        <w:spacing w:after="0" w:line="158" w:lineRule="exact"/>
        <w:rPr>
          <w:sz w:val="20"/>
          <w:szCs w:val="20"/>
          <w:color w:val="auto"/>
        </w:rPr>
      </w:pPr>
    </w:p>
    <w:p>
      <w:pPr>
        <w:ind w:left="1180" w:right="18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r:id="rId64">
        <w:r>
          <w:rPr>
            <w:rFonts w:ascii="Arial" w:cs="Arial" w:eastAsia="Arial" w:hAnsi="Arial"/>
            <w:sz w:val="17"/>
            <w:szCs w:val="17"/>
            <w:u w:val="single" w:color="auto"/>
            <w:color w:val="0000EE"/>
          </w:rPr>
          <w:t>Fourth Amended and Restated Bylaws (incorporated by reference to Exhibit 3.2 to the Company's Current Report</w:t>
        </w:r>
      </w:hyperlink>
      <w:r>
        <w:rPr>
          <w:rFonts w:ascii="Arial" w:cs="Arial" w:eastAsia="Arial" w:hAnsi="Arial"/>
          <w:sz w:val="17"/>
          <w:szCs w:val="17"/>
          <w:u w:val="single" w:color="auto"/>
          <w:color w:val="0000EE"/>
        </w:rPr>
        <w:t xml:space="preserve"> </w:t>
      </w:r>
      <w:hyperlink r:id="rId64">
        <w:r>
          <w:rPr>
            <w:rFonts w:ascii="Arial" w:cs="Arial" w:eastAsia="Arial" w:hAnsi="Arial"/>
            <w:sz w:val="17"/>
            <w:szCs w:val="17"/>
            <w:u w:val="single" w:color="auto"/>
            <w:color w:val="0000EE"/>
          </w:rPr>
          <w:t>on Form 8-K filed with the SEC on October 31, 2022)</w:t>
        </w:r>
      </w:hyperlink>
    </w:p>
    <w:p>
      <w:pPr>
        <w:spacing w:after="0" w:line="158" w:lineRule="exact"/>
        <w:rPr>
          <w:sz w:val="20"/>
          <w:szCs w:val="20"/>
          <w:color w:val="auto"/>
        </w:rPr>
      </w:pPr>
    </w:p>
    <w:p>
      <w:pPr>
        <w:ind w:left="1180" w:right="100" w:hanging="43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65">
        <w:r>
          <w:rPr>
            <w:rFonts w:ascii="Arial" w:cs="Arial" w:eastAsia="Arial" w:hAnsi="Arial"/>
            <w:sz w:val="17"/>
            <w:szCs w:val="17"/>
            <w:u w:val="single" w:color="auto"/>
            <w:color w:val="0000EE"/>
          </w:rPr>
          <w:t>Specimen certificate for shares of common stock, $.01 par value (incorporated by reference to Exhibit 4.1 to</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Amendment No. 2 to the Company’s Registration Statement on Form S-1 (File No. 333-123028) filed with the SEC</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on April 29, 2005)</w:t>
        </w:r>
      </w:hyperlink>
    </w:p>
    <w:p>
      <w:pPr>
        <w:spacing w:after="0" w:line="174" w:lineRule="exact"/>
        <w:rPr>
          <w:rFonts w:ascii="Arial" w:cs="Arial" w:eastAsia="Arial" w:hAnsi="Arial"/>
          <w:sz w:val="17"/>
          <w:szCs w:val="17"/>
          <w:u w:val="single" w:color="auto"/>
          <w:color w:val="0000EE"/>
        </w:rPr>
      </w:pPr>
    </w:p>
    <w:p>
      <w:pPr>
        <w:ind w:left="1180" w:right="10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66">
        <w:r>
          <w:rPr>
            <w:rFonts w:ascii="Arial" w:cs="Arial" w:eastAsia="Arial" w:hAnsi="Arial"/>
            <w:sz w:val="17"/>
            <w:szCs w:val="17"/>
            <w:u w:val="single" w:color="auto"/>
            <w:color w:val="0000EE"/>
          </w:rPr>
          <w:t>Description of Registrant’s Securities (incorporated by reference to Exhibit 4.2 to the Company’s Annual Report on</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Form 10-K filed with the SEC on May 14, 2020)</w:t>
        </w:r>
      </w:hyperlink>
    </w:p>
    <w:p>
      <w:pPr>
        <w:spacing w:after="0" w:line="158" w:lineRule="exact"/>
        <w:rPr>
          <w:sz w:val="20"/>
          <w:szCs w:val="20"/>
          <w:color w:val="auto"/>
        </w:rPr>
      </w:pPr>
    </w:p>
    <w:p>
      <w:pPr>
        <w:ind w:left="1180" w:right="2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w:t>
      </w:r>
      <w:r>
        <w:rPr>
          <w:sz w:val="20"/>
          <w:szCs w:val="20"/>
          <w:color w:val="auto"/>
        </w:rPr>
        <w:tab/>
      </w:r>
      <w:hyperlink r:id="rId67">
        <w:r>
          <w:rPr>
            <w:rFonts w:ascii="Arial" w:cs="Arial" w:eastAsia="Arial" w:hAnsi="Arial"/>
            <w:sz w:val="17"/>
            <w:szCs w:val="17"/>
            <w:u w:val="single" w:color="auto"/>
            <w:color w:val="0000EE"/>
          </w:rPr>
          <w:t>Credit Agreement, dated October 27, 2011 among Citi Trends, Inc., as Borrower, its wholly owned subsidiary, as</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Guarantor, and Bank of America, N.A., as Lender (incorporated by reference to Exhibit 10.1 to the Company’s</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Quarterly Report on Form 10-Q for the quarter ended October 29, 2011)</w:t>
        </w:r>
      </w:hyperlink>
    </w:p>
    <w:p>
      <w:pPr>
        <w:spacing w:after="0" w:line="174" w:lineRule="exact"/>
        <w:rPr>
          <w:rFonts w:ascii="Arial" w:cs="Arial" w:eastAsia="Arial" w:hAnsi="Arial"/>
          <w:sz w:val="17"/>
          <w:szCs w:val="17"/>
          <w:u w:val="single" w:color="auto"/>
          <w:color w:val="0000EE"/>
        </w:rPr>
      </w:pPr>
    </w:p>
    <w:p>
      <w:pPr>
        <w:jc w:val="center"/>
        <w:ind w:right="-479"/>
        <w:spacing w:after="0"/>
        <w:tabs>
          <w:tab w:leader="none" w:pos="180" w:val="left"/>
        </w:tabs>
        <w:rPr>
          <w:rFonts w:ascii="Arial" w:cs="Arial" w:eastAsia="Arial" w:hAnsi="Arial"/>
          <w:sz w:val="17"/>
          <w:szCs w:val="17"/>
          <w:u w:val="single" w:color="auto"/>
          <w:color w:val="0000EE"/>
        </w:rPr>
      </w:pPr>
      <w:r>
        <w:rPr>
          <w:rFonts w:ascii="Arial" w:cs="Arial" w:eastAsia="Arial" w:hAnsi="Arial"/>
          <w:sz w:val="17"/>
          <w:szCs w:val="17"/>
          <w:color w:val="auto"/>
        </w:rPr>
        <w:t>10.2</w:t>
      </w:r>
      <w:r>
        <w:rPr>
          <w:sz w:val="20"/>
          <w:szCs w:val="20"/>
          <w:color w:val="auto"/>
        </w:rPr>
        <w:tab/>
      </w:r>
      <w:hyperlink r:id="rId68">
        <w:r>
          <w:rPr>
            <w:rFonts w:ascii="Arial" w:cs="Arial" w:eastAsia="Arial" w:hAnsi="Arial"/>
            <w:sz w:val="17"/>
            <w:szCs w:val="17"/>
            <w:u w:val="single" w:color="auto"/>
            <w:color w:val="0000EE"/>
          </w:rPr>
          <w:t>First Amendment to Credit Agreement, dated as of August 18, 2015, by and among Citi Trends, Inc., as Borrower,</w:t>
        </w:r>
      </w:hyperlink>
    </w:p>
    <w:p>
      <w:pPr>
        <w:spacing w:after="0" w:line="23" w:lineRule="exact"/>
        <w:rPr>
          <w:rFonts w:ascii="Arial" w:cs="Arial" w:eastAsia="Arial" w:hAnsi="Arial"/>
          <w:sz w:val="17"/>
          <w:szCs w:val="17"/>
          <w:u w:val="single" w:color="auto"/>
          <w:color w:val="0000EE"/>
        </w:rPr>
      </w:pPr>
    </w:p>
    <w:p>
      <w:pPr>
        <w:ind w:left="1180" w:right="360"/>
        <w:spacing w:after="0" w:line="264" w:lineRule="auto"/>
        <w:rPr>
          <w:rFonts w:ascii="Arial" w:cs="Arial" w:eastAsia="Arial" w:hAnsi="Arial"/>
          <w:sz w:val="17"/>
          <w:szCs w:val="17"/>
          <w:u w:val="single" w:color="auto"/>
          <w:color w:val="0000EE"/>
        </w:rPr>
      </w:pPr>
      <w:hyperlink r:id="rId68">
        <w:r>
          <w:rPr>
            <w:rFonts w:ascii="Arial" w:cs="Arial" w:eastAsia="Arial" w:hAnsi="Arial"/>
            <w:sz w:val="17"/>
            <w:szCs w:val="17"/>
            <w:u w:val="single" w:color="auto"/>
            <w:color w:val="0000EE"/>
          </w:rPr>
          <w:t>Citi Trends Marketing Solutions, Inc., as Guarantor, and Bank of America, N.A., as Lender (incorporated by</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reference to Exhibit 10.1 to the Company’s Current Report on Form 8-K filed with the SEC on August 19, 2015)</w:t>
        </w:r>
      </w:hyperlink>
    </w:p>
    <w:p>
      <w:pPr>
        <w:spacing w:after="0" w:line="175" w:lineRule="exact"/>
        <w:rPr>
          <w:sz w:val="20"/>
          <w:szCs w:val="20"/>
          <w:color w:val="auto"/>
        </w:rPr>
      </w:pPr>
    </w:p>
    <w:p>
      <w:pPr>
        <w:ind w:left="11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r:id="rId69">
        <w:r>
          <w:rPr>
            <w:rFonts w:ascii="Arial" w:cs="Arial" w:eastAsia="Arial" w:hAnsi="Arial"/>
            <w:sz w:val="17"/>
            <w:szCs w:val="17"/>
            <w:u w:val="single" w:color="auto"/>
            <w:color w:val="0000EE"/>
          </w:rPr>
          <w:t>Second Amendment to Credit Agreement and Waiver, dated as of May 12, 2020, by and among Citi Trends, Inc., as</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Borrower, Citi Trends Marketing Solutions, Inc., as Guarantor, and Bank of America, N.A., as Lender (incorporated</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by reference to Exhibit 10.28 to the Company’s Annual Report on Form 10-K filed with the SEC on May 14, 2020)</w:t>
        </w:r>
      </w:hyperlink>
    </w:p>
    <w:p>
      <w:pPr>
        <w:spacing w:after="0" w:line="174" w:lineRule="exact"/>
        <w:rPr>
          <w:rFonts w:ascii="Arial" w:cs="Arial" w:eastAsia="Arial" w:hAnsi="Arial"/>
          <w:sz w:val="17"/>
          <w:szCs w:val="17"/>
          <w:u w:val="single" w:color="auto"/>
          <w:color w:val="0000EE"/>
        </w:rPr>
      </w:pPr>
    </w:p>
    <w:p>
      <w:pPr>
        <w:ind w:left="11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r:id="rId70">
        <w:r>
          <w:rPr>
            <w:rFonts w:ascii="Arial" w:cs="Arial" w:eastAsia="Arial" w:hAnsi="Arial"/>
            <w:sz w:val="17"/>
            <w:szCs w:val="17"/>
            <w:u w:val="single" w:color="auto"/>
            <w:color w:val="0000EE"/>
          </w:rPr>
          <w:t>Third Amendment to Credit Agreement, dated as of April 15, 2021, by and among the Company, as Borrower, Citi</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Trends Marketing Solutions, Inc., as Guarantor, and Bank of America, N.A., as Lender (incorporated by reference to</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Exhibit 10.1 to the Company’s Current Report on Form 8-K filed with the SEC on April 15, 2021)</w:t>
        </w:r>
      </w:hyperlink>
    </w:p>
    <w:p>
      <w:pPr>
        <w:spacing w:after="0" w:line="174" w:lineRule="exact"/>
        <w:rPr>
          <w:rFonts w:ascii="Arial" w:cs="Arial" w:eastAsia="Arial" w:hAnsi="Arial"/>
          <w:sz w:val="17"/>
          <w:szCs w:val="17"/>
          <w:u w:val="single" w:color="auto"/>
          <w:color w:val="0000EE"/>
        </w:rPr>
      </w:pPr>
    </w:p>
    <w:p>
      <w:pPr>
        <w:ind w:left="1180" w:right="220" w:hanging="600"/>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*10.5</w:t>
      </w:r>
      <w:r>
        <w:rPr>
          <w:sz w:val="20"/>
          <w:szCs w:val="20"/>
          <w:color w:val="auto"/>
        </w:rPr>
        <w:tab/>
      </w:r>
      <w:hyperlink r:id="rId71">
        <w:r>
          <w:rPr>
            <w:rFonts w:ascii="Arial" w:cs="Arial" w:eastAsia="Arial" w:hAnsi="Arial"/>
            <w:sz w:val="17"/>
            <w:szCs w:val="17"/>
            <w:u w:val="single" w:color="auto"/>
            <w:color w:val="0000EE"/>
          </w:rPr>
          <w:t>Citi Trends, Inc. 2021 Incentive Plan (incorporated by reference to Appendix A to the Company’s Definitive Proxy</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Statement on Schedule 14A filed with the SEC on April 16, 2021)</w:t>
        </w:r>
      </w:hyperlink>
    </w:p>
    <w:p>
      <w:pPr>
        <w:spacing w:after="0" w:line="158" w:lineRule="exact"/>
        <w:rPr>
          <w:sz w:val="20"/>
          <w:szCs w:val="20"/>
          <w:color w:val="auto"/>
        </w:rPr>
      </w:pPr>
    </w:p>
    <w:p>
      <w:pPr>
        <w:ind w:left="1180" w:right="20" w:hanging="600"/>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*10.6</w:t>
      </w:r>
      <w:r>
        <w:rPr>
          <w:sz w:val="20"/>
          <w:szCs w:val="20"/>
          <w:color w:val="auto"/>
        </w:rPr>
        <w:tab/>
      </w:r>
      <w:hyperlink r:id="rId72">
        <w:r>
          <w:rPr>
            <w:rFonts w:ascii="Arial" w:cs="Arial" w:eastAsia="Arial" w:hAnsi="Arial"/>
            <w:sz w:val="17"/>
            <w:szCs w:val="17"/>
            <w:u w:val="single" w:color="auto"/>
            <w:color w:val="0000EE"/>
          </w:rPr>
          <w:t>Amendment to the Citi Trends, Inc. 2021 Incentive Plan (incorporated by reference to Appendix A of the Company’s</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Definitive Proxy Statement on Schedule 14A filed with the SEC on May 8, 2024)</w:t>
        </w:r>
      </w:hyperlink>
    </w:p>
    <w:p>
      <w:pPr>
        <w:spacing w:after="0" w:line="158" w:lineRule="exact"/>
        <w:rPr>
          <w:sz w:val="20"/>
          <w:szCs w:val="20"/>
          <w:color w:val="auto"/>
        </w:rPr>
      </w:pPr>
    </w:p>
    <w:p>
      <w:pPr>
        <w:ind w:left="480"/>
        <w:spacing w:after="0"/>
        <w:tabs>
          <w:tab w:leader="none" w:pos="116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u w:val="single" w:color="auto"/>
          <w:color w:val="0000EE"/>
        </w:rPr>
        <w:t>Second Amendment to the Citi Trends, Inc. 2021 Incentive Plan, dated November 18, 2024</w:t>
      </w:r>
    </w:p>
    <w:p>
      <w:pPr>
        <w:spacing w:after="0" w:line="250" w:lineRule="exact"/>
        <w:rPr>
          <w:sz w:val="20"/>
          <w:szCs w:val="20"/>
          <w:color w:val="auto"/>
        </w:rPr>
      </w:pPr>
    </w:p>
    <w:p>
      <w:pPr>
        <w:ind w:left="1180" w:right="360" w:hanging="600"/>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*10.8</w:t>
      </w:r>
      <w:r>
        <w:rPr>
          <w:sz w:val="20"/>
          <w:szCs w:val="20"/>
          <w:color w:val="auto"/>
        </w:rPr>
        <w:tab/>
      </w:r>
      <w:hyperlink r:id="rId73">
        <w:r>
          <w:rPr>
            <w:rFonts w:ascii="Arial" w:cs="Arial" w:eastAsia="Arial" w:hAnsi="Arial"/>
            <w:sz w:val="17"/>
            <w:szCs w:val="17"/>
            <w:u w:val="single" w:color="auto"/>
            <w:color w:val="0000EE"/>
          </w:rPr>
          <w:t>Form of Restricted Stock Award Agreement for Employees under the Citi Trends, Inc. 2021 Incentive Plan</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(incorporated by reference to Exhibit 10.8 to the Company’s Annual Report on Form 10-K filed with the SEC on</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April 14, 2022)</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4"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Calibri" w:cs="Calibri" w:eastAsia="Calibri" w:hAnsi="Calibri"/>
          <w:sz w:val="18"/>
          <w:szCs w:val="18"/>
          <w:color w:val="auto"/>
        </w:rPr>
        <w:t>51</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42" w:lineRule="exact"/>
        <w:rPr>
          <w:sz w:val="20"/>
          <w:szCs w:val="20"/>
          <w:color w:val="auto"/>
        </w:rPr>
      </w:pPr>
    </w:p>
    <w:p>
      <w:pPr>
        <w:ind w:left="1180" w:right="160" w:hanging="600"/>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r:id="rId75">
        <w:r>
          <w:rPr>
            <w:rFonts w:ascii="Arial" w:cs="Arial" w:eastAsia="Arial" w:hAnsi="Arial"/>
            <w:sz w:val="17"/>
            <w:szCs w:val="17"/>
            <w:u w:val="single" w:color="auto"/>
            <w:color w:val="0000EE"/>
          </w:rPr>
          <w:t>Form of Restricted Stock Award Agreement for Directors under the Citi Trends, Inc. 2021 Incentive Plan</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(incorporated by reference to Exhibit 10.2 to the Company’s Quarterly Report on Form 10-Q filed with the SEC on</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September 8, 2021)</w:t>
        </w:r>
      </w:hyperlink>
    </w:p>
    <w:p>
      <w:pPr>
        <w:spacing w:after="0" w:line="174" w:lineRule="exact"/>
        <w:rPr>
          <w:rFonts w:ascii="Arial" w:cs="Arial" w:eastAsia="Arial" w:hAnsi="Arial"/>
          <w:sz w:val="17"/>
          <w:szCs w:val="17"/>
          <w:u w:val="single" w:color="auto"/>
          <w:color w:val="0000EE"/>
        </w:rPr>
      </w:pPr>
    </w:p>
    <w:p>
      <w:pPr>
        <w:ind w:left="1180" w:right="2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*10.10</w:t>
      </w:r>
      <w:r>
        <w:rPr>
          <w:sz w:val="20"/>
          <w:szCs w:val="20"/>
          <w:color w:val="auto"/>
        </w:rPr>
        <w:tab/>
      </w:r>
      <w:hyperlink r:id="rId76">
        <w:r>
          <w:rPr>
            <w:rFonts w:ascii="Arial" w:cs="Arial" w:eastAsia="Arial" w:hAnsi="Arial"/>
            <w:sz w:val="17"/>
            <w:szCs w:val="17"/>
            <w:u w:val="single" w:color="auto"/>
            <w:color w:val="0000EE"/>
          </w:rPr>
          <w:t>Form of Performance-Based Restricted Stock Unit Award Agreement for Employees under the Citi Trends, Inc.</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2021 Incentive Plan (incorporated by reference to Exhibit 10.1 to the Company’s Quarterly Report on Form 10-Q</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filed with the SEC on September 6, 2023)</w:t>
        </w:r>
      </w:hyperlink>
    </w:p>
    <w:p>
      <w:pPr>
        <w:spacing w:after="0" w:line="187" w:lineRule="exact"/>
        <w:rPr>
          <w:rFonts w:ascii="Arial" w:cs="Arial" w:eastAsia="Arial" w:hAnsi="Arial"/>
          <w:sz w:val="17"/>
          <w:szCs w:val="17"/>
          <w:u w:val="single" w:color="auto"/>
          <w:color w:val="0000EE"/>
        </w:rPr>
      </w:pPr>
    </w:p>
    <w:p>
      <w:pPr>
        <w:ind w:left="1180" w:right="120" w:hanging="683"/>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*10.11</w:t>
      </w:r>
      <w:r>
        <w:rPr>
          <w:sz w:val="20"/>
          <w:szCs w:val="20"/>
          <w:color w:val="auto"/>
        </w:rPr>
        <w:tab/>
      </w:r>
      <w:hyperlink r:id="rId77">
        <w:r>
          <w:rPr>
            <w:rFonts w:ascii="Arial" w:cs="Arial" w:eastAsia="Arial" w:hAnsi="Arial"/>
            <w:sz w:val="17"/>
            <w:szCs w:val="17"/>
            <w:u w:val="single" w:color="auto"/>
            <w:color w:val="0000EE"/>
          </w:rPr>
          <w:t>Employment Non-Compete, Non-Solicit and Confidentiality Agreement between the Company and Lisa Powell</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dated August 16, 2019 (incorporated by reference to Exhibit 10.20 to the Company’s Annual Report on Form 10-K</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filed with the SEC on May 14, 2020)</w:t>
        </w:r>
      </w:hyperlink>
    </w:p>
    <w:p>
      <w:pPr>
        <w:spacing w:after="0" w:line="174" w:lineRule="exact"/>
        <w:rPr>
          <w:rFonts w:ascii="Arial" w:cs="Arial" w:eastAsia="Arial" w:hAnsi="Arial"/>
          <w:sz w:val="17"/>
          <w:szCs w:val="17"/>
          <w:u w:val="single" w:color="auto"/>
          <w:color w:val="0000EE"/>
        </w:rPr>
      </w:pPr>
    </w:p>
    <w:p>
      <w:pPr>
        <w:ind w:left="11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*10.12</w:t>
      </w:r>
      <w:r>
        <w:rPr>
          <w:sz w:val="20"/>
          <w:szCs w:val="20"/>
          <w:color w:val="auto"/>
        </w:rPr>
        <w:tab/>
      </w:r>
      <w:hyperlink r:id="rId78">
        <w:r>
          <w:rPr>
            <w:rFonts w:ascii="Arial" w:cs="Arial" w:eastAsia="Arial" w:hAnsi="Arial"/>
            <w:sz w:val="17"/>
            <w:szCs w:val="17"/>
            <w:u w:val="single" w:color="auto"/>
            <w:color w:val="0000EE"/>
          </w:rPr>
          <w:t>Severance Agreement between the Company and Lisa Powell dated August 16, 2019 (incorporated by reference to</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Exhibit 10.21 to the Company’s Annual Report on Form 10-K filed with the SEC on May 14, 2020)</w:t>
        </w:r>
      </w:hyperlink>
    </w:p>
    <w:p>
      <w:pPr>
        <w:spacing w:after="0" w:line="158" w:lineRule="exact"/>
        <w:rPr>
          <w:sz w:val="20"/>
          <w:szCs w:val="20"/>
          <w:color w:val="auto"/>
        </w:rPr>
      </w:pPr>
    </w:p>
    <w:p>
      <w:pPr>
        <w:ind w:left="1180" w:right="22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*10.13</w:t>
      </w:r>
      <w:r>
        <w:rPr>
          <w:sz w:val="20"/>
          <w:szCs w:val="20"/>
          <w:color w:val="auto"/>
        </w:rPr>
        <w:tab/>
      </w:r>
      <w:hyperlink r:id="rId79">
        <w:r>
          <w:rPr>
            <w:rFonts w:ascii="Arial" w:cs="Arial" w:eastAsia="Arial" w:hAnsi="Arial"/>
            <w:sz w:val="17"/>
            <w:szCs w:val="17"/>
            <w:u w:val="single" w:color="auto"/>
            <w:color w:val="0000EE"/>
          </w:rPr>
          <w:t>Employment Non-Compete, Non-Solicit and Confidentiality Agreement between the Company and David N.</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Makuen dated February 17, 2020 (incorporated by reference to Exhibit 10.1 to the Company’s Current Report on</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Form 8-K filed with the SEC on February 21, 2020)</w:t>
        </w:r>
      </w:hyperlink>
    </w:p>
    <w:p>
      <w:pPr>
        <w:spacing w:after="0" w:line="174" w:lineRule="exact"/>
        <w:rPr>
          <w:rFonts w:ascii="Arial" w:cs="Arial" w:eastAsia="Arial" w:hAnsi="Arial"/>
          <w:sz w:val="17"/>
          <w:szCs w:val="17"/>
          <w:u w:val="single" w:color="auto"/>
          <w:color w:val="0000EE"/>
        </w:rPr>
      </w:pPr>
    </w:p>
    <w:p>
      <w:pPr>
        <w:ind w:left="1180" w:right="1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*10.14</w:t>
      </w:r>
      <w:r>
        <w:rPr>
          <w:sz w:val="20"/>
          <w:szCs w:val="20"/>
          <w:color w:val="auto"/>
        </w:rPr>
        <w:tab/>
      </w:r>
      <w:hyperlink r:id="rId80">
        <w:r>
          <w:rPr>
            <w:rFonts w:ascii="Arial" w:cs="Arial" w:eastAsia="Arial" w:hAnsi="Arial"/>
            <w:sz w:val="17"/>
            <w:szCs w:val="17"/>
            <w:u w:val="single" w:color="auto"/>
            <w:color w:val="0000EE"/>
          </w:rPr>
          <w:t>Severance Agreement between the Company and David N. Makuen dated February 17, 2020 (incorporated by</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reference to Exhibit 10.2 to the Company’s Current Report on Form 8-K filed with the SEC on February 21, 2020)</w:t>
        </w:r>
      </w:hyperlink>
    </w:p>
    <w:p>
      <w:pPr>
        <w:spacing w:after="0" w:line="158" w:lineRule="exact"/>
        <w:rPr>
          <w:sz w:val="20"/>
          <w:szCs w:val="20"/>
          <w:color w:val="auto"/>
        </w:rPr>
      </w:pPr>
    </w:p>
    <w:p>
      <w:pPr>
        <w:jc w:val="both"/>
        <w:ind w:left="1180" w:right="30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*10.15</w:t>
      </w:r>
      <w:r>
        <w:rPr>
          <w:sz w:val="20"/>
          <w:szCs w:val="20"/>
          <w:color w:val="auto"/>
        </w:rPr>
        <w:tab/>
      </w:r>
      <w:hyperlink r:id="rId81">
        <w:r>
          <w:rPr>
            <w:rFonts w:ascii="Arial" w:cs="Arial" w:eastAsia="Arial" w:hAnsi="Arial"/>
            <w:sz w:val="17"/>
            <w:szCs w:val="17"/>
            <w:u w:val="single" w:color="auto"/>
            <w:color w:val="0000EE"/>
          </w:rPr>
          <w:t>Employment Non-Compete, Non-Solicit and Confidentiality Agreement, dated as of June 27, 2022, between Citi</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Trends, Inc. and Heather Plutino (incorporated by reference to Exhibit 10.1 to the Company’s Current Report on</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Form 8-K filed with the SEC on June 16, 2022)</w:t>
        </w:r>
      </w:hyperlink>
    </w:p>
    <w:p>
      <w:pPr>
        <w:spacing w:after="0" w:line="174" w:lineRule="exact"/>
        <w:rPr>
          <w:rFonts w:ascii="Arial" w:cs="Arial" w:eastAsia="Arial" w:hAnsi="Arial"/>
          <w:sz w:val="17"/>
          <w:szCs w:val="17"/>
          <w:u w:val="single" w:color="auto"/>
          <w:color w:val="0000EE"/>
        </w:rPr>
      </w:pPr>
    </w:p>
    <w:p>
      <w:pPr>
        <w:ind w:left="1180" w:right="12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*10.16</w:t>
      </w:r>
      <w:r>
        <w:rPr>
          <w:sz w:val="20"/>
          <w:szCs w:val="20"/>
          <w:color w:val="auto"/>
        </w:rPr>
        <w:tab/>
      </w:r>
      <w:hyperlink r:id="rId82">
        <w:r>
          <w:rPr>
            <w:rFonts w:ascii="Arial" w:cs="Arial" w:eastAsia="Arial" w:hAnsi="Arial"/>
            <w:sz w:val="17"/>
            <w:szCs w:val="17"/>
            <w:u w:val="single" w:color="auto"/>
            <w:color w:val="0000EE"/>
          </w:rPr>
          <w:t>Severance Agreement, dated as of June 27, 2022, between Citi Trends, Inc. and Heather Plutino (incorporated by</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reference to Exhibit 10.2 to the Company’s Current Report on Form 8-K filed with the SEC on June 16, 2022)</w:t>
        </w:r>
      </w:hyperlink>
    </w:p>
    <w:p>
      <w:pPr>
        <w:spacing w:after="0" w:line="158" w:lineRule="exact"/>
        <w:rPr>
          <w:sz w:val="20"/>
          <w:szCs w:val="20"/>
          <w:color w:val="auto"/>
        </w:rPr>
      </w:pPr>
    </w:p>
    <w:p>
      <w:pPr>
        <w:ind w:left="1180" w:right="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*10.17</w:t>
      </w:r>
      <w:r>
        <w:rPr>
          <w:sz w:val="20"/>
          <w:szCs w:val="20"/>
          <w:color w:val="auto"/>
        </w:rPr>
        <w:tab/>
      </w:r>
      <w:hyperlink r:id="rId83">
        <w:r>
          <w:rPr>
            <w:rFonts w:ascii="Arial" w:cs="Arial" w:eastAsia="Arial" w:hAnsi="Arial"/>
            <w:sz w:val="17"/>
            <w:szCs w:val="17"/>
            <w:u w:val="single" w:color="auto"/>
            <w:color w:val="0000EE"/>
          </w:rPr>
          <w:t>Employment Non-Compete, Non-Solicit and Confidentiality Agreement, dated as of February 15, 2023, between</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Citi Trends, Inc. and Vivek Bhargava (incorporated by reference to Exhibit 10.1 to the Company’s Quarterly Report</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on Form 10-Q filed with the SEC on June 7, 2023)</w:t>
        </w:r>
      </w:hyperlink>
    </w:p>
    <w:p>
      <w:pPr>
        <w:spacing w:after="0" w:line="187" w:lineRule="exact"/>
        <w:rPr>
          <w:rFonts w:ascii="Arial" w:cs="Arial" w:eastAsia="Arial" w:hAnsi="Arial"/>
          <w:sz w:val="17"/>
          <w:szCs w:val="17"/>
          <w:u w:val="single" w:color="auto"/>
          <w:color w:val="0000EE"/>
        </w:rPr>
      </w:pPr>
    </w:p>
    <w:p>
      <w:pPr>
        <w:ind w:left="1180" w:right="2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*10.18</w:t>
      </w:r>
      <w:r>
        <w:rPr>
          <w:sz w:val="20"/>
          <w:szCs w:val="20"/>
          <w:color w:val="auto"/>
        </w:rPr>
        <w:tab/>
      </w:r>
      <w:hyperlink r:id="rId84">
        <w:r>
          <w:rPr>
            <w:rFonts w:ascii="Arial" w:cs="Arial" w:eastAsia="Arial" w:hAnsi="Arial"/>
            <w:sz w:val="17"/>
            <w:szCs w:val="17"/>
            <w:u w:val="single" w:color="auto"/>
            <w:color w:val="0000EE"/>
          </w:rPr>
          <w:t>Severance Agreement, dated as of February 15, 2023, between Citi Trends, Inc. and Vivek Bhargava (incorporated</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by reference to Exhibit 10.2 to the Company’s Quarterly Report on Form 10-Q filed with the SEC on June 7, 2023)</w:t>
        </w:r>
      </w:hyperlink>
    </w:p>
    <w:p>
      <w:pPr>
        <w:spacing w:after="0" w:line="158" w:lineRule="exact"/>
        <w:rPr>
          <w:sz w:val="20"/>
          <w:szCs w:val="20"/>
          <w:color w:val="auto"/>
        </w:rPr>
      </w:pPr>
    </w:p>
    <w:p>
      <w:pPr>
        <w:ind w:left="1180" w:right="1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*10.19</w:t>
      </w:r>
      <w:r>
        <w:rPr>
          <w:sz w:val="20"/>
          <w:szCs w:val="20"/>
          <w:color w:val="auto"/>
        </w:rPr>
        <w:tab/>
      </w:r>
      <w:hyperlink r:id="rId85">
        <w:r>
          <w:rPr>
            <w:rFonts w:ascii="Arial" w:cs="Arial" w:eastAsia="Arial" w:hAnsi="Arial"/>
            <w:sz w:val="17"/>
            <w:szCs w:val="17"/>
            <w:u w:val="single" w:color="auto"/>
            <w:color w:val="0000EE"/>
          </w:rPr>
          <w:t>Employment Non-Compete, Non-Solicit and Confidentiality Agreement, dated as of March 24, 2018, between Citi</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Trends, Inc. and Kyle Koenig (incorporated by reference to Exhibit 10.1 to the Company’s Quarterly Report on</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Form 10-Q filed with the SEC on December 11, 2024)</w:t>
        </w:r>
      </w:hyperlink>
    </w:p>
    <w:p>
      <w:pPr>
        <w:spacing w:after="0" w:line="174" w:lineRule="exact"/>
        <w:rPr>
          <w:rFonts w:ascii="Arial" w:cs="Arial" w:eastAsia="Arial" w:hAnsi="Arial"/>
          <w:sz w:val="17"/>
          <w:szCs w:val="17"/>
          <w:u w:val="single" w:color="auto"/>
          <w:color w:val="0000EE"/>
        </w:rPr>
      </w:pPr>
    </w:p>
    <w:p>
      <w:pPr>
        <w:jc w:val="both"/>
        <w:ind w:left="1180" w:right="2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*10.20</w:t>
      </w:r>
      <w:r>
        <w:rPr>
          <w:sz w:val="20"/>
          <w:szCs w:val="20"/>
          <w:color w:val="auto"/>
        </w:rPr>
        <w:tab/>
      </w:r>
      <w:hyperlink r:id="rId86">
        <w:r>
          <w:rPr>
            <w:rFonts w:ascii="Arial" w:cs="Arial" w:eastAsia="Arial" w:hAnsi="Arial"/>
            <w:sz w:val="17"/>
            <w:szCs w:val="17"/>
            <w:u w:val="single" w:color="auto"/>
            <w:color w:val="0000EE"/>
          </w:rPr>
          <w:t>Severance Agreement, dated as of March 24, 2018, between Citi Trends, Inc. and Kyle Koenig (incorporated by</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reference to Exhibit 10.4 to the Company’s Quarterly Report on Form 10-Q filed with the SEC on September 11,</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2024)</w:t>
        </w:r>
      </w:hyperlink>
    </w:p>
    <w:p>
      <w:pPr>
        <w:spacing w:after="0" w:line="187" w:lineRule="exact"/>
        <w:rPr>
          <w:rFonts w:ascii="Arial" w:cs="Arial" w:eastAsia="Arial" w:hAnsi="Arial"/>
          <w:sz w:val="17"/>
          <w:szCs w:val="17"/>
          <w:u w:val="single" w:color="auto"/>
          <w:color w:val="0000EE"/>
        </w:rPr>
      </w:pPr>
    </w:p>
    <w:p>
      <w:pPr>
        <w:ind w:left="1180" w:right="12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87">
        <w:r>
          <w:rPr>
            <w:rFonts w:ascii="Arial" w:cs="Arial" w:eastAsia="Arial" w:hAnsi="Arial"/>
            <w:sz w:val="17"/>
            <w:szCs w:val="17"/>
            <w:u w:val="single" w:color="auto"/>
            <w:color w:val="0000EE"/>
          </w:rPr>
          <w:t>Employment Non-Compete, Non-Solicit and Confidentiality Agreement, dated as of September 6, 2024, between</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Citi Trends, Inc. and Katrina George (incorporated by reference to Exhibit 10.5 to the Company’s Quarterly Report</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on Form 10-Q filed with the SEC on September 11, 2024)</w:t>
        </w:r>
      </w:hyperlink>
    </w:p>
    <w:p>
      <w:pPr>
        <w:spacing w:after="0" w:line="174" w:lineRule="exact"/>
        <w:rPr>
          <w:rFonts w:ascii="Arial" w:cs="Arial" w:eastAsia="Arial" w:hAnsi="Arial"/>
          <w:sz w:val="17"/>
          <w:szCs w:val="17"/>
          <w:u w:val="single" w:color="auto"/>
          <w:color w:val="0000EE"/>
        </w:rPr>
      </w:pPr>
    </w:p>
    <w:p>
      <w:pPr>
        <w:jc w:val="both"/>
        <w:ind w:left="11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*10.22</w:t>
      </w:r>
      <w:r>
        <w:rPr>
          <w:sz w:val="20"/>
          <w:szCs w:val="20"/>
          <w:color w:val="auto"/>
        </w:rPr>
        <w:tab/>
      </w:r>
      <w:hyperlink r:id="rId88">
        <w:r>
          <w:rPr>
            <w:rFonts w:ascii="Arial" w:cs="Arial" w:eastAsia="Arial" w:hAnsi="Arial"/>
            <w:sz w:val="17"/>
            <w:szCs w:val="17"/>
            <w:u w:val="single" w:color="auto"/>
            <w:color w:val="0000EE"/>
          </w:rPr>
          <w:t>Severance Agreement, dated as of September 6, 2024, between Citi Trends, Inc. and Katrina George (incorporated</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by reference to Exhibit 10.6 to the Company’s Quarterly Report on Form 10-Q filed with the SEC on September 11,</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2024)</w:t>
        </w:r>
      </w:hyperlink>
    </w:p>
    <w:p>
      <w:pPr>
        <w:spacing w:after="0" w:line="174" w:lineRule="exact"/>
        <w:rPr>
          <w:rFonts w:ascii="Arial" w:cs="Arial" w:eastAsia="Arial" w:hAnsi="Arial"/>
          <w:sz w:val="17"/>
          <w:szCs w:val="17"/>
          <w:u w:val="single" w:color="auto"/>
          <w:color w:val="0000EE"/>
        </w:rPr>
      </w:pPr>
    </w:p>
    <w:p>
      <w:pPr>
        <w:jc w:val="both"/>
        <w:ind w:left="1180" w:right="10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*10.23</w:t>
      </w:r>
      <w:r>
        <w:rPr>
          <w:sz w:val="20"/>
          <w:szCs w:val="20"/>
          <w:color w:val="auto"/>
        </w:rPr>
        <w:tab/>
      </w:r>
      <w:hyperlink r:id="rId89">
        <w:r>
          <w:rPr>
            <w:rFonts w:ascii="Arial" w:cs="Arial" w:eastAsia="Arial" w:hAnsi="Arial"/>
            <w:sz w:val="17"/>
            <w:szCs w:val="17"/>
            <w:u w:val="single" w:color="auto"/>
            <w:color w:val="0000EE"/>
          </w:rPr>
          <w:t>Separation Agreement, dated May 31, 2024 to be effective as of June 1, 2024, between David N. Makuen and Citi</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Trends, Inc. (incorporated by reference to Exhibit 10.1 to the Company’s Current Report on Form 8-K filed with the</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SEC on May 31, 2024)</w:t>
        </w:r>
      </w:hyperlink>
    </w:p>
    <w:p>
      <w:pPr>
        <w:sectPr>
          <w:pgSz w:w="11900" w:h="16838" w:orient="portrait"/>
          <w:cols w:equalWidth="0" w:num="1">
            <w:col w:w="9900"/>
          </w:cols>
          <w:pgMar w:left="980" w:top="517" w:right="1019" w:bottom="1440" w:gutter="0" w:footer="0" w:header="0"/>
        </w:sectPr>
      </w:pPr>
    </w:p>
    <w:p>
      <w:pPr>
        <w:spacing w:after="0" w:line="200" w:lineRule="exact"/>
        <w:rPr>
          <w:rFonts w:ascii="Arial" w:cs="Arial" w:eastAsia="Arial" w:hAnsi="Arial"/>
          <w:sz w:val="17"/>
          <w:szCs w:val="17"/>
          <w:u w:val="single" w:color="auto"/>
          <w:color w:val="0000EE"/>
        </w:rPr>
      </w:pPr>
    </w:p>
    <w:p>
      <w:pPr>
        <w:spacing w:after="0" w:line="203" w:lineRule="exact"/>
        <w:rPr>
          <w:rFonts w:ascii="Arial" w:cs="Arial" w:eastAsia="Arial" w:hAnsi="Arial"/>
          <w:sz w:val="17"/>
          <w:szCs w:val="17"/>
          <w:u w:val="single" w:color="auto"/>
          <w:color w:val="0000EE"/>
        </w:rPr>
      </w:pPr>
    </w:p>
    <w:p>
      <w:pPr>
        <w:jc w:val="center"/>
        <w:ind w:right="-39"/>
        <w:spacing w:after="0"/>
        <w:rPr>
          <w:sz w:val="20"/>
          <w:szCs w:val="20"/>
          <w:color w:val="auto"/>
        </w:rPr>
      </w:pPr>
      <w:r>
        <w:rPr>
          <w:rFonts w:ascii="Calibri" w:cs="Calibri" w:eastAsia="Calibri" w:hAnsi="Calibri"/>
          <w:sz w:val="17"/>
          <w:szCs w:val="17"/>
          <w:color w:val="auto"/>
        </w:rPr>
        <w:t>52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358" w:lineRule="exact"/>
        <w:rPr>
          <w:sz w:val="20"/>
          <w:szCs w:val="20"/>
          <w:color w:val="auto"/>
        </w:rPr>
      </w:pPr>
    </w:p>
    <w:p>
      <w:pPr>
        <w:ind w:left="1180" w:right="180" w:hanging="795"/>
        <w:spacing w:after="0" w:line="284" w:lineRule="auto"/>
        <w:tabs>
          <w:tab w:leader="none" w:pos="116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7"/>
          <w:szCs w:val="17"/>
          <w:u w:val="single" w:color="auto"/>
          <w:color w:val="0000EE"/>
        </w:rPr>
        <w:t>Employment Non-Compete, Non-Solicit and Confidentiality Agreement, dated as of November 18, 2024, between Citi Trends, Inc. and Kenneth D. Seipel</w:t>
      </w:r>
    </w:p>
    <w:p>
      <w:pPr>
        <w:spacing w:after="0" w:line="158"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u w:val="single" w:color="auto"/>
          <w:color w:val="0000EE"/>
        </w:rPr>
        <w:t>Severance Agreement, dated as of November 18, 2024, between Citi Trends, Inc. and Kenneth D. Seipel</w:t>
      </w:r>
    </w:p>
    <w:p>
      <w:pPr>
        <w:spacing w:after="0" w:line="250" w:lineRule="exact"/>
        <w:rPr>
          <w:sz w:val="20"/>
          <w:szCs w:val="20"/>
          <w:color w:val="auto"/>
        </w:rPr>
      </w:pPr>
    </w:p>
    <w:p>
      <w:pPr>
        <w:ind w:left="1180" w:right="40" w:hanging="795"/>
        <w:spacing w:after="0" w:line="284" w:lineRule="auto"/>
        <w:tabs>
          <w:tab w:leader="none" w:pos="116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u w:val="single" w:color="auto"/>
          <w:color w:val="0000EE"/>
        </w:rPr>
        <w:t>Performance-Based Restricted Stock Award Agreement, dated as of November 18, 2024, between Citi Trends, Inc. and Kenneth D. Seipel</w:t>
      </w:r>
    </w:p>
    <w:p>
      <w:pPr>
        <w:spacing w:after="0" w:line="158" w:lineRule="exact"/>
        <w:rPr>
          <w:sz w:val="20"/>
          <w:szCs w:val="20"/>
          <w:color w:val="auto"/>
        </w:rPr>
      </w:pPr>
    </w:p>
    <w:p>
      <w:pPr>
        <w:ind w:left="1180" w:right="180" w:hanging="62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10.27</w:t>
      </w:r>
      <w:r>
        <w:rPr>
          <w:sz w:val="20"/>
          <w:szCs w:val="20"/>
          <w:color w:val="auto"/>
        </w:rPr>
        <w:tab/>
      </w:r>
      <w:hyperlink r:id="rId91">
        <w:r>
          <w:rPr>
            <w:rFonts w:ascii="Arial" w:cs="Arial" w:eastAsia="Arial" w:hAnsi="Arial"/>
            <w:sz w:val="17"/>
            <w:szCs w:val="17"/>
            <w:u w:val="single" w:color="auto"/>
            <w:color w:val="0000EE"/>
          </w:rPr>
          <w:t>Agreement for Purchase and Sale of Real Property, dated as of March 14, 2022, between Citi Trends, Inc. and an</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affiliate of Oak Street Real Estate Capital, LLC (incorporated by reference to Exhibit 10.2 to the Company’s</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Quarterly Report on Form 10-Q filed with the SEC on June 9, 2022)</w:t>
        </w:r>
      </w:hyperlink>
    </w:p>
    <w:p>
      <w:pPr>
        <w:spacing w:after="0" w:line="174" w:lineRule="exact"/>
        <w:rPr>
          <w:rFonts w:ascii="Arial" w:cs="Arial" w:eastAsia="Arial" w:hAnsi="Arial"/>
          <w:sz w:val="17"/>
          <w:szCs w:val="17"/>
          <w:u w:val="single" w:color="auto"/>
          <w:color w:val="0000EE"/>
        </w:rPr>
      </w:pPr>
    </w:p>
    <w:p>
      <w:pPr>
        <w:jc w:val="center"/>
        <w:ind w:left="1540"/>
        <w:spacing w:after="0" w:line="284"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10.28  </w:t>
      </w:r>
      <w:hyperlink r:id="rId92">
        <w:r>
          <w:rPr>
            <w:rFonts w:ascii="Arial" w:cs="Arial" w:eastAsia="Arial" w:hAnsi="Arial"/>
            <w:sz w:val="17"/>
            <w:szCs w:val="17"/>
            <w:u w:val="single" w:color="auto"/>
            <w:color w:val="0000EE"/>
          </w:rPr>
          <w:t>Lease Agreement, dated April 19, 2022, between Citi Trends, Inc. and CTDASC001 LLC (incorporated by reference</w:t>
        </w:r>
      </w:hyperlink>
      <w:r>
        <w:rPr>
          <w:rFonts w:ascii="Arial" w:cs="Arial" w:eastAsia="Arial" w:hAnsi="Arial"/>
          <w:sz w:val="17"/>
          <w:szCs w:val="17"/>
          <w:color w:val="auto"/>
        </w:rPr>
        <w:t xml:space="preserve"> </w:t>
      </w:r>
      <w:hyperlink r:id="rId92">
        <w:r>
          <w:rPr>
            <w:rFonts w:ascii="Arial" w:cs="Arial" w:eastAsia="Arial" w:hAnsi="Arial"/>
            <w:sz w:val="17"/>
            <w:szCs w:val="17"/>
            <w:u w:val="single" w:color="auto"/>
            <w:color w:val="0000EE"/>
          </w:rPr>
          <w:t>to Exhibit 10.3 to the Company’s Quarterly Report on Form 10-Q filed with the SEC on September 8, 2022)</w:t>
        </w:r>
      </w:hyperlink>
    </w:p>
    <w:p>
      <w:pPr>
        <w:spacing w:after="0" w:line="158" w:lineRule="exact"/>
        <w:rPr>
          <w:sz w:val="20"/>
          <w:szCs w:val="20"/>
          <w:color w:val="auto"/>
        </w:rPr>
      </w:pPr>
    </w:p>
    <w:p>
      <w:pPr>
        <w:ind w:left="1180" w:right="420" w:hanging="62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10.29</w:t>
      </w:r>
      <w:r>
        <w:rPr>
          <w:sz w:val="20"/>
          <w:szCs w:val="20"/>
          <w:color w:val="auto"/>
        </w:rPr>
        <w:tab/>
      </w:r>
      <w:hyperlink r:id="rId93">
        <w:r>
          <w:rPr>
            <w:rFonts w:ascii="Arial" w:cs="Arial" w:eastAsia="Arial" w:hAnsi="Arial"/>
            <w:sz w:val="17"/>
            <w:szCs w:val="17"/>
            <w:u w:val="single" w:color="auto"/>
            <w:color w:val="0000EE"/>
          </w:rPr>
          <w:t>Lease Agreement, dated September 6, 2022, between Citi Trends, Inc. and CTROOK2 LLC (incorporated by</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reference to Exhibit 10.1 to the Company’s Quarterly Report on Form 10-Q filed with the SEC on December 8,</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2022)</w:t>
        </w:r>
      </w:hyperlink>
    </w:p>
    <w:p>
      <w:pPr>
        <w:spacing w:after="0" w:line="17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7"/>
          <w:szCs w:val="17"/>
          <w:u w:val="single" w:color="auto"/>
          <w:color w:val="0000EE"/>
        </w:rPr>
        <w:t>Citi Trends, Inc. Insider Trading Policy</w:t>
      </w:r>
    </w:p>
    <w:p>
      <w:pPr>
        <w:spacing w:after="0" w:line="250"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u w:val="single" w:color="auto"/>
          <w:color w:val="0000EE"/>
        </w:rPr>
        <w:t>Subsidiary of the Registrant</w:t>
      </w:r>
    </w:p>
    <w:p>
      <w:pPr>
        <w:spacing w:after="0" w:line="250"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6"/>
          <w:szCs w:val="16"/>
          <w:u w:val="single" w:color="auto"/>
          <w:color w:val="0000EE"/>
        </w:rPr>
        <w:t>Consent of Deloitte &amp; Touche LLP</w:t>
      </w:r>
    </w:p>
    <w:p>
      <w:pPr>
        <w:spacing w:after="0" w:line="250"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EE"/>
        </w:rPr>
        <w:t>Certification of Principal Executive Officer, as adopted pursuant to Section 302 of the Sarbanes-Oxley Act of 2002</w:t>
      </w:r>
    </w:p>
    <w:p>
      <w:pPr>
        <w:spacing w:after="0" w:line="250"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EE"/>
        </w:rPr>
        <w:t>Certification of Principal Financial Officer, as adopted pursuant to Section 302 of the Sarbanes-Oxley Act of 2002</w:t>
      </w:r>
    </w:p>
    <w:p>
      <w:pPr>
        <w:spacing w:after="0" w:line="250" w:lineRule="exact"/>
        <w:rPr>
          <w:rFonts w:ascii="Arial" w:cs="Arial" w:eastAsia="Arial" w:hAnsi="Arial"/>
          <w:sz w:val="17"/>
          <w:szCs w:val="17"/>
          <w:u w:val="single" w:color="auto"/>
          <w:color w:val="0000EE"/>
        </w:rPr>
      </w:pPr>
    </w:p>
    <w:p>
      <w:pPr>
        <w:ind w:left="1180" w:right="40" w:hanging="634"/>
        <w:spacing w:after="0" w:line="284"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EE"/>
        </w:rPr>
        <w:t>Certification of Principal Executive Officer, pursuant to 18 U.S.C. Section 1350, as adopted pursuant to Section 906 of the Sarbanes-Oxley Act of 2002</w:t>
      </w:r>
    </w:p>
    <w:p>
      <w:pPr>
        <w:spacing w:after="0" w:line="158" w:lineRule="exact"/>
        <w:rPr>
          <w:rFonts w:ascii="Arial" w:cs="Arial" w:eastAsia="Arial" w:hAnsi="Arial"/>
          <w:sz w:val="17"/>
          <w:szCs w:val="17"/>
          <w:u w:val="single" w:color="auto"/>
          <w:color w:val="0000EE"/>
        </w:rPr>
      </w:pPr>
    </w:p>
    <w:p>
      <w:pPr>
        <w:ind w:left="1180" w:right="100" w:hanging="634"/>
        <w:spacing w:after="0" w:line="284"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EE"/>
        </w:rPr>
        <w:t>Certification of Principal Financial Officer, pursuant to 18 U.S.C. Section 1350, as adopted pursuant to Section 906 of the Sarbanes-Oxley Act of 2002</w:t>
      </w:r>
    </w:p>
    <w:p>
      <w:pPr>
        <w:spacing w:after="0" w:line="158" w:lineRule="exact"/>
        <w:rPr>
          <w:rFonts w:ascii="Arial" w:cs="Arial" w:eastAsia="Arial" w:hAnsi="Arial"/>
          <w:sz w:val="17"/>
          <w:szCs w:val="17"/>
          <w:u w:val="single" w:color="auto"/>
          <w:color w:val="0000EE"/>
        </w:rPr>
      </w:pPr>
    </w:p>
    <w:p>
      <w:pPr>
        <w:ind w:left="1180" w:right="36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97.1</w:t>
      </w:r>
      <w:r>
        <w:rPr>
          <w:sz w:val="20"/>
          <w:szCs w:val="20"/>
          <w:color w:val="auto"/>
        </w:rPr>
        <w:tab/>
      </w:r>
      <w:hyperlink r:id="rId94">
        <w:r>
          <w:rPr>
            <w:rFonts w:ascii="Arial" w:cs="Arial" w:eastAsia="Arial" w:hAnsi="Arial"/>
            <w:sz w:val="17"/>
            <w:szCs w:val="17"/>
            <w:u w:val="single" w:color="auto"/>
            <w:color w:val="0000EE"/>
          </w:rPr>
          <w:t>Citi Trends, Inc. Policy for Recovery of Erroneously Awarded Compensation, adopted December 1, 2023</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(incorporated by reference to Exhibit 97.1 to the Company’s Annual Report on Form 10-K filed with the SEC on</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April 18, 2024)</w:t>
        </w:r>
      </w:hyperlink>
    </w:p>
    <w:p>
      <w:pPr>
        <w:spacing w:after="0" w:line="174" w:lineRule="exact"/>
        <w:rPr>
          <w:rFonts w:ascii="Arial" w:cs="Arial" w:eastAsia="Arial" w:hAnsi="Arial"/>
          <w:sz w:val="17"/>
          <w:szCs w:val="17"/>
          <w:u w:val="single" w:color="auto"/>
          <w:color w:val="0000EE"/>
        </w:rPr>
      </w:pPr>
    </w:p>
    <w:p>
      <w:pPr>
        <w:ind w:left="1180" w:right="360" w:hanging="579"/>
        <w:spacing w:after="0" w:line="284" w:lineRule="auto"/>
        <w:tabs>
          <w:tab w:leader="none" w:pos="1160" w:val="left"/>
        </w:tabs>
        <w:rPr>
          <w:sz w:val="20"/>
          <w:szCs w:val="20"/>
          <w:color w:val="auto"/>
        </w:rPr>
      </w:pPr>
      <w:r>
        <w:rPr>
          <w:rFonts w:ascii="Arial" w:cs="Arial" w:eastAsia="Arial" w:hAnsi="Arial"/>
          <w:sz w:val="17"/>
          <w:szCs w:val="17"/>
          <w:color w:val="auto"/>
        </w:rPr>
        <w:t>+101</w:t>
        <w:tab/>
        <w:t>Inline XBRL Document Set for the consolidated financial statements and accompanying notes in Part II, Item 8, “Financial Statements and Supplementary Data” of this Annual Report on Form 10-K</w:t>
      </w:r>
    </w:p>
    <w:p>
      <w:pPr>
        <w:spacing w:after="0" w:line="158" w:lineRule="exact"/>
        <w:rPr>
          <w:rFonts w:ascii="Arial" w:cs="Arial" w:eastAsia="Arial" w:hAnsi="Arial"/>
          <w:sz w:val="17"/>
          <w:szCs w:val="17"/>
          <w:u w:val="single" w:color="auto"/>
          <w:color w:val="0000EE"/>
        </w:rPr>
      </w:pPr>
    </w:p>
    <w:p>
      <w:pPr>
        <w:ind w:left="1180" w:right="640" w:hanging="579"/>
        <w:spacing w:after="0" w:line="284" w:lineRule="auto"/>
        <w:tabs>
          <w:tab w:leader="none" w:pos="1160" w:val="left"/>
        </w:tabs>
        <w:rPr>
          <w:sz w:val="20"/>
          <w:szCs w:val="20"/>
          <w:color w:val="auto"/>
        </w:rPr>
      </w:pPr>
      <w:r>
        <w:rPr>
          <w:rFonts w:ascii="Arial" w:cs="Arial" w:eastAsia="Arial" w:hAnsi="Arial"/>
          <w:sz w:val="17"/>
          <w:szCs w:val="17"/>
          <w:color w:val="auto"/>
        </w:rPr>
        <w:t>+104</w:t>
        <w:tab/>
        <w:t>Inline XBRL for the cover page of this Annual Report on Form 10-K, included in the Exhibit 101 Inline XBRL Document Set</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1568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EE"/>
        </w:rPr>
      </w:pPr>
    </w:p>
    <w:p>
      <w:pPr>
        <w:spacing w:after="0" w:line="289" w:lineRule="exact"/>
        <w:rPr>
          <w:rFonts w:ascii="Arial" w:cs="Arial" w:eastAsia="Arial" w:hAnsi="Arial"/>
          <w:sz w:val="17"/>
          <w:szCs w:val="17"/>
          <w:u w:val="single" w:color="auto"/>
          <w:color w:val="0000EE"/>
        </w:rPr>
      </w:pPr>
    </w:p>
    <w:p>
      <w:pPr>
        <w:ind w:left="380" w:hanging="372"/>
        <w:spacing w:after="0"/>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42" w:lineRule="exact"/>
        <w:rPr>
          <w:rFonts w:ascii="Arial" w:cs="Arial" w:eastAsia="Arial" w:hAnsi="Arial"/>
          <w:sz w:val="17"/>
          <w:szCs w:val="17"/>
          <w:u w:val="single" w:color="auto"/>
          <w:color w:val="0000EE"/>
        </w:rPr>
      </w:pPr>
    </w:p>
    <w:p>
      <w:pPr>
        <w:ind w:left="380" w:hanging="372"/>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200" w:lineRule="exact"/>
        <w:rPr>
          <w:rFonts w:ascii="Arial" w:cs="Arial" w:eastAsia="Arial" w:hAnsi="Arial"/>
          <w:sz w:val="17"/>
          <w:szCs w:val="17"/>
          <w:u w:val="single" w:color="auto"/>
          <w:color w:val="0000EE"/>
        </w:rPr>
      </w:pPr>
    </w:p>
    <w:p>
      <w:pPr>
        <w:spacing w:after="0" w:line="266" w:lineRule="exact"/>
        <w:rPr>
          <w:rFonts w:ascii="Arial" w:cs="Arial" w:eastAsia="Arial" w:hAnsi="Arial"/>
          <w:sz w:val="17"/>
          <w:szCs w:val="17"/>
          <w:u w:val="single" w:color="auto"/>
          <w:color w:val="0000EE"/>
        </w:rPr>
      </w:pPr>
    </w:p>
    <w:p>
      <w:pPr>
        <w:spacing w:after="0"/>
        <w:tabs>
          <w:tab w:leader="none" w:pos="9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14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9920"/>
          </w:cols>
          <w:pgMar w:left="980" w:top="517" w:right="999" w:bottom="1440" w:gutter="0" w:footer="0" w:header="0"/>
        </w:sectPr>
      </w:pPr>
    </w:p>
    <w:p>
      <w:pPr>
        <w:spacing w:after="0" w:line="200" w:lineRule="exact"/>
        <w:rPr>
          <w:rFonts w:ascii="Arial" w:cs="Arial" w:eastAsia="Arial" w:hAnsi="Arial"/>
          <w:sz w:val="17"/>
          <w:szCs w:val="17"/>
          <w:u w:val="single" w:color="auto"/>
          <w:color w:val="0000EE"/>
        </w:rPr>
      </w:pPr>
    </w:p>
    <w:p>
      <w:pPr>
        <w:spacing w:after="0" w:line="387"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Calibri" w:cs="Calibri" w:eastAsia="Calibri" w:hAnsi="Calibri"/>
          <w:sz w:val="17"/>
          <w:szCs w:val="17"/>
          <w:color w:val="auto"/>
        </w:rPr>
        <w:t>53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4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CITI TRENDS,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(Registrant)</w:t>
      </w:r>
    </w:p>
    <w:p>
      <w:pPr>
        <w:spacing w:after="0" w:line="219" w:lineRule="exact"/>
        <w:rPr>
          <w:sz w:val="20"/>
          <w:szCs w:val="20"/>
          <w:color w:val="auto"/>
        </w:rPr>
      </w:pPr>
    </w:p>
    <w:p>
      <w:pPr>
        <w:spacing w:after="0"/>
        <w:tabs>
          <w:tab w:leader="none" w:pos="6260" w:val="left"/>
          <w:tab w:leader="none" w:pos="6580" w:val="left"/>
        </w:tabs>
        <w:rPr>
          <w:sz w:val="20"/>
          <w:szCs w:val="20"/>
          <w:color w:val="auto"/>
        </w:rPr>
      </w:pPr>
      <w:r>
        <w:rPr>
          <w:rFonts w:ascii="Arial" w:cs="Arial" w:eastAsia="Arial" w:hAnsi="Arial"/>
          <w:sz w:val="16"/>
          <w:szCs w:val="16"/>
          <w:color w:val="auto"/>
        </w:rPr>
        <w:t>Date: April 16, 2025</w:t>
      </w:r>
      <w:r>
        <w:rPr>
          <w:sz w:val="20"/>
          <w:szCs w:val="20"/>
          <w:color w:val="auto"/>
        </w:rPr>
        <w:tab/>
      </w:r>
      <w:r>
        <w:rPr>
          <w:rFonts w:ascii="Arial" w:cs="Arial" w:eastAsia="Arial" w:hAnsi="Arial"/>
          <w:sz w:val="16"/>
          <w:szCs w:val="16"/>
          <w:color w:val="auto"/>
        </w:rPr>
        <w:t>By</w:t>
        <w:tab/>
        <w:t>/s/ Kenneth D. Seipel</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-115570</wp:posOffset>
            </wp:positionV>
            <wp:extent cx="2040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(Principal Executive Officer)</w:t>
      </w:r>
    </w:p>
    <w:p>
      <w:pPr>
        <w:spacing w:after="0" w:line="12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60" w:type="dxa"/>
            <w:vAlign w:val="bottom"/>
            <w:tcBorders>
              <w:bottom w:val="single" w:sz="8" w:color="auto"/>
            </w:tcBorders>
          </w:tcPr>
          <w:p>
            <w:pPr>
              <w:ind w:left="900"/>
              <w:spacing w:after="0"/>
              <w:rPr>
                <w:sz w:val="20"/>
                <w:szCs w:val="20"/>
                <w:color w:val="auto"/>
              </w:rPr>
            </w:pPr>
            <w:r>
              <w:rPr>
                <w:rFonts w:ascii="Arial" w:cs="Arial" w:eastAsia="Arial" w:hAnsi="Arial"/>
                <w:sz w:val="17"/>
                <w:szCs w:val="17"/>
                <w:b w:val="1"/>
                <w:bCs w:val="1"/>
                <w:color w:val="auto"/>
              </w:rPr>
              <w:t>Signature</w:t>
            </w:r>
          </w:p>
        </w:tc>
        <w:tc>
          <w:tcPr>
            <w:tcW w:w="340" w:type="dxa"/>
            <w:vAlign w:val="bottom"/>
          </w:tcPr>
          <w:p>
            <w:pPr>
              <w:spacing w:after="0"/>
              <w:rPr>
                <w:sz w:val="21"/>
                <w:szCs w:val="21"/>
                <w:color w:val="auto"/>
              </w:rPr>
            </w:pPr>
          </w:p>
        </w:tc>
        <w:tc>
          <w:tcPr>
            <w:tcW w:w="4920" w:type="dxa"/>
            <w:vAlign w:val="bottom"/>
            <w:tcBorders>
              <w:bottom w:val="single" w:sz="8" w:color="auto"/>
            </w:tcBorders>
          </w:tcPr>
          <w:p>
            <w:pPr>
              <w:ind w:left="2280"/>
              <w:spacing w:after="0"/>
              <w:rPr>
                <w:sz w:val="20"/>
                <w:szCs w:val="20"/>
                <w:color w:val="auto"/>
              </w:rPr>
            </w:pPr>
            <w:r>
              <w:rPr>
                <w:rFonts w:ascii="Arial" w:cs="Arial" w:eastAsia="Arial" w:hAnsi="Arial"/>
                <w:sz w:val="17"/>
                <w:szCs w:val="17"/>
                <w:b w:val="1"/>
                <w:bCs w:val="1"/>
                <w:color w:val="auto"/>
              </w:rPr>
              <w:t>Title</w:t>
            </w:r>
          </w:p>
        </w:tc>
        <w:tc>
          <w:tcPr>
            <w:tcW w:w="32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473"/>
        </w:trPr>
        <w:tc>
          <w:tcPr>
            <w:tcW w:w="2560" w:type="dxa"/>
            <w:vAlign w:val="bottom"/>
          </w:tcPr>
          <w:p>
            <w:pPr>
              <w:spacing w:after="0"/>
              <w:rPr>
                <w:sz w:val="20"/>
                <w:szCs w:val="20"/>
                <w:color w:val="auto"/>
              </w:rPr>
            </w:pPr>
            <w:r>
              <w:rPr>
                <w:rFonts w:ascii="Arial" w:cs="Arial" w:eastAsia="Arial" w:hAnsi="Arial"/>
                <w:sz w:val="17"/>
                <w:szCs w:val="17"/>
                <w:color w:val="auto"/>
              </w:rPr>
              <w:t>/s/ Kenneth D. Seipel</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Chief Executive Officer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5580" w:type="dxa"/>
            <w:vAlign w:val="bottom"/>
            <w:gridSpan w:val="3"/>
            <w:vMerge w:val="restart"/>
          </w:tcPr>
          <w:p>
            <w:pPr>
              <w:ind w:left="340"/>
              <w:spacing w:after="0"/>
              <w:rPr>
                <w:sz w:val="20"/>
                <w:szCs w:val="20"/>
                <w:color w:val="auto"/>
              </w:rPr>
            </w:pPr>
            <w:r>
              <w:rPr>
                <w:rFonts w:ascii="Arial" w:cs="Arial" w:eastAsia="Arial" w:hAnsi="Arial"/>
                <w:sz w:val="17"/>
                <w:szCs w:val="17"/>
                <w:color w:val="auto"/>
              </w:rPr>
              <w:t>(Principal Executive Officer) and Chairman</w:t>
            </w: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Kenneth D. Seipel</w:t>
            </w:r>
          </w:p>
        </w:tc>
        <w:tc>
          <w:tcPr>
            <w:tcW w:w="558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Heather Plutino</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Chief Financial Officer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5580" w:type="dxa"/>
            <w:vAlign w:val="bottom"/>
            <w:gridSpan w:val="3"/>
            <w:vMerge w:val="restart"/>
          </w:tcPr>
          <w:p>
            <w:pPr>
              <w:ind w:left="340"/>
              <w:spacing w:after="0"/>
              <w:rPr>
                <w:sz w:val="20"/>
                <w:szCs w:val="20"/>
                <w:color w:val="auto"/>
              </w:rPr>
            </w:pPr>
            <w:r>
              <w:rPr>
                <w:rFonts w:ascii="Arial" w:cs="Arial" w:eastAsia="Arial" w:hAnsi="Arial"/>
                <w:sz w:val="17"/>
                <w:szCs w:val="17"/>
                <w:color w:val="auto"/>
              </w:rPr>
              <w:t>(Principal Financial and Accounting Officer)</w:t>
            </w: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Heather Plutino</w:t>
            </w:r>
          </w:p>
        </w:tc>
        <w:tc>
          <w:tcPr>
            <w:tcW w:w="558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Wesley Calvert</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Wesley Calvert</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Pamela Edwards</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Pamela Edwards</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David Heath</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David Heath</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Margaret L. Jenkins</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Margaret L. Jenkins</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Michael S. Kvitko</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Michael S. Kvitko</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Charles Liu</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Charles Liu</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Cara Robinson</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16, 2025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Cara Robinson</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17" w:right="1179" w:bottom="1440" w:gutter="0" w:footer="0" w:header="0"/>
        </w:sectPr>
      </w:pPr>
    </w:p>
    <w:bookmarkStart w:id="54" w:name="page55"/>
    <w:bookmarkEnd w:id="54"/>
    <w:p>
      <w:pPr>
        <w:jc w:val="right"/>
        <w:ind w:right="219"/>
        <w:spacing w:after="0"/>
        <w:rPr>
          <w:sz w:val="20"/>
          <w:szCs w:val="20"/>
          <w:color w:val="auto"/>
        </w:rPr>
      </w:pPr>
      <w:r>
        <w:rPr>
          <w:rFonts w:ascii="Arial" w:cs="Arial" w:eastAsia="Arial" w:hAnsi="Arial"/>
          <w:sz w:val="17"/>
          <w:szCs w:val="17"/>
          <w:color w:val="auto"/>
        </w:rPr>
        <w:t>Exhibit 10.7</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AMENDMENT TO THE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CITI TRENDS,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INCENTIVE PLAN</w:t>
      </w:r>
    </w:p>
    <w:p>
      <w:pPr>
        <w:spacing w:after="0" w:line="200" w:lineRule="exact"/>
        <w:rPr>
          <w:sz w:val="20"/>
          <w:szCs w:val="20"/>
          <w:color w:val="auto"/>
        </w:rPr>
      </w:pPr>
    </w:p>
    <w:p>
      <w:pPr>
        <w:spacing w:after="0" w:line="29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This Second Amendment to the Citi Trends, Inc. 2021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has been approved and adopted by the Compensation Committee of the Board of Directors of Citi Trends,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be effective as of November 18, 2024.</w:t>
      </w:r>
    </w:p>
    <w:p>
      <w:pPr>
        <w:spacing w:after="0" w:line="213" w:lineRule="exact"/>
        <w:rPr>
          <w:sz w:val="20"/>
          <w:szCs w:val="20"/>
          <w:color w:val="auto"/>
        </w:rPr>
      </w:pPr>
    </w:p>
    <w:p>
      <w:pPr>
        <w:ind w:left="1500" w:hanging="643"/>
        <w:spacing w:after="0"/>
        <w:tabs>
          <w:tab w:leader="none" w:pos="1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hereby amended by deleting Section 2.1(g)(ii) and replacing it with the</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236" w:lineRule="exact"/>
        <w:rPr>
          <w:sz w:val="20"/>
          <w:szCs w:val="20"/>
          <w:color w:val="auto"/>
        </w:rPr>
      </w:pPr>
    </w:p>
    <w:p>
      <w:pPr>
        <w:jc w:val="both"/>
        <w:ind w:left="620" w:right="219"/>
        <w:spacing w:after="0" w:line="247" w:lineRule="auto"/>
        <w:rPr>
          <w:sz w:val="20"/>
          <w:szCs w:val="20"/>
          <w:color w:val="auto"/>
        </w:rPr>
      </w:pPr>
      <w:r>
        <w:rPr>
          <w:rFonts w:ascii="Times New Roman" w:cs="Times New Roman" w:eastAsia="Times New Roman" w:hAnsi="Times New Roman"/>
          <w:sz w:val="22"/>
          <w:szCs w:val="22"/>
          <w:color w:val="auto"/>
        </w:rPr>
        <w:t xml:space="preserve">“any Person becomes a Beneficial Owner, directly or indirectly, of either (A) 50% or more of the then-outstanding shares of common stock of the Company (“Company Common Stock”) or (B) securities of the Company representing 50% or more of the combined voting power of the Company’s then outstanding securities eligible to vote for the election of directors (the “Company Voting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subsection (ii), the following acquisitions of Company Common Stock or Company Voting Securities shall not constitute a Change in Control: (w) an acquisition directly from the Company, (x) an acquisition by the Company or a Subsidiary, (y) an acquisition by any employee benefit plan (or related trust) sponsored or maintained by the Company or any Subsidiary, or (z) an acquisition pursuant to a Non-Qualifying Transaction (as defined in subsection (iii) below); or”</w:t>
      </w:r>
    </w:p>
    <w:p>
      <w:pPr>
        <w:spacing w:after="0" w:line="228" w:lineRule="exact"/>
        <w:rPr>
          <w:sz w:val="20"/>
          <w:szCs w:val="20"/>
          <w:color w:val="auto"/>
        </w:rPr>
      </w:pPr>
    </w:p>
    <w:p>
      <w:pPr>
        <w:ind w:left="200" w:right="219" w:firstLine="657"/>
        <w:spacing w:after="0" w:line="271" w:lineRule="auto"/>
        <w:tabs>
          <w:tab w:leader="none" w:pos="14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terms of the Plan shall be and remain unchanged and the Plan as amended hereby shall remain in full force and effect.</w:t>
      </w:r>
    </w:p>
    <w:p>
      <w:pPr>
        <w:spacing w:after="0" w:line="198" w:lineRule="exact"/>
        <w:rPr>
          <w:sz w:val="20"/>
          <w:szCs w:val="20"/>
          <w:color w:val="auto"/>
        </w:rPr>
      </w:pPr>
    </w:p>
    <w:p>
      <w:pPr>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Amendment to be executed by its duly authorized representative on the day and year first above written.</w:t>
      </w: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CITI TRENDS, INC.</w:t>
      </w: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-13970</wp:posOffset>
            </wp:positionV>
            <wp:extent cx="2879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2879090" cy="8255"/>
                    </a:xfrm>
                    <a:prstGeom prst="rect">
                      <a:avLst/>
                    </a:prstGeom>
                    <a:noFill/>
                  </pic:spPr>
                </pic:pic>
              </a:graphicData>
            </a:graphic>
          </wp:anchor>
        </w:drawing>
      </w:r>
    </w:p>
    <w:p>
      <w:pPr>
        <w:spacing w:after="0" w:line="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Kenneth D. Seipel, Chief Executive Officer</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LEGAL02/45253017v1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17"/>
          <w:szCs w:val="17"/>
          <w:color w:val="auto"/>
        </w:rPr>
        <w:t>Exhibit 10.24</w:t>
      </w:r>
    </w:p>
    <w:p>
      <w:pPr>
        <w:spacing w:after="0" w:line="200" w:lineRule="exact"/>
        <w:rPr>
          <w:sz w:val="20"/>
          <w:szCs w:val="20"/>
          <w:color w:val="auto"/>
        </w:rPr>
      </w:pPr>
    </w:p>
    <w:p>
      <w:pPr>
        <w:spacing w:after="0" w:line="243" w:lineRule="exact"/>
        <w:rPr>
          <w:sz w:val="20"/>
          <w:szCs w:val="20"/>
          <w:color w:val="auto"/>
        </w:rPr>
      </w:pPr>
    </w:p>
    <w:p>
      <w:pPr>
        <w:jc w:val="center"/>
        <w:ind w:left="1660" w:right="54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EMPLOYMENT NON-COMPETE, NON-SOLICIT AND CONFIDENTIALITY AGREEMENT</w:t>
      </w:r>
    </w:p>
    <w:p>
      <w:pPr>
        <w:spacing w:after="0" w:line="154"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This EMPLOYMENT NON-COMPETE, NON-SOLICIT AND CONFIDENTIALITY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Citi Trends, Inc., including its subsidiaries, affiliates, divisions, successors, and related entities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Kenneth D. Seipel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effective as of November 18,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80" w:lineRule="exact"/>
        <w:rPr>
          <w:sz w:val="20"/>
          <w:szCs w:val="20"/>
          <w:color w:val="auto"/>
        </w:rPr>
      </w:pPr>
    </w:p>
    <w:p>
      <w:pPr>
        <w:jc w:val="both"/>
        <w:ind w:left="200" w:right="219" w:firstLine="9"/>
        <w:spacing w:after="0" w:line="235" w:lineRule="auto"/>
        <w:tabs>
          <w:tab w:leader="none" w:pos="8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Scope of Services</w:t>
      </w:r>
      <w:r>
        <w:rPr>
          <w:rFonts w:ascii="Times New Roman" w:cs="Times New Roman" w:eastAsia="Times New Roman" w:hAnsi="Times New Roman"/>
          <w:sz w:val="22"/>
          <w:szCs w:val="22"/>
          <w:color w:val="auto"/>
        </w:rPr>
        <w:t>. As of the Effective Date, Company shall employ and/or continue to employ Employee, and Employee shall be employed and/or continue to be employed by Company, as Chief Executive Officer. Employee shall use his best efforts and shall devote his full time, attention, knowledge and skills to the faithful performance of his duties and responsibilities as a Company employee. Employee shall have such authority and such other duties and responsibilities as assigned by the Board of Directors. Employee shall comply with Company’s policies and procedures, shall conduct himself as an ethical business professional, and shall comply with federal, state and local laws.</w:t>
      </w:r>
    </w:p>
    <w:p>
      <w:pPr>
        <w:spacing w:after="0" w:line="178" w:lineRule="exact"/>
        <w:rPr>
          <w:rFonts w:ascii="Times New Roman" w:cs="Times New Roman" w:eastAsia="Times New Roman" w:hAnsi="Times New Roman"/>
          <w:sz w:val="22"/>
          <w:szCs w:val="22"/>
          <w:color w:val="auto"/>
        </w:rPr>
      </w:pPr>
    </w:p>
    <w:p>
      <w:pPr>
        <w:ind w:left="200" w:right="219" w:firstLine="9"/>
        <w:spacing w:after="0" w:line="236" w:lineRule="auto"/>
        <w:tabs>
          <w:tab w:leader="none" w:pos="8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(1) the retail sale of value-priced/off-price family apparel is an extremely competitive industry; (2) Company has an ongoing strategy for expansion of its business in the United States; (3) Company’s major competitors operate throughout the United States and some internationally; and (4) because of Employee’s position as Chief Executive Officer, 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184"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and includes any and all Company data and information in any form whatsoever (tangible or intangible) which: (1) relates to the business of Company, irrespective of whether the data or information constitutes a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624840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Times New Roman" w:cs="Times New Roman" w:eastAsia="Times New Roman" w:hAnsi="Times New Roman"/>
          <w:sz w:val="22"/>
          <w:szCs w:val="22"/>
          <w:u w:val="single" w:color="auto"/>
          <w:color w:val="auto"/>
        </w:rPr>
        <w:t>Trade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Secret</w:t>
      </w:r>
      <w:r>
        <w:rPr>
          <w:rFonts w:ascii="Times New Roman" w:cs="Times New Roman" w:eastAsia="Times New Roman" w:hAnsi="Times New Roman"/>
          <w:sz w:val="22"/>
          <w:szCs w:val="22"/>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85" w:lineRule="exact"/>
        <w:rPr>
          <w:sz w:val="20"/>
          <w:szCs w:val="20"/>
          <w:color w:val="auto"/>
        </w:rPr>
      </w:pPr>
    </w:p>
    <w:p>
      <w:pPr>
        <w:jc w:val="both"/>
        <w:ind w:left="200" w:right="219" w:firstLine="657"/>
        <w:spacing w:after="0" w:line="233" w:lineRule="auto"/>
        <w:tabs>
          <w:tab w:leader="none" w:pos="14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he shall hold all Confidential Information and Trade Secrets in strictest confidence, and that he shall protect such Confidential Information and Trade Secrets from disclosure by or to others. Employee further agrees that 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82"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87"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7" w:name="page58"/>
    <w:bookmarkEnd w:id="57"/>
    <w:p>
      <w:pPr>
        <w:ind w:left="200" w:right="219"/>
        <w:spacing w:after="0" w:line="258" w:lineRule="auto"/>
        <w:rPr>
          <w:sz w:val="20"/>
          <w:szCs w:val="20"/>
          <w:color w:val="auto"/>
        </w:rPr>
      </w:pPr>
      <w:r>
        <w:rPr>
          <w:rFonts w:ascii="Times New Roman" w:cs="Times New Roman" w:eastAsia="Times New Roman" w:hAnsi="Times New Roman"/>
          <w:sz w:val="22"/>
          <w:szCs w:val="22"/>
          <w:color w:val="auto"/>
        </w:rPr>
        <w:t>proceeding if Employee (A) files any document containing the trade secret under seal; and (B) does not disclose the trade secret, except as permitted by court order.</w:t>
      </w:r>
    </w:p>
    <w:p>
      <w:pPr>
        <w:spacing w:after="0" w:line="158" w:lineRule="exact"/>
        <w:rPr>
          <w:sz w:val="20"/>
          <w:szCs w:val="20"/>
          <w:color w:val="auto"/>
        </w:rPr>
      </w:pPr>
    </w:p>
    <w:p>
      <w:pPr>
        <w:jc w:val="both"/>
        <w:ind w:left="200" w:right="219" w:firstLine="9"/>
        <w:spacing w:after="0" w:line="247" w:lineRule="auto"/>
        <w:tabs>
          <w:tab w:leader="none" w:pos="84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 Not to Compete</w:t>
      </w:r>
      <w:r>
        <w:rPr>
          <w:rFonts w:ascii="Times New Roman" w:cs="Times New Roman" w:eastAsia="Times New Roman" w:hAnsi="Times New Roman"/>
          <w:sz w:val="21"/>
          <w:szCs w:val="21"/>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72"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83"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In light of the foregoing, Employee agrees that he will not, at any point during his employment with Company, work for or engage or participate in any business, enterprise, or endeavor that in any way competes with any aspect of Company’s business or that otherwise conflicts with Company’s interests. In addition, for a period of one (1)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 Company; or (b) perform or provide any services which are the same as or substantially similar to any of the services which Employee performed or provided for the Company, for or on behalf of any Competitor. For purposes of this Section 4, the term “</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shall mean only the following businesses, commonly known as: Cato, TJX (including without limitation TJMAXX and Marshalls), Burlington Stores, Gabe’s/Rugged Wearhouse, and Ross Stores.</w:t>
      </w:r>
    </w:p>
    <w:p>
      <w:pPr>
        <w:spacing w:after="0" w:line="180" w:lineRule="exact"/>
        <w:rPr>
          <w:sz w:val="20"/>
          <w:szCs w:val="20"/>
          <w:color w:val="auto"/>
        </w:rPr>
      </w:pPr>
    </w:p>
    <w:p>
      <w:pPr>
        <w:jc w:val="both"/>
        <w:ind w:left="200" w:right="219" w:firstLine="9"/>
        <w:spacing w:after="0" w:line="234"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Solicit</w:t>
      </w:r>
      <w:r>
        <w:rPr>
          <w:rFonts w:ascii="Times New Roman" w:cs="Times New Roman" w:eastAsia="Times New Roman" w:hAnsi="Times New Roman"/>
          <w:sz w:val="22"/>
          <w:szCs w:val="22"/>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Times New Roman" w:cs="Times New Roman" w:eastAsia="Times New Roman" w:hAnsi="Times New Roman"/>
          <w:sz w:val="22"/>
          <w:szCs w:val="22"/>
          <w:u w:val="single" w:color="auto"/>
          <w:color w:val="auto"/>
        </w:rPr>
        <w:t>Merchandise Vendors</w:t>
      </w:r>
      <w:r>
        <w:rPr>
          <w:rFonts w:ascii="Times New Roman" w:cs="Times New Roman" w:eastAsia="Times New Roman" w:hAnsi="Times New Roman"/>
          <w:sz w:val="22"/>
          <w:szCs w:val="22"/>
          <w:color w:val="auto"/>
        </w:rPr>
        <w:t>” means and 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8" w:name="page59"/>
    <w:bookmarkEnd w:id="58"/>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agreement, “</w:t>
      </w:r>
      <w:r>
        <w:rPr>
          <w:rFonts w:ascii="Times New Roman" w:cs="Times New Roman" w:eastAsia="Times New Roman" w:hAnsi="Times New Roman"/>
          <w:sz w:val="22"/>
          <w:szCs w:val="22"/>
          <w:u w:val="single" w:color="auto"/>
          <w:color w:val="auto"/>
        </w:rPr>
        <w:t>material contact</w:t>
      </w:r>
      <w:r>
        <w:rPr>
          <w:rFonts w:ascii="Times New Roman" w:cs="Times New Roman" w:eastAsia="Times New Roman" w:hAnsi="Times New Roman"/>
          <w:sz w:val="22"/>
          <w:szCs w:val="22"/>
          <w:color w:val="auto"/>
        </w:rPr>
        <w:t>” means contact between Employee and an existing or prospective Merchandise Vendor: (a) 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83"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Employee specifically acknowledges and agrees that, as Chief Executive Officer, his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80" w:lineRule="exact"/>
        <w:rPr>
          <w:sz w:val="20"/>
          <w:szCs w:val="20"/>
          <w:color w:val="auto"/>
        </w:rPr>
      </w:pPr>
    </w:p>
    <w:p>
      <w:pPr>
        <w:jc w:val="both"/>
        <w:ind w:left="200" w:right="219" w:firstLine="9"/>
        <w:spacing w:after="0" w:line="236" w:lineRule="auto"/>
        <w:tabs>
          <w:tab w:leader="none" w:pos="8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Recruit Personnel</w:t>
      </w:r>
      <w:r>
        <w:rPr>
          <w:rFonts w:ascii="Times New Roman" w:cs="Times New Roman" w:eastAsia="Times New Roman" w:hAnsi="Times New Roman"/>
          <w:sz w:val="22"/>
          <w:szCs w:val="22"/>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 relationship with Company.</w:t>
      </w:r>
    </w:p>
    <w:p>
      <w:pPr>
        <w:spacing w:after="0" w:line="181" w:lineRule="exact"/>
        <w:rPr>
          <w:rFonts w:ascii="Times New Roman" w:cs="Times New Roman" w:eastAsia="Times New Roman" w:hAnsi="Times New Roman"/>
          <w:sz w:val="22"/>
          <w:szCs w:val="22"/>
          <w:color w:val="auto"/>
        </w:rPr>
      </w:pPr>
    </w:p>
    <w:p>
      <w:pPr>
        <w:jc w:val="both"/>
        <w:ind w:left="200" w:right="219" w:firstLine="9"/>
        <w:spacing w:after="0" w:line="233" w:lineRule="auto"/>
        <w:tabs>
          <w:tab w:leader="none" w:pos="8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spacing w:after="0" w:line="182"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Covenants</w:t>
      </w:r>
      <w:r>
        <w:rPr>
          <w:rFonts w:ascii="Times New Roman" w:cs="Times New Roman" w:eastAsia="Times New Roman" w:hAnsi="Times New Roman"/>
          <w:sz w:val="22"/>
          <w:szCs w:val="22"/>
          <w:color w:val="auto"/>
        </w:rPr>
        <w:t>. All rights and covenants contained in Sections 3, 4, 5, and 6 of this Agreement, and all remedies relating thereto, shall survive the termination of this Agreement for any reason.</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covenants, terms, and provisions set forth in this Agreement shall inure to the benefit of and be enforceable by Company and its successors, assigns, and 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9" w:name="page60"/>
    <w:bookmarkEnd w:id="59"/>
    <w:p>
      <w:pPr>
        <w:jc w:val="both"/>
        <w:ind w:left="200" w:right="219" w:firstLine="9"/>
        <w:spacing w:after="0" w:line="244" w:lineRule="auto"/>
        <w:tabs>
          <w:tab w:leader="none" w:pos="8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6" w:lineRule="auto"/>
        <w:tabs>
          <w:tab w:leader="none" w:pos="8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 with Rights</w:t>
      </w:r>
      <w:r>
        <w:rPr>
          <w:rFonts w:ascii="Times New Roman" w:cs="Times New Roman" w:eastAsia="Times New Roman" w:hAnsi="Times New Roman"/>
          <w:sz w:val="22"/>
          <w:szCs w:val="22"/>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Reasonableness/Remedies/Enforcement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46" w:lineRule="auto"/>
        <w:tabs>
          <w:tab w:leader="none" w:pos="1496"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75" w:lineRule="exact"/>
        <w:rPr>
          <w:rFonts w:ascii="Times New Roman" w:cs="Times New Roman" w:eastAsia="Times New Roman" w:hAnsi="Times New Roman"/>
          <w:sz w:val="21"/>
          <w:szCs w:val="21"/>
          <w:color w:val="auto"/>
        </w:rPr>
      </w:pPr>
    </w:p>
    <w:p>
      <w:pPr>
        <w:jc w:val="both"/>
        <w:ind w:left="200" w:right="219" w:firstLine="657"/>
        <w:spacing w:after="0" w:line="244" w:lineRule="auto"/>
        <w:tabs>
          <w:tab w:leader="none" w:pos="149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45" w:lineRule="auto"/>
        <w:tabs>
          <w:tab w:leader="none" w:pos="84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0" w:name="page61"/>
    <w:bookmarkEnd w:id="60"/>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EMPLOYEE ACKNOWLEDGES AND AGREES THAT HE HAS CAREFULLY READ THIS AGREEMENT AND KNOWS AND UNDERSTANDS ITS CONTENTS, THAT HE ENTERS INTO THIS AGREEMENT KNOWINGLY AND VOLUNTARILY, AND THAT HE INDICATES HIS CONSENT BY SIGNING THIS FINAL PAGE.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TO FOLLOW ON NEXT PAGE)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1" w:name="page62"/>
    <w:bookmarkEnd w:id="61"/>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under seal as of the day and year set forth below, to be effective as of the Effective Date.</w:t>
      </w: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4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Citi Trends, Inc.</w:t>
            </w:r>
          </w:p>
        </w:tc>
        <w:tc>
          <w:tcPr>
            <w:tcW w:w="31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Kenneth D. Seipel</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Employee Name: Kenneth D. Seipel</w:t>
            </w:r>
          </w:p>
        </w:tc>
        <w:tc>
          <w:tcPr>
            <w:tcW w:w="0" w:type="dxa"/>
            <w:vAlign w:val="bottom"/>
          </w:tcPr>
          <w:p>
            <w:pPr>
              <w:spacing w:after="0"/>
              <w:rPr>
                <w:sz w:val="1"/>
                <w:szCs w:val="1"/>
                <w:color w:val="auto"/>
              </w:rPr>
            </w:pPr>
          </w:p>
        </w:tc>
      </w:tr>
      <w:tr>
        <w:trPr>
          <w:trHeight w:val="433"/>
        </w:trPr>
        <w:tc>
          <w:tcPr>
            <w:tcW w:w="44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Peter R. Sachse</w:t>
            </w:r>
          </w:p>
        </w:tc>
        <w:tc>
          <w:tcPr>
            <w:tcW w:w="31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Date: November 18, 2024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4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Name: Peter R. Sachse</w:t>
            </w: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4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Title: Chairman of the Board of Directors</w:t>
            </w:r>
          </w:p>
        </w:tc>
        <w:tc>
          <w:tcPr>
            <w:tcW w:w="314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auto"/>
              </w:rPr>
              <w:t>Employee Residence Address:</w:t>
            </w:r>
          </w:p>
        </w:tc>
        <w:tc>
          <w:tcPr>
            <w:tcW w:w="0" w:type="dxa"/>
            <w:vAlign w:val="bottom"/>
          </w:tcPr>
          <w:p>
            <w:pPr>
              <w:spacing w:after="0"/>
              <w:rPr>
                <w:sz w:val="1"/>
                <w:szCs w:val="1"/>
                <w:color w:val="auto"/>
              </w:rPr>
            </w:pPr>
          </w:p>
        </w:tc>
      </w:tr>
      <w:tr>
        <w:trPr>
          <w:trHeight w:val="243"/>
        </w:trPr>
        <w:tc>
          <w:tcPr>
            <w:tcW w:w="440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auto"/>
              </w:rPr>
              <w:t>Date: November 18, 2024</w:t>
            </w:r>
          </w:p>
        </w:tc>
        <w:tc>
          <w:tcPr>
            <w:tcW w:w="31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400" w:type="dxa"/>
            <w:vAlign w:val="bottom"/>
            <w:gridSpan w:val="5"/>
            <w:vMerge w:val="continue"/>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2" w:name="page63"/>
    <w:bookmarkEnd w:id="62"/>
    <w:p>
      <w:pPr>
        <w:jc w:val="right"/>
        <w:ind w:right="219"/>
        <w:spacing w:after="0"/>
        <w:rPr>
          <w:sz w:val="20"/>
          <w:szCs w:val="20"/>
          <w:color w:val="auto"/>
        </w:rPr>
      </w:pPr>
      <w:r>
        <w:rPr>
          <w:rFonts w:ascii="Arial" w:cs="Arial" w:eastAsia="Arial" w:hAnsi="Arial"/>
          <w:sz w:val="17"/>
          <w:szCs w:val="17"/>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SEVERANCE AGREEMENT</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This SEVERANCE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Citi Trends, Inc., a Delaware corporation, including its subsidiaries, affiliates, divisions, successors, and related entities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Kenneth D. Seipel, an individual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effective as of November 18,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WHEREAS, the Company and the Executive are also parties to an Employment Non-Compete, Non-Solicit and Confidentiality Agreement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and certain restricted stock award and stock option agreements (collectively, the “</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which are to remain in full force and effect;</w:t>
      </w:r>
    </w:p>
    <w:p>
      <w:pPr>
        <w:spacing w:after="0" w:line="18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agreements set forth herein, the parties agree as follows:</w:t>
      </w:r>
    </w:p>
    <w:p>
      <w:pPr>
        <w:spacing w:after="0" w:line="154" w:lineRule="exact"/>
        <w:rPr>
          <w:sz w:val="20"/>
          <w:szCs w:val="20"/>
          <w:color w:val="auto"/>
        </w:rPr>
      </w:pPr>
    </w:p>
    <w:p>
      <w:pPr>
        <w:jc w:val="both"/>
        <w:ind w:left="200" w:right="219" w:firstLine="9"/>
        <w:spacing w:after="0" w:line="237" w:lineRule="auto"/>
        <w:tabs>
          <w:tab w:leader="none" w:pos="8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Payments and Benefits. </w:t>
      </w:r>
      <w:r>
        <w:rPr>
          <w:rFonts w:ascii="Times New Roman" w:cs="Times New Roman" w:eastAsia="Times New Roman" w:hAnsi="Times New Roman"/>
          <w:sz w:val="22"/>
          <w:szCs w:val="22"/>
          <w:color w:val="auto"/>
        </w:rPr>
        <w:t>Regardless of the circumstances of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thirtieth (30th) day following the Executive’s termination, provided the Executive executes and does not subsequently revoke the Separation and General Release Agreement referenced below within such sixty (60) day period.</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49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82" w:lineRule="auto"/>
        <w:tabs>
          <w:tab w:leader="none" w:pos="1496"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separation payments and benefits described in Sections 1(a) and 1(b), above, are conditioned upon Executive executing a Separation and General Release Agreement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539750</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of termination, which releases and waives any and all claims against the Company and its affiliated persons and companies, and is acceptable to the Company.</w:t>
      </w:r>
    </w:p>
    <w:p>
      <w:pPr>
        <w:spacing w:after="0" w:line="158" w:lineRule="exact"/>
        <w:rPr>
          <w:sz w:val="20"/>
          <w:szCs w:val="20"/>
          <w:color w:val="auto"/>
        </w:rPr>
      </w:pPr>
    </w:p>
    <w:p>
      <w:pPr>
        <w:jc w:val="both"/>
        <w:ind w:left="200" w:right="219" w:firstLine="657"/>
        <w:spacing w:after="0" w:line="244" w:lineRule="auto"/>
        <w:tabs>
          <w:tab w:leader="none" w:pos="14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other circumstances of separation, including if the Executive resigns, retires or is terminated for Cause, the Executive shall not be entitled to receive any separation payments or benefits.</w:t>
      </w:r>
    </w:p>
    <w:p>
      <w:pPr>
        <w:spacing w:after="0" w:line="17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Executive’s:</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of an act of fraud or dishonesty, the purpose or effect of which, in the Board’s sole determination, adversely affects the Company;</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conviction of a felony or a crime involving embezzlement, conversion of property or moral turpitude (whether by plea of nolo contendere or otherwise);</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willful or reckless misconduct or gross negligence in connection with any property or activity of the Company, the purpose or effect of which, in the Board’s sole determination, adversely affects the Company;</w:t>
      </w:r>
    </w:p>
    <w:p>
      <w:pPr>
        <w:spacing w:after="0" w:line="173" w:lineRule="exact"/>
        <w:rPr>
          <w:rFonts w:ascii="Times New Roman" w:cs="Times New Roman" w:eastAsia="Times New Roman" w:hAnsi="Times New Roman"/>
          <w:sz w:val="22"/>
          <w:szCs w:val="22"/>
          <w:color w:val="auto"/>
        </w:rPr>
      </w:pPr>
    </w:p>
    <w:p>
      <w:pPr>
        <w:jc w:val="both"/>
        <w:ind w:left="300" w:right="219" w:firstLine="1205"/>
        <w:spacing w:after="0" w:line="241" w:lineRule="auto"/>
        <w:tabs>
          <w:tab w:leader="none" w:pos="216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any of the Executive’s obligations as an employee or stockholder as set forth in the Company’s Information Security Policies and Code of Business</w:t>
      </w:r>
    </w:p>
    <w:p>
      <w:pPr>
        <w:spacing w:after="0" w:line="2"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Conduct, the Confidentiality Agreement or any other agreement in effect between the Company and the Executive; provided that, in the event such breach is susceptible to cure, the Executive has been given written notice by the Board of such breach and thirty (30) days from such notice fails to cure the breach; or</w:t>
      </w:r>
    </w:p>
    <w:p>
      <w:pPr>
        <w:spacing w:after="0" w:line="177" w:lineRule="exact"/>
        <w:rPr>
          <w:sz w:val="20"/>
          <w:szCs w:val="20"/>
          <w:color w:val="auto"/>
        </w:rPr>
      </w:pPr>
    </w:p>
    <w:p>
      <w:pPr>
        <w:jc w:val="both"/>
        <w:ind w:left="200" w:right="219" w:firstLine="1305"/>
        <w:spacing w:after="0" w:line="236"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Board of such failure, refusal or breach and thirty</w:t>
      </w:r>
    </w:p>
    <w:p>
      <w:pPr>
        <w:ind w:left="620" w:hanging="411"/>
        <w:spacing w:after="0"/>
        <w:tabs>
          <w:tab w:leader="none" w:pos="6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such notice fails to cure such failure, refusal or breach.</w:t>
      </w:r>
    </w:p>
    <w:p>
      <w:pPr>
        <w:spacing w:after="0" w:line="178" w:lineRule="exact"/>
        <w:rPr>
          <w:sz w:val="20"/>
          <w:szCs w:val="20"/>
          <w:color w:val="auto"/>
        </w:rPr>
      </w:pPr>
    </w:p>
    <w:p>
      <w:pPr>
        <w:jc w:val="both"/>
        <w:ind w:left="200" w:right="219" w:firstLine="9"/>
        <w:spacing w:after="0" w:line="238" w:lineRule="auto"/>
        <w:tabs>
          <w:tab w:leader="none" w:pos="8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Notice. </w:t>
      </w:r>
      <w:r>
        <w:rPr>
          <w:rFonts w:ascii="Times New Roman" w:cs="Times New Roman" w:eastAsia="Times New Roman" w:hAnsi="Times New Roman"/>
          <w:sz w:val="22"/>
          <w:szCs w:val="22"/>
          <w:color w:val="auto"/>
        </w:rPr>
        <w:t>The Executive will send all communications to the Company in writing,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Vice President of Human Resources, Citi 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41" w:lineRule="auto"/>
        <w:tabs>
          <w:tab w:leader="none" w:pos="8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No provisions of this Agreement may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by a written document signed by a duly authorized Company officer and the Executive. A waiver of any conditions or provisions of this Agreement in a given instance shall not be deemed a waiver of such conditions or provisions at any other time in the future.</w:t>
      </w:r>
    </w:p>
    <w:p>
      <w:pPr>
        <w:spacing w:after="0" w:line="171" w:lineRule="exact"/>
        <w:rPr>
          <w:rFonts w:ascii="Times New Roman" w:cs="Times New Roman" w:eastAsia="Times New Roman" w:hAnsi="Times New Roman"/>
          <w:sz w:val="22"/>
          <w:szCs w:val="22"/>
          <w:color w:val="auto"/>
        </w:rPr>
      </w:pPr>
    </w:p>
    <w:p>
      <w:pPr>
        <w:jc w:val="both"/>
        <w:ind w:left="200" w:right="219" w:firstLine="9"/>
        <w:spacing w:after="0" w:line="256" w:lineRule="auto"/>
        <w:tabs>
          <w:tab w:leader="none" w:pos="84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Choice of Law and Venue. </w:t>
      </w:r>
      <w:r>
        <w:rPr>
          <w:rFonts w:ascii="Times New Roman" w:cs="Times New Roman" w:eastAsia="Times New Roman" w:hAnsi="Times New Roman"/>
          <w:sz w:val="21"/>
          <w:szCs w:val="21"/>
          <w:color w:val="auto"/>
        </w:rPr>
        <w:t>The validity, interpretation, construction, and performance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governed by the laws of the State of Georgia (excluding any that mandate the use of another jurisdiction’s laws). Any action to enforce or for breach of this Agreement shall be brought exclusively in the state or federal courts of the County of Chatham, City of Savannah.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64" w:name="page65"/>
    <w:bookmarkEnd w:id="64"/>
    <w:p>
      <w:pPr>
        <w:jc w:val="both"/>
        <w:ind w:left="200" w:right="219" w:firstLine="9"/>
        <w:spacing w:after="0" w:line="237" w:lineRule="auto"/>
        <w:tabs>
          <w:tab w:leader="none" w:pos="8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Successors. </w:t>
      </w:r>
      <w:r>
        <w:rPr>
          <w:rFonts w:ascii="Times New Roman" w:cs="Times New Roman" w:eastAsia="Times New Roman" w:hAnsi="Times New Roman"/>
          <w:sz w:val="22"/>
          <w:szCs w:val="22"/>
          <w:color w:val="auto"/>
        </w:rPr>
        <w:t>This Agreement shall be binding upon, and shall inure to the benefit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75" w:lineRule="exact"/>
        <w:rPr>
          <w:rFonts w:ascii="Times New Roman" w:cs="Times New Roman" w:eastAsia="Times New Roman" w:hAnsi="Times New Roman"/>
          <w:sz w:val="22"/>
          <w:szCs w:val="22"/>
          <w:color w:val="auto"/>
        </w:rPr>
      </w:pPr>
    </w:p>
    <w:p>
      <w:pPr>
        <w:jc w:val="both"/>
        <w:ind w:left="200" w:right="219" w:firstLine="9"/>
        <w:spacing w:after="0" w:line="246" w:lineRule="auto"/>
        <w:tabs>
          <w:tab w:leader="none" w:pos="8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Agreement may be executed in one or more counterparts,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deemed to be an original but all of which together shall constitute the same instrument.</w:t>
      </w:r>
    </w:p>
    <w:p>
      <w:pPr>
        <w:spacing w:after="0" w:line="167" w:lineRule="exact"/>
        <w:rPr>
          <w:rFonts w:ascii="Times New Roman" w:cs="Times New Roman" w:eastAsia="Times New Roman" w:hAnsi="Times New Roman"/>
          <w:sz w:val="22"/>
          <w:szCs w:val="22"/>
          <w:color w:val="auto"/>
        </w:rPr>
      </w:pPr>
    </w:p>
    <w:p>
      <w:pPr>
        <w:jc w:val="both"/>
        <w:ind w:left="200" w:right="219" w:firstLine="9"/>
        <w:spacing w:after="0" w:line="233" w:lineRule="auto"/>
        <w:tabs>
          <w:tab w:leader="none" w:pos="8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Agreement and the Confidentiality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constitute the 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4" w:lineRule="exact"/>
        <w:rPr>
          <w:rFonts w:ascii="Times New Roman" w:cs="Times New Roman" w:eastAsia="Times New Roman" w:hAnsi="Times New Roman"/>
          <w:sz w:val="22"/>
          <w:szCs w:val="22"/>
          <w:color w:val="auto"/>
        </w:rPr>
      </w:pPr>
    </w:p>
    <w:p>
      <w:pPr>
        <w:jc w:val="both"/>
        <w:ind w:left="200" w:right="219" w:firstLine="9"/>
        <w:spacing w:after="0" w:line="286" w:lineRule="auto"/>
        <w:tabs>
          <w:tab w:leader="none" w:pos="84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Employment At-Will Relationship. </w:t>
      </w:r>
      <w:r>
        <w:rPr>
          <w:rFonts w:ascii="Times New Roman" w:cs="Times New Roman" w:eastAsia="Times New Roman" w:hAnsi="Times New Roman"/>
          <w:sz w:val="21"/>
          <w:szCs w:val="21"/>
          <w:color w:val="auto"/>
        </w:rPr>
        <w:t>Executive and the Company agree that nothing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alters the at-will nature of Executive’s employment relationship with the Company.</w:t>
      </w:r>
    </w:p>
    <w:p>
      <w:pPr>
        <w:spacing w:after="0" w:line="126"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8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Internal Revenue Code Section 409A. </w:t>
      </w:r>
      <w:r>
        <w:rPr>
          <w:rFonts w:ascii="Times New Roman" w:cs="Times New Roman" w:eastAsia="Times New Roman" w:hAnsi="Times New Roman"/>
          <w:sz w:val="22"/>
          <w:szCs w:val="22"/>
          <w:color w:val="auto"/>
        </w:rPr>
        <w:t>Notwithstanding anything in this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contrary, to the extent that any amount or benefit that would constitute non-exempt “deferred compensation” for purposes of Section 409A of the Internal Revenue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65" w:name="page66"/>
    <w:bookmarkEnd w:id="65"/>
    <w:p>
      <w:pPr>
        <w:ind w:left="200" w:right="25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set their hands as of the day and year set forth below, to be effective as of the Effective Date.</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CITI TRENDS, INC.</w:t>
      </w:r>
    </w:p>
    <w:p>
      <w:pPr>
        <w:spacing w:after="0" w:line="200" w:lineRule="exact"/>
        <w:rPr>
          <w:sz w:val="20"/>
          <w:szCs w:val="20"/>
          <w:color w:val="auto"/>
        </w:rPr>
      </w:pPr>
    </w:p>
    <w:p>
      <w:pPr>
        <w:spacing w:after="0" w:line="276"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R. Sachse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-13970</wp:posOffset>
            </wp:positionV>
            <wp:extent cx="10356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Peter R. Sachse</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Chairman of the Board of Directors</w:t>
      </w:r>
    </w:p>
    <w:p>
      <w:pPr>
        <w:spacing w:after="0" w:line="20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Dated: 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-13335</wp:posOffset>
            </wp:positionV>
            <wp:extent cx="9671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2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u w:val="single" w:color="auto"/>
          <w:color w:val="auto"/>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-13970</wp:posOffset>
            </wp:positionV>
            <wp:extent cx="129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Employee Name: Kenneth D. Seipel</w:t>
      </w:r>
    </w:p>
    <w:p>
      <w:pPr>
        <w:spacing w:after="0" w:line="20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Dated: 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-13335</wp:posOffset>
            </wp:positionV>
            <wp:extent cx="9671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color w:val="auto"/>
        </w:rPr>
        <w:t>Exhibit 10.26</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w:t>
      </w:r>
      <w:r>
        <w:rPr>
          <w:rFonts w:ascii="Times New Roman" w:cs="Times New Roman" w:eastAsia="Times New Roman" w:hAnsi="Times New Roman"/>
          <w:sz w:val="20"/>
          <w:szCs w:val="20"/>
          <w:b w:val="1"/>
          <w:bCs w:val="1"/>
          <w:color w:val="auto"/>
        </w:rPr>
        <w:t>iti</w:t>
      </w:r>
      <w:r>
        <w:rPr>
          <w:rFonts w:ascii="Times New Roman" w:cs="Times New Roman" w:eastAsia="Times New Roman" w:hAnsi="Times New Roman"/>
          <w:sz w:val="29"/>
          <w:szCs w:val="29"/>
          <w:b w:val="1"/>
          <w:bCs w:val="1"/>
          <w:color w:val="auto"/>
        </w:rPr>
        <w:t xml:space="preserve"> T</w:t>
      </w:r>
      <w:r>
        <w:rPr>
          <w:rFonts w:ascii="Times New Roman" w:cs="Times New Roman" w:eastAsia="Times New Roman" w:hAnsi="Times New Roman"/>
          <w:sz w:val="20"/>
          <w:szCs w:val="20"/>
          <w:b w:val="1"/>
          <w:bCs w:val="1"/>
          <w:color w:val="auto"/>
        </w:rPr>
        <w:t>rends</w:t>
      </w:r>
      <w:r>
        <w:rPr>
          <w:rFonts w:ascii="Times New Roman" w:cs="Times New Roman" w:eastAsia="Times New Roman" w:hAnsi="Times New Roman"/>
          <w:sz w:val="29"/>
          <w:szCs w:val="29"/>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PERFORMANCE-BASED RESTRICTED STOCK</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AWARD AGREEMENT</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i w:val="1"/>
          <w:iCs w:val="1"/>
          <w:color w:val="auto"/>
        </w:rPr>
        <w:t>Non-transferable</w:t>
      </w:r>
    </w:p>
    <w:p>
      <w:pPr>
        <w:spacing w:after="0" w:line="237"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22"/>
          <w:szCs w:val="22"/>
          <w:color w:val="auto"/>
        </w:rPr>
        <w:t>G R A N T</w:t>
      </w:r>
      <w:r>
        <w:rPr>
          <w:sz w:val="20"/>
          <w:szCs w:val="20"/>
          <w:color w:val="auto"/>
        </w:rPr>
        <w:tab/>
      </w:r>
      <w:r>
        <w:rPr>
          <w:rFonts w:ascii="Times New Roman" w:cs="Times New Roman" w:eastAsia="Times New Roman" w:hAnsi="Times New Roman"/>
          <w:sz w:val="21"/>
          <w:szCs w:val="21"/>
          <w:color w:val="auto"/>
        </w:rPr>
        <w:t>T O</w:t>
      </w:r>
    </w:p>
    <w:p>
      <w:pPr>
        <w:spacing w:after="0" w:line="2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Kenneth D. Seipel</w:t>
      </w:r>
    </w:p>
    <w:p>
      <w:pPr>
        <w:spacing w:after="0" w:line="1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i w:val="1"/>
          <w:iCs w:val="1"/>
          <w:color w:val="auto"/>
        </w:rPr>
        <w:t>(“Grantee”)</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by Citi Trends, Inc. (the “Company”) of 321,502 restricted shares of its common stock, $0.01 par value (the “Restricted Shares”), pursuant to and subject to the provisions of the Citi Trends, Inc. 2021 Incentive Compensation Plan, as amended (the “Plan”), and to the terms and conditions set forth on the following pages of this award agreement (this “Agreement”). Capitalized terms used herein and not otherwise defined shall have the meanings assigned to such terms in the Plan.</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Restricted Shares shall be earned based on the Company’s attainment of stock price goals set forth in Section 2 of this Agreement, and shall vest (become non-forfeitable) based on Grantee remaining in Continuous Service with the Company or its Affiliates as defined and set forth in Section 3 of this Agreement, subject to the terms and conditions of this Agreement.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accepting this award, Grantee shall be deemed to have agreed to the terms and conditions of this Agreement and the Plan.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WITNESS WHEREOF, Citi Trends, Inc., acting by and through its duly authorized officers, has caused this Agreement to be executed as of the grant date indicated below (the “Grant Date”).</w:t>
      </w:r>
    </w:p>
    <w:p>
      <w:pPr>
        <w:spacing w:after="0" w:line="199" w:lineRule="exact"/>
        <w:rPr>
          <w:sz w:val="20"/>
          <w:szCs w:val="20"/>
          <w:color w:val="auto"/>
        </w:rPr>
      </w:pPr>
    </w:p>
    <w:p>
      <w:pPr>
        <w:ind w:left="80"/>
        <w:spacing w:after="0"/>
        <w:tabs>
          <w:tab w:leader="none" w:pos="4860" w:val="left"/>
        </w:tabs>
        <w:rPr>
          <w:sz w:val="20"/>
          <w:szCs w:val="20"/>
          <w:color w:val="auto"/>
        </w:rPr>
      </w:pPr>
      <w:r>
        <w:rPr>
          <w:rFonts w:ascii="Times New Roman" w:cs="Times New Roman" w:eastAsia="Times New Roman" w:hAnsi="Times New Roman"/>
          <w:sz w:val="22"/>
          <w:szCs w:val="22"/>
          <w:color w:val="auto"/>
        </w:rPr>
        <w:t>CITI TRENDS, INC.</w:t>
      </w:r>
      <w:r>
        <w:rPr>
          <w:sz w:val="20"/>
          <w:szCs w:val="20"/>
          <w:color w:val="auto"/>
        </w:rPr>
        <w:tab/>
      </w:r>
      <w:r>
        <w:rPr>
          <w:rFonts w:ascii="Times New Roman" w:cs="Times New Roman" w:eastAsia="Times New Roman" w:hAnsi="Times New Roman"/>
          <w:sz w:val="21"/>
          <w:szCs w:val="21"/>
          <w:color w:val="auto"/>
        </w:rPr>
        <w:t>Grant Date: November 18, 2024</w:t>
      </w:r>
    </w:p>
    <w:p>
      <w:pPr>
        <w:spacing w:after="0" w:line="26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Accepted by Grantee:</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Peter R. Sachse</w:t>
      </w:r>
    </w:p>
    <w:p>
      <w:pPr>
        <w:spacing w:after="0" w:line="4" w:lineRule="exact"/>
        <w:rPr>
          <w:sz w:val="20"/>
          <w:szCs w:val="20"/>
          <w:color w:val="auto"/>
        </w:rPr>
      </w:pPr>
    </w:p>
    <w:p>
      <w:pPr>
        <w:ind w:left="80"/>
        <w:spacing w:after="0"/>
        <w:tabs>
          <w:tab w:leader="none" w:pos="4860" w:val="left"/>
        </w:tabs>
        <w:rPr>
          <w:sz w:val="20"/>
          <w:szCs w:val="20"/>
          <w:color w:val="auto"/>
        </w:rPr>
      </w:pPr>
      <w:r>
        <w:rPr>
          <w:rFonts w:ascii="Times New Roman" w:cs="Times New Roman" w:eastAsia="Times New Roman" w:hAnsi="Times New Roman"/>
          <w:sz w:val="22"/>
          <w:szCs w:val="22"/>
          <w:color w:val="auto"/>
        </w:rPr>
        <w:t>Name: Peter R. Sachse</w:t>
      </w:r>
      <w:r>
        <w:rPr>
          <w:sz w:val="20"/>
          <w:szCs w:val="20"/>
          <w:color w:val="auto"/>
        </w:rPr>
        <w:tab/>
      </w:r>
      <w:r>
        <w:rPr>
          <w:rFonts w:ascii="Times New Roman" w:cs="Times New Roman" w:eastAsia="Times New Roman" w:hAnsi="Times New Roman"/>
          <w:sz w:val="21"/>
          <w:szCs w:val="21"/>
          <w:u w:val="single" w:color="auto"/>
          <w:color w:val="auto"/>
        </w:rPr>
        <w:t>/s/ Kenneth D. Seipel</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Its: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04329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ectPr>
          <w:pgSz w:w="11900" w:h="16838" w:orient="portrait"/>
          <w:cols w:equalWidth="0" w:num="1">
            <w:col w:w="9520"/>
          </w:cols>
          <w:pgMar w:left="980" w:top="118" w:right="1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47" w:lineRule="exact"/>
        <w:rPr>
          <w:sz w:val="20"/>
          <w:szCs w:val="20"/>
          <w:color w:val="auto"/>
        </w:rPr>
      </w:pPr>
    </w:p>
    <w:p>
      <w:pPr>
        <w:jc w:val="both"/>
        <w:ind w:firstLine="8"/>
        <w:spacing w:after="0" w:line="248" w:lineRule="auto"/>
        <w:tabs>
          <w:tab w:leader="none" w:pos="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The Restricted Shares are subject to the restrictions imposed hereunder which restrictions have not then expired or terminated. Restricted Shares may not be sold, transferred, exchanged, assigned, pledged, hypothecated or otherwise encumbered to or in favor of any party, or be subjected to any lien, obligation or liability of Grantee to any other party; provided, however, that Grantee shall be entitled to transfer the Restricted Shares to Grantee’s revocable living trust, and for estate planning purposes by will, revocable living trust, or the laws of descent and distribution. Notwithstanding anything herein to the contrary, Grantee shall be permitted to transfer the Restricted Shares to Grantee’s spouse or any descendant of the Grantee (children, grandchildren, great-grandchildren, etc.) (“Grantee’s Family”), or any trust of which all of the primary beneficiaries are Grantee or members of Grantee’s Family, or any corporation or partnership (including limited liability companies and similar entities) of which all of the shareholders, partners, or members are Grantee or members of Grantee’s Family. The restrictions imposed under this Section 1 shall apply to all shares of the Company’s Stock or other securities issued with respect to Restricted Shares hereunder in connection with any merger, reorganization, consolidation, recapitalization, stock dividend or other change in corporate structure affecting the Stock of the Company.</w:t>
      </w:r>
    </w:p>
    <w:p>
      <w:pPr>
        <w:spacing w:after="0" w:line="212" w:lineRule="exact"/>
        <w:rPr>
          <w:rFonts w:ascii="Times New Roman" w:cs="Times New Roman" w:eastAsia="Times New Roman" w:hAnsi="Times New Roman"/>
          <w:sz w:val="20"/>
          <w:szCs w:val="20"/>
          <w:color w:val="auto"/>
        </w:rPr>
      </w:pPr>
    </w:p>
    <w:p>
      <w:pPr>
        <w:jc w:val="both"/>
        <w:ind w:firstLine="8"/>
        <w:spacing w:after="0" w:line="254" w:lineRule="auto"/>
        <w:tabs>
          <w:tab w:leader="none" w:pos="24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Earning Restricted Shares</w:t>
      </w:r>
      <w:r>
        <w:rPr>
          <w:rFonts w:ascii="Times New Roman" w:cs="Times New Roman" w:eastAsia="Times New Roman" w:hAnsi="Times New Roman"/>
          <w:sz w:val="20"/>
          <w:szCs w:val="20"/>
          <w:color w:val="auto"/>
        </w:rPr>
        <w:t>. The Restricted Shares will be deemed earned (subject to vesting pursuant to Section 3 below) based on the Company’s attainment of stock price goals during a three-year performance period beginning on November 15, 2024 (the “Vesting Commencement Date”) and ending on the third anniversary of the Vesting Commencement Date (the “Performance Period”), in accordance with the following schedule:</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520" w:type="dxa"/>
            <w:vAlign w:val="bottom"/>
            <w:gridSpan w:val="3"/>
          </w:tcPr>
          <w:p>
            <w:pPr>
              <w:ind w:left="2460"/>
              <w:spacing w:after="0"/>
              <w:rPr>
                <w:sz w:val="20"/>
                <w:szCs w:val="20"/>
                <w:color w:val="auto"/>
              </w:rPr>
            </w:pPr>
            <w:r>
              <w:rPr>
                <w:rFonts w:ascii="Times New Roman" w:cs="Times New Roman" w:eastAsia="Times New Roman" w:hAnsi="Times New Roman"/>
                <w:sz w:val="20"/>
                <w:szCs w:val="20"/>
                <w:color w:val="auto"/>
              </w:rPr>
              <w:t>Date Earned</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Percent of Restricted Shares</w:t>
            </w:r>
          </w:p>
        </w:tc>
      </w:tr>
      <w:tr>
        <w:trPr>
          <w:trHeight w:val="209"/>
        </w:trPr>
        <w:tc>
          <w:tcPr>
            <w:tcW w:w="24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840"/>
              <w:spacing w:after="0" w:line="209" w:lineRule="exact"/>
              <w:rPr>
                <w:sz w:val="20"/>
                <w:szCs w:val="20"/>
                <w:color w:val="auto"/>
              </w:rPr>
            </w:pPr>
            <w:r>
              <w:rPr>
                <w:rFonts w:ascii="Times New Roman" w:cs="Times New Roman" w:eastAsia="Times New Roman" w:hAnsi="Times New Roman"/>
                <w:sz w:val="20"/>
                <w:szCs w:val="20"/>
                <w:color w:val="auto"/>
                <w:w w:val="98"/>
              </w:rPr>
              <w:t>Earned</w:t>
            </w:r>
          </w:p>
        </w:tc>
      </w:tr>
      <w:tr>
        <w:trPr>
          <w:trHeight w:val="457"/>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date on which the average closing price of the Company’s common</w:t>
            </w:r>
          </w:p>
        </w:tc>
        <w:tc>
          <w:tcPr>
            <w:tcW w:w="840" w:type="dxa"/>
            <w:vAlign w:val="bottom"/>
          </w:tcPr>
          <w:p>
            <w:pPr>
              <w:spacing w:after="0"/>
              <w:rPr>
                <w:sz w:val="24"/>
                <w:szCs w:val="24"/>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29%</w:t>
            </w:r>
          </w:p>
        </w:tc>
        <w:tc>
          <w:tcPr>
            <w:tcW w:w="840" w:type="dxa"/>
            <w:vAlign w:val="bottom"/>
          </w:tcPr>
          <w:p>
            <w:pPr>
              <w:spacing w:after="0"/>
              <w:rPr>
                <w:sz w:val="24"/>
                <w:szCs w:val="24"/>
                <w:color w:val="auto"/>
              </w:rPr>
            </w:pPr>
          </w:p>
        </w:tc>
      </w:tr>
      <w:tr>
        <w:trPr>
          <w:trHeight w:val="258"/>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is equal to or greater than $23.75 for 45 consecutive trading days.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09"/>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date on which the average closing price of the Company’s common</w:t>
            </w:r>
          </w:p>
        </w:tc>
        <w:tc>
          <w:tcPr>
            <w:tcW w:w="140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8"/>
              </w:rPr>
              <w:t>20%</w:t>
            </w:r>
          </w:p>
        </w:tc>
        <w:tc>
          <w:tcPr>
            <w:tcW w:w="840" w:type="dxa"/>
            <w:vAlign w:val="bottom"/>
          </w:tcPr>
          <w:p>
            <w:pPr>
              <w:spacing w:after="0"/>
              <w:rPr>
                <w:sz w:val="24"/>
                <w:szCs w:val="24"/>
                <w:color w:val="auto"/>
              </w:rPr>
            </w:pPr>
          </w:p>
        </w:tc>
      </w:tr>
      <w:tr>
        <w:trPr>
          <w:trHeight w:val="258"/>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is equal to or greater than $28.50 for 45 consecutive trading days.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09"/>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date on which the average closing price of the Company’s common</w:t>
            </w:r>
          </w:p>
        </w:tc>
        <w:tc>
          <w:tcPr>
            <w:tcW w:w="140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8"/>
              </w:rPr>
              <w:t>16%</w:t>
            </w:r>
          </w:p>
        </w:tc>
        <w:tc>
          <w:tcPr>
            <w:tcW w:w="840" w:type="dxa"/>
            <w:vAlign w:val="bottom"/>
          </w:tcPr>
          <w:p>
            <w:pPr>
              <w:spacing w:after="0"/>
              <w:rPr>
                <w:sz w:val="24"/>
                <w:szCs w:val="24"/>
                <w:color w:val="auto"/>
              </w:rPr>
            </w:pPr>
          </w:p>
        </w:tc>
      </w:tr>
      <w:tr>
        <w:trPr>
          <w:trHeight w:val="258"/>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is equal to or greater than $34.20 for 45 consecutive trading days.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09"/>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date on which the average closing price of the Company’s common</w:t>
            </w:r>
          </w:p>
        </w:tc>
        <w:tc>
          <w:tcPr>
            <w:tcW w:w="140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8"/>
              </w:rPr>
              <w:t>14%</w:t>
            </w:r>
          </w:p>
        </w:tc>
        <w:tc>
          <w:tcPr>
            <w:tcW w:w="840" w:type="dxa"/>
            <w:vAlign w:val="bottom"/>
          </w:tcPr>
          <w:p>
            <w:pPr>
              <w:spacing w:after="0"/>
              <w:rPr>
                <w:sz w:val="24"/>
                <w:szCs w:val="24"/>
                <w:color w:val="auto"/>
              </w:rPr>
            </w:pPr>
          </w:p>
        </w:tc>
      </w:tr>
      <w:tr>
        <w:trPr>
          <w:trHeight w:val="258"/>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is equal to or greater than $41.04 for 45 consecutive trading days.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09"/>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date on which the average closing price of the Company’s common</w:t>
            </w:r>
          </w:p>
        </w:tc>
        <w:tc>
          <w:tcPr>
            <w:tcW w:w="1400" w:type="dxa"/>
            <w:vAlign w:val="bottom"/>
            <w:gridSpan w:val="2"/>
          </w:tcPr>
          <w:p>
            <w:pPr>
              <w:jc w:val="center"/>
              <w:ind w:left="761"/>
              <w:spacing w:after="0"/>
              <w:rPr>
                <w:sz w:val="20"/>
                <w:szCs w:val="20"/>
                <w:color w:val="auto"/>
              </w:rPr>
            </w:pPr>
            <w:r>
              <w:rPr>
                <w:rFonts w:ascii="Times New Roman" w:cs="Times New Roman" w:eastAsia="Times New Roman" w:hAnsi="Times New Roman"/>
                <w:sz w:val="20"/>
                <w:szCs w:val="20"/>
                <w:color w:val="auto"/>
                <w:w w:val="92"/>
              </w:rPr>
              <w:t>11%</w:t>
            </w:r>
          </w:p>
        </w:tc>
        <w:tc>
          <w:tcPr>
            <w:tcW w:w="840" w:type="dxa"/>
            <w:vAlign w:val="bottom"/>
          </w:tcPr>
          <w:p>
            <w:pPr>
              <w:spacing w:after="0"/>
              <w:rPr>
                <w:sz w:val="24"/>
                <w:szCs w:val="24"/>
                <w:color w:val="auto"/>
              </w:rPr>
            </w:pPr>
          </w:p>
        </w:tc>
      </w:tr>
      <w:tr>
        <w:trPr>
          <w:trHeight w:val="258"/>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is equal to or greater than $49.25 for 45 consecutive trading days.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09"/>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date on which the average closing price of the Company’s common</w:t>
            </w:r>
          </w:p>
        </w:tc>
        <w:tc>
          <w:tcPr>
            <w:tcW w:w="140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8"/>
              </w:rPr>
              <w:t>10%</w:t>
            </w:r>
          </w:p>
        </w:tc>
        <w:tc>
          <w:tcPr>
            <w:tcW w:w="840" w:type="dxa"/>
            <w:vAlign w:val="bottom"/>
          </w:tcPr>
          <w:p>
            <w:pPr>
              <w:spacing w:after="0"/>
              <w:rPr>
                <w:sz w:val="24"/>
                <w:szCs w:val="24"/>
                <w:color w:val="auto"/>
              </w:rPr>
            </w:pPr>
          </w:p>
        </w:tc>
      </w:tr>
      <w:tr>
        <w:trPr>
          <w:trHeight w:val="258"/>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is equal to or greater than $59.10 for 45 consecutive trading days.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3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anything herein to the contrary, upon a Change in Control, the Restricted Shares shall be deemed earned based on attainment of the stock price goals specified above based on the value of the Company’s Stock as established by reference to the Change in Control transaction or otherwise at the time of a Change in Control (as determined by the Committee in good faith), and without the requirement that such stock price goals be an average stock price for 45 consecutive trading days.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Grantee shall forfeit all of Grantee’s right, title and interest in and to any Restricted Shares that are not earned during the Performance Period pursuant this Section 2, and such Restricted Shares will be forfeited to the Company without further consideration or any act or action by Grantee, on the earliest to occur of: (i) the third anniversary of the Vesting Commencement Date, (ii) termination of Grantee’s employment for any reason, or (iii) a Change in Control.</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Solely for purposes of this Agreement, references to “33%” in the definition of a “Change in Control” in the Plan shall be replaced with “50%.”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6" w:right="999" w:bottom="1440" w:gutter="0" w:footer="0" w:header="0"/>
        </w:sectPr>
      </w:pPr>
    </w:p>
    <w:bookmarkStart w:id="68" w:name="page69"/>
    <w:bookmarkEnd w:id="68"/>
    <w:p>
      <w:pPr>
        <w:ind w:right="20" w:firstLine="8"/>
        <w:spacing w:after="0" w:line="269" w:lineRule="auto"/>
        <w:tabs>
          <w:tab w:leader="none" w:pos="27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Earned Restricted Shares</w:t>
      </w:r>
      <w:r>
        <w:rPr>
          <w:rFonts w:ascii="Times New Roman" w:cs="Times New Roman" w:eastAsia="Times New Roman" w:hAnsi="Times New Roman"/>
          <w:sz w:val="20"/>
          <w:szCs w:val="20"/>
          <w:color w:val="auto"/>
        </w:rPr>
        <w:t>. Any Restricted Shares that are earned pursuant to Section 2 above shall vest and become non-forfeitable on the earliest to occur of the following (each, a “Vesting Date”):</w:t>
      </w:r>
    </w:p>
    <w:p>
      <w:pPr>
        <w:spacing w:after="0" w:line="64" w:lineRule="exact"/>
        <w:rPr>
          <w:rFonts w:ascii="Times New Roman" w:cs="Times New Roman" w:eastAsia="Times New Roman" w:hAnsi="Times New Roman"/>
          <w:sz w:val="20"/>
          <w:szCs w:val="20"/>
          <w:color w:val="auto"/>
        </w:rPr>
      </w:pPr>
    </w:p>
    <w:p>
      <w:pPr>
        <w:jc w:val="both"/>
        <w:ind w:firstLine="332"/>
        <w:spacing w:after="0" w:line="251" w:lineRule="auto"/>
        <w:tabs>
          <w:tab w:leader="none" w:pos="60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Restricted Shares that are earned prior to the first anniversary of the Vesting Commencement Date, 25% of the earned Restricted Shares will vest on the first anniversary of the Vesting Commencement Date, 25% of the earned Restricted Shares will vest on the second anniversary of the Vesting Commencement Date, 25% of the earned Restricted Shares will vest on the third anniversary of the Vesting Commencement Date, and 25% of the earned Restricted Shares will vest on the fourth anniversary of the Vesting Commencement Date, subject to Grantee’s Continuous Service through such date;</w:t>
      </w:r>
    </w:p>
    <w:p>
      <w:pPr>
        <w:spacing w:after="0" w:line="82" w:lineRule="exact"/>
        <w:rPr>
          <w:rFonts w:ascii="Times New Roman" w:cs="Times New Roman" w:eastAsia="Times New Roman" w:hAnsi="Times New Roman"/>
          <w:sz w:val="20"/>
          <w:szCs w:val="20"/>
          <w:color w:val="auto"/>
        </w:rPr>
      </w:pPr>
    </w:p>
    <w:p>
      <w:pPr>
        <w:jc w:val="both"/>
        <w:ind w:firstLine="332"/>
        <w:spacing w:after="0" w:line="250" w:lineRule="auto"/>
        <w:tabs>
          <w:tab w:leader="none" w:pos="617"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Restricted Shares that are earned after the first anniversary of the Vesting Commencement Date but prior to the second anniversary of the Vesting Commencement Date, 25% of the earned Restricted Shares will vest on the second anniversary of the Vesting Commencement Date, 50% of the earned Restricted Shares will vest on the third anniversary of the Vesting Commencement Date, and 25% of the earned Restricted Shares will vest on the fourth anniversary of the Vesting Commencement Date, subject to Grantee’s Continuous Service through such date;</w:t>
      </w:r>
    </w:p>
    <w:p>
      <w:pPr>
        <w:spacing w:after="0" w:line="84" w:lineRule="exact"/>
        <w:rPr>
          <w:rFonts w:ascii="Times New Roman" w:cs="Times New Roman" w:eastAsia="Times New Roman" w:hAnsi="Times New Roman"/>
          <w:sz w:val="20"/>
          <w:szCs w:val="20"/>
          <w:color w:val="auto"/>
        </w:rPr>
      </w:pPr>
    </w:p>
    <w:p>
      <w:pPr>
        <w:jc w:val="both"/>
        <w:ind w:firstLine="332"/>
        <w:spacing w:after="0" w:line="254" w:lineRule="auto"/>
        <w:tabs>
          <w:tab w:leader="none" w:pos="59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Restricted Shares that are earned after the second anniversary of the Vesting Commencement Date but prior to the third anniversary of the Vesting Commencement Date, 75% of the earned Restricted Shares will vest on the third anniversary of the Vesting Commencement Date and 25% of the earned Restricted Shares will vest on the fourth anniversary of the Vesting Commencement Date, subject to Grantee’s Continuous Service through such date;</w:t>
      </w:r>
    </w:p>
    <w:p>
      <w:pPr>
        <w:spacing w:after="0" w:line="65" w:lineRule="exact"/>
        <w:rPr>
          <w:rFonts w:ascii="Times New Roman" w:cs="Times New Roman" w:eastAsia="Times New Roman" w:hAnsi="Times New Roman"/>
          <w:sz w:val="20"/>
          <w:szCs w:val="20"/>
          <w:color w:val="auto"/>
        </w:rPr>
      </w:pPr>
    </w:p>
    <w:p>
      <w:pPr>
        <w:ind w:firstLine="332"/>
        <w:spacing w:after="0" w:line="283" w:lineRule="auto"/>
        <w:tabs>
          <w:tab w:leader="none" w:pos="62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all of the earned Restricted Shares, upon the termination of Grantee’s Continuous Service by the Company without Cause, or due to Grantee’s death or Disability; or</w:t>
      </w:r>
    </w:p>
    <w:p>
      <w:pPr>
        <w:spacing w:after="0" w:line="38" w:lineRule="exact"/>
        <w:rPr>
          <w:rFonts w:ascii="Times New Roman" w:cs="Times New Roman" w:eastAsia="Times New Roman" w:hAnsi="Times New Roman"/>
          <w:sz w:val="20"/>
          <w:szCs w:val="20"/>
          <w:color w:val="auto"/>
        </w:rPr>
      </w:pPr>
    </w:p>
    <w:p>
      <w:pPr>
        <w:ind w:left="600" w:hanging="268"/>
        <w:spacing w:after="0"/>
        <w:tabs>
          <w:tab w:leader="none" w:pos="6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all of the earned Restricted Shares, upon a Change in Control.</w:t>
      </w:r>
    </w:p>
    <w:p>
      <w:pPr>
        <w:spacing w:after="0" w:line="2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purposes of this Agreement, “Continuous Service” means Grantee’s continuous service to the Company as (i) Chief Executive Officer during the Performance Period, and (ii) Chief Executive Officer or Chairman of the Board of Directors of the Company following the Performance Period and continuing through the fourth anniversary of the Vesting Commencement Date. If Grantee’s Continuous Service terminates prior to the Vesting Date for any reason other than as described in subsection (d) above, Grantee shall forfeit all right, title and interest in and to the earned Restricted Shares as of the date of such termination and the Restricted Shares will be forfeited to the Company without further consideration or any act or action by Grantee.</w:t>
      </w:r>
    </w:p>
    <w:p>
      <w:pPr>
        <w:spacing w:after="0" w:line="206" w:lineRule="exact"/>
        <w:rPr>
          <w:sz w:val="20"/>
          <w:szCs w:val="20"/>
          <w:color w:val="auto"/>
        </w:rPr>
      </w:pPr>
    </w:p>
    <w:p>
      <w:pPr>
        <w:jc w:val="both"/>
        <w:ind w:firstLine="8"/>
        <w:spacing w:after="0" w:line="250" w:lineRule="auto"/>
        <w:tabs>
          <w:tab w:leader="none" w:pos="27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The Restricted Shares will be registered in the name of Grantee as of the Vesting Commencement Date and will be held by the Company during the Restricted Period in uncertificated form. Evidence of book entry Shares with respect to Restricted Shares in respect of which the restrictions have lapsed pursuant to Section 2 hereof shall be delivered to the Grantee (or in street name to Grantee’s brokerage account) as soon as practicable following the date on which the restrictions on such Restricted Shares have lapsed, free of all restrictions hereunder.</w:t>
      </w:r>
    </w:p>
    <w:p>
      <w:pPr>
        <w:spacing w:after="0" w:line="206" w:lineRule="exact"/>
        <w:rPr>
          <w:rFonts w:ascii="Times New Roman" w:cs="Times New Roman" w:eastAsia="Times New Roman" w:hAnsi="Times New Roman"/>
          <w:sz w:val="20"/>
          <w:szCs w:val="20"/>
          <w:color w:val="auto"/>
        </w:rPr>
      </w:pPr>
    </w:p>
    <w:p>
      <w:pPr>
        <w:jc w:val="both"/>
        <w:ind w:firstLine="8"/>
        <w:spacing w:after="0" w:line="253" w:lineRule="auto"/>
        <w:tabs>
          <w:tab w:leader="none" w:pos="26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and Dividend Rights</w:t>
      </w:r>
      <w:r>
        <w:rPr>
          <w:rFonts w:ascii="Times New Roman" w:cs="Times New Roman" w:eastAsia="Times New Roman" w:hAnsi="Times New Roman"/>
          <w:sz w:val="20"/>
          <w:szCs w:val="20"/>
          <w:color w:val="auto"/>
        </w:rPr>
        <w:t>. Grantee, as beneficial owner of the Restricted Shares, shall have full voting and dividend rights with respect to the Restricted Shares during and after the Restricted Period. If Grantee forfeits any rights he may have under this Agreement in accordance with Section 2 or Section 3, Grantee shall no longer have any rights as a shareholder with respect to the Restricted Shares or any interest therein and Grantee shall no longer be entitled to receive dividends on such stock.</w:t>
      </w:r>
    </w:p>
    <w:p>
      <w:pPr>
        <w:spacing w:after="0" w:line="205" w:lineRule="exact"/>
        <w:rPr>
          <w:rFonts w:ascii="Times New Roman" w:cs="Times New Roman" w:eastAsia="Times New Roman" w:hAnsi="Times New Roman"/>
          <w:sz w:val="20"/>
          <w:szCs w:val="20"/>
          <w:color w:val="auto"/>
        </w:rPr>
      </w:pPr>
    </w:p>
    <w:p>
      <w:pPr>
        <w:jc w:val="both"/>
        <w:ind w:firstLine="8"/>
        <w:spacing w:after="0" w:line="261" w:lineRule="auto"/>
        <w:tabs>
          <w:tab w:leader="none" w:pos="31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Continuation of Employment</w:t>
      </w:r>
      <w:r>
        <w:rPr>
          <w:rFonts w:ascii="Times New Roman" w:cs="Times New Roman" w:eastAsia="Times New Roman" w:hAnsi="Times New Roman"/>
          <w:sz w:val="20"/>
          <w:szCs w:val="20"/>
          <w:color w:val="auto"/>
        </w:rPr>
        <w:t>. Nothing in this Agreement shall interfere with or limit in any way the right of the Company or any Affiliate or Subsidiary to terminate Grantee’s employment at any time, nor confer upon Grantee any right to continue employment with the Company or any Affiliate or Subsidiary.</w:t>
      </w:r>
    </w:p>
    <w:p>
      <w:pPr>
        <w:spacing w:after="0" w:line="194" w:lineRule="exact"/>
        <w:rPr>
          <w:rFonts w:ascii="Times New Roman" w:cs="Times New Roman" w:eastAsia="Times New Roman" w:hAnsi="Times New Roman"/>
          <w:sz w:val="20"/>
          <w:szCs w:val="20"/>
          <w:color w:val="auto"/>
        </w:rPr>
      </w:pPr>
    </w:p>
    <w:p>
      <w:pPr>
        <w:jc w:val="both"/>
        <w:ind w:firstLine="8"/>
        <w:spacing w:after="0" w:line="247" w:lineRule="auto"/>
        <w:tabs>
          <w:tab w:leader="none" w:pos="27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Upon issuance of the Restricted Shares hereunder, Grantee may make an election to be taxed upon such award under Section 83(b) of the Code (an “83(b) Election”). To effect such 83(b) Election, Grantee may file an appropriate election with Internal Revenue Service within 30 days after award of the Restricted Shares and otherwise in accordance with applicable Treasury Regulations. The Company or an employing Affiliate has the authority and the right to deduct or withhold, or require Grantee to remit to the Company, an amount sufficient to satisfy federal, state, and local taxes (including Grantee’s FICA obligation) required by law to be withheld with respect to any taxable event arising as a result of the grant or vesting of the Restricted Shares. If Grantee does not make an 83(b) election, and to the extent not</w:t>
      </w:r>
    </w:p>
    <w:p>
      <w:pPr>
        <w:sectPr>
          <w:pgSz w:w="11900" w:h="16838" w:orient="portrait"/>
          <w:cols w:equalWidth="0" w:num="1">
            <w:col w:w="9920"/>
          </w:cols>
          <w:pgMar w:left="980" w:top="900" w:right="999" w:bottom="1440" w:gutter="0" w:footer="0" w:header="0"/>
        </w:sectPr>
      </w:pP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368300</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type w:val="continuous"/>
        </w:sectPr>
      </w:pPr>
    </w:p>
    <w:bookmarkStart w:id="69" w:name="page70"/>
    <w:bookmarkEnd w:id="69"/>
    <w:p>
      <w:pPr>
        <w:jc w:val="both"/>
        <w:spacing w:after="0" w:line="251" w:lineRule="auto"/>
        <w:rPr>
          <w:sz w:val="20"/>
          <w:szCs w:val="20"/>
          <w:color w:val="auto"/>
        </w:rPr>
      </w:pPr>
      <w:r>
        <w:rPr>
          <w:rFonts w:ascii="Times New Roman" w:cs="Times New Roman" w:eastAsia="Times New Roman" w:hAnsi="Times New Roman"/>
          <w:sz w:val="20"/>
          <w:szCs w:val="20"/>
          <w:color w:val="auto"/>
        </w:rPr>
        <w:t>prohibited by applicable laws or regulations, the withholding requirement may be satisfied, in whole or in part, by withholding from the Restricted Shares, Shares having a Fair Market Value on the date of withholding equal to the amount required to be withheld for tax purposes under applicable law and in accordance with Grantee’s withholding elections. The obligations of the Company under this Award Certificate will be conditional on such payment or arrangements, and the Company, and, where applicable, its Affiliates will, to the extent permitted by law, have the right to deduct any such taxes from any payment of any kind otherwise due to Grantee.</w:t>
      </w:r>
    </w:p>
    <w:p>
      <w:pPr>
        <w:spacing w:after="0" w:line="204" w:lineRule="exact"/>
        <w:rPr>
          <w:sz w:val="20"/>
          <w:szCs w:val="20"/>
          <w:color w:val="auto"/>
        </w:rPr>
      </w:pPr>
    </w:p>
    <w:p>
      <w:pPr>
        <w:jc w:val="both"/>
        <w:ind w:firstLine="8"/>
        <w:spacing w:after="0" w:line="254" w:lineRule="auto"/>
        <w:tabs>
          <w:tab w:leader="none" w:pos="27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Committee may amend, modify or terminate this Agreement without approval of Grantee; provided, however, that such amendment, modification or termination shall not, without Grantee’s consent, reduce or diminish the value of this award determined as if it had been fully vested (i.e., as if all restrictions on the Restricted Shares hereunder had expired) on the date of such amendment or termination.</w:t>
      </w:r>
    </w:p>
    <w:p>
      <w:pPr>
        <w:spacing w:after="0" w:line="200" w:lineRule="exact"/>
        <w:rPr>
          <w:rFonts w:ascii="Times New Roman" w:cs="Times New Roman" w:eastAsia="Times New Roman" w:hAnsi="Times New Roman"/>
          <w:sz w:val="20"/>
          <w:szCs w:val="20"/>
          <w:color w:val="auto"/>
        </w:rPr>
      </w:pPr>
    </w:p>
    <w:p>
      <w:pPr>
        <w:jc w:val="both"/>
        <w:ind w:firstLine="8"/>
        <w:spacing w:after="0" w:line="258" w:lineRule="auto"/>
        <w:tabs>
          <w:tab w:leader="none" w:pos="3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Controls</w:t>
      </w:r>
      <w:r>
        <w:rPr>
          <w:rFonts w:ascii="Times New Roman" w:cs="Times New Roman" w:eastAsia="Times New Roman" w:hAnsi="Times New Roman"/>
          <w:sz w:val="20"/>
          <w:szCs w:val="20"/>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185" w:lineRule="exact"/>
        <w:rPr>
          <w:rFonts w:ascii="Times New Roman" w:cs="Times New Roman" w:eastAsia="Times New Roman" w:hAnsi="Times New Roman"/>
          <w:sz w:val="20"/>
          <w:szCs w:val="20"/>
          <w:color w:val="auto"/>
        </w:rPr>
      </w:pPr>
    </w:p>
    <w:p>
      <w:pPr>
        <w:ind w:firstLine="8"/>
        <w:spacing w:after="0" w:line="283" w:lineRule="auto"/>
        <w:tabs>
          <w:tab w:leader="none" w:pos="34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Agreement shall be binding upon any successor of the Company, in accordance with the terms of this Agreement and the Plan.</w:t>
      </w:r>
    </w:p>
    <w:p>
      <w:pPr>
        <w:spacing w:after="0" w:line="173" w:lineRule="exact"/>
        <w:rPr>
          <w:rFonts w:ascii="Times New Roman" w:cs="Times New Roman" w:eastAsia="Times New Roman" w:hAnsi="Times New Roman"/>
          <w:sz w:val="20"/>
          <w:szCs w:val="20"/>
          <w:color w:val="auto"/>
        </w:rPr>
      </w:pPr>
    </w:p>
    <w:p>
      <w:pPr>
        <w:jc w:val="both"/>
        <w:ind w:firstLine="8"/>
        <w:spacing w:after="0" w:line="261" w:lineRule="auto"/>
        <w:tabs>
          <w:tab w:leader="none" w:pos="35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194" w:lineRule="exact"/>
        <w:rPr>
          <w:rFonts w:ascii="Times New Roman" w:cs="Times New Roman" w:eastAsia="Times New Roman" w:hAnsi="Times New Roman"/>
          <w:sz w:val="20"/>
          <w:szCs w:val="20"/>
          <w:color w:val="auto"/>
        </w:rPr>
      </w:pPr>
    </w:p>
    <w:p>
      <w:pPr>
        <w:jc w:val="both"/>
        <w:ind w:firstLine="8"/>
        <w:spacing w:after="0" w:line="250" w:lineRule="auto"/>
        <w:tabs>
          <w:tab w:leader="none" w:pos="29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104 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84" w:lineRule="exact"/>
        <w:rPr>
          <w:rFonts w:ascii="Times New Roman" w:cs="Times New Roman" w:eastAsia="Times New Roman" w:hAnsi="Times New Roman"/>
          <w:sz w:val="20"/>
          <w:szCs w:val="20"/>
          <w:color w:val="auto"/>
        </w:rPr>
      </w:pPr>
    </w:p>
    <w:p>
      <w:pPr>
        <w:jc w:val="both"/>
        <w:ind w:firstLine="8"/>
        <w:spacing w:after="0" w:line="261" w:lineRule="auto"/>
        <w:tabs>
          <w:tab w:leader="none" w:pos="31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Recoupment Policy</w:t>
      </w:r>
      <w:r>
        <w:rPr>
          <w:rFonts w:ascii="Times New Roman" w:cs="Times New Roman" w:eastAsia="Times New Roman" w:hAnsi="Times New Roman"/>
          <w:sz w:val="20"/>
          <w:szCs w:val="20"/>
          <w:color w:val="auto"/>
        </w:rPr>
        <w:t>. This Agreement shall be subject to the terms and conditions of any compensation recoupment policy adopted from time to time by the Board or any committee of the Board, to the extent such policy is applicable.</w:t>
      </w:r>
    </w:p>
    <w:p>
      <w:pPr>
        <w:spacing w:after="0" w:line="68" w:lineRule="exact"/>
        <w:rPr>
          <w:rFonts w:ascii="Times New Roman" w:cs="Times New Roman" w:eastAsia="Times New Roman" w:hAnsi="Times New Roman"/>
          <w:sz w:val="20"/>
          <w:szCs w:val="20"/>
          <w:color w:val="auto"/>
        </w:rPr>
      </w:pPr>
    </w:p>
    <w:p>
      <w:pPr>
        <w:ind w:left="4920" w:hanging="91"/>
        <w:spacing w:after="0"/>
        <w:tabs>
          <w:tab w:leader="none" w:pos="49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70" w:name="page71"/>
    <w:bookmarkEnd w:id="70"/>
    <w:p>
      <w:pPr>
        <w:jc w:val="right"/>
        <w:ind w:right="119"/>
        <w:spacing w:after="0"/>
        <w:rPr>
          <w:sz w:val="20"/>
          <w:szCs w:val="20"/>
          <w:color w:val="auto"/>
        </w:rPr>
      </w:pPr>
      <w:r>
        <w:rPr>
          <w:rFonts w:ascii="Arial" w:cs="Arial" w:eastAsia="Arial" w:hAnsi="Arial"/>
          <w:sz w:val="17"/>
          <w:szCs w:val="17"/>
          <w:color w:val="auto"/>
        </w:rPr>
        <w:t>Exhibit 19.1</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CITI TRENDS, INC. INSIDER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TRADING POLICY</w:t>
      </w:r>
    </w:p>
    <w:p>
      <w:pPr>
        <w:spacing w:after="0" w:line="2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As Amended June 20, 2024</w:t>
      </w:r>
    </w:p>
    <w:p>
      <w:pPr>
        <w:spacing w:after="0" w:line="239" w:lineRule="exact"/>
        <w:rPr>
          <w:sz w:val="20"/>
          <w:szCs w:val="20"/>
          <w:color w:val="auto"/>
        </w:rPr>
      </w:pPr>
    </w:p>
    <w:p>
      <w:pPr>
        <w:jc w:val="both"/>
        <w:ind w:left="200" w:right="479" w:firstLine="647"/>
        <w:spacing w:after="0" w:line="246" w:lineRule="auto"/>
        <w:rPr>
          <w:sz w:val="20"/>
          <w:szCs w:val="20"/>
          <w:color w:val="auto"/>
        </w:rPr>
      </w:pPr>
      <w:r>
        <w:rPr>
          <w:rFonts w:ascii="Times New Roman" w:cs="Times New Roman" w:eastAsia="Times New Roman" w:hAnsi="Times New Roman"/>
          <w:sz w:val="20"/>
          <w:szCs w:val="20"/>
          <w:color w:val="auto"/>
        </w:rPr>
        <w:t xml:space="preserve">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provides guidelines to the directors, officers and employees of Citi Trends,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in the Company’s securities. The Company has adopted this policy and the procedures set forth herein to help prevent insider trading and to assist the directors, officers and employees in complying with their obligations under the federal securities laws. Directors, officers and employees are individually responsible for understanding and complying with this Policy.</w:t>
      </w:r>
    </w:p>
    <w:p>
      <w:pPr>
        <w:spacing w:after="0" w:line="19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Applicability of Policy</w:t>
      </w:r>
    </w:p>
    <w:p>
      <w:pPr>
        <w:spacing w:after="0" w:line="206" w:lineRule="exact"/>
        <w:rPr>
          <w:sz w:val="20"/>
          <w:szCs w:val="20"/>
          <w:color w:val="auto"/>
        </w:rPr>
      </w:pPr>
    </w:p>
    <w:p>
      <w:pPr>
        <w:jc w:val="both"/>
        <w:ind w:left="200" w:right="459" w:firstLine="647"/>
        <w:spacing w:after="0" w:line="241" w:lineRule="auto"/>
        <w:rPr>
          <w:sz w:val="20"/>
          <w:szCs w:val="20"/>
          <w:color w:val="auto"/>
        </w:rPr>
      </w:pPr>
      <w:r>
        <w:rPr>
          <w:rFonts w:ascii="Times New Roman" w:cs="Times New Roman" w:eastAsia="Times New Roman" w:hAnsi="Times New Roman"/>
          <w:sz w:val="20"/>
          <w:szCs w:val="20"/>
          <w:color w:val="auto"/>
        </w:rPr>
        <w:t xml:space="preserve">This Policy applies to any purchase or sale, or any offer to purchase or sell, any shares of the Company’s common stock and any other debt or equity securities the Company may issue from time to time, such as bonds, preferred stock and convertible debentures, as well as to derivative securities relating to the Company’s securities, whether or not issued by the Company, such as exchange-traded options. It applies to all directors, officers and employees of the Company and members of their immediate families (including parents, brothers, sisters, children, relatives supported financially, fathers-in-law, mothers-in-law, sisters-in-law and brothers-in-law) who reside with them or anyone else who lives in their household and family members who live elsewhere but whose transactions in Company securities are directed by them or subject to their influence and control (collectively referred to as </w:t>
      </w:r>
      <w:r>
        <w:rPr>
          <w:rFonts w:ascii="Times New Roman" w:cs="Times New Roman" w:eastAsia="Times New Roman" w:hAnsi="Times New Roman"/>
          <w:sz w:val="20"/>
          <w:szCs w:val="20"/>
          <w:b w:val="1"/>
          <w:bCs w:val="1"/>
          <w:color w:val="auto"/>
        </w:rPr>
        <w:t>“Family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Members”</w:t>
      </w:r>
      <w:r>
        <w:rPr>
          <w:rFonts w:ascii="Times New Roman" w:cs="Times New Roman" w:eastAsia="Times New Roman" w:hAnsi="Times New Roman"/>
          <w:sz w:val="20"/>
          <w:szCs w:val="20"/>
          <w:color w:val="auto"/>
        </w:rPr>
        <w:t>). Each director, officer and employee will be held responsible for the actions of their Family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Members. Consequently, directors, officers and employees should make their Family Members aware of the need to confer with them before they trade in securities of the Company and should treat all such transactions for purposes of this Policy and applicable securities laws as if the transactions were for the account of the director, officer or employee.</w:t>
      </w:r>
    </w:p>
    <w:p>
      <w:pPr>
        <w:spacing w:after="0" w:line="196" w:lineRule="exact"/>
        <w:rPr>
          <w:sz w:val="20"/>
          <w:szCs w:val="20"/>
          <w:color w:val="auto"/>
        </w:rPr>
      </w:pPr>
    </w:p>
    <w:p>
      <w:pPr>
        <w:jc w:val="both"/>
        <w:ind w:left="200" w:right="479" w:firstLine="647"/>
        <w:spacing w:after="0" w:line="249" w:lineRule="auto"/>
        <w:rPr>
          <w:sz w:val="20"/>
          <w:szCs w:val="20"/>
          <w:color w:val="auto"/>
        </w:rPr>
      </w:pPr>
      <w:r>
        <w:rPr>
          <w:rFonts w:ascii="Times New Roman" w:cs="Times New Roman" w:eastAsia="Times New Roman" w:hAnsi="Times New Roman"/>
          <w:sz w:val="20"/>
          <w:szCs w:val="20"/>
          <w:color w:val="auto"/>
        </w:rPr>
        <w:t xml:space="preserve">This Policy also imposes specific black-out periods and pre-clearance procedures on directors, officers and certain other designated employees who receive or have access to Material Nonpublic Information (as defined below) regarding the Company and/or are subject to the reporting provisions and trading restrictions of Section 16 of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200" w:right="479" w:firstLine="647"/>
        <w:spacing w:after="0" w:line="273" w:lineRule="auto"/>
        <w:rPr>
          <w:sz w:val="20"/>
          <w:szCs w:val="20"/>
          <w:color w:val="auto"/>
        </w:rPr>
      </w:pPr>
      <w:r>
        <w:rPr>
          <w:rFonts w:ascii="Times New Roman" w:cs="Times New Roman" w:eastAsia="Times New Roman" w:hAnsi="Times New Roman"/>
          <w:sz w:val="20"/>
          <w:szCs w:val="20"/>
          <w:color w:val="auto"/>
        </w:rPr>
        <w:t xml:space="preserve">The current </w:t>
      </w:r>
      <w:r>
        <w:rPr>
          <w:rFonts w:ascii="Times New Roman" w:cs="Times New Roman" w:eastAsia="Times New Roman" w:hAnsi="Times New Roman"/>
          <w:sz w:val="20"/>
          <w:szCs w:val="20"/>
          <w:b w:val="1"/>
          <w:bCs w:val="1"/>
          <w:color w:val="auto"/>
        </w:rPr>
        <w:t>“Insider Trading Compliance Officer”</w:t>
      </w:r>
      <w:r>
        <w:rPr>
          <w:rFonts w:ascii="Times New Roman" w:cs="Times New Roman" w:eastAsia="Times New Roman" w:hAnsi="Times New Roman"/>
          <w:sz w:val="20"/>
          <w:szCs w:val="20"/>
          <w:color w:val="auto"/>
        </w:rPr>
        <w:t xml:space="preserve"> referred to herein is the Chief Financial Officer of the Company.</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Definition of Material Nonpublic Information</w:t>
      </w:r>
    </w:p>
    <w:p>
      <w:pPr>
        <w:spacing w:after="0" w:line="220" w:lineRule="exact"/>
        <w:rPr>
          <w:sz w:val="20"/>
          <w:szCs w:val="20"/>
          <w:color w:val="auto"/>
        </w:rPr>
      </w:pPr>
    </w:p>
    <w:p>
      <w:pPr>
        <w:jc w:val="both"/>
        <w:ind w:left="200" w:right="479" w:firstLine="647"/>
        <w:spacing w:after="0" w:line="244"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information should be regarded as material if there is a substantial likelihood that it would be considered important to a reasonable investor in making a voting decision or an investment decision to buy, hold or sell securities. Any information that could be expected to affect the market price of the Company’s securities, whether such information is positive or negative, should be considered material. Because trading that receives scrutiny will be evaluated after the fact with the benefit of hindsight, questions as to the materiality of particular information should be resolved in favor of materiality, and trading should be avoided.</w:t>
      </w:r>
    </w:p>
    <w:p>
      <w:pPr>
        <w:spacing w:after="0" w:line="280" w:lineRule="exact"/>
        <w:rPr>
          <w:sz w:val="20"/>
          <w:szCs w:val="20"/>
          <w:color w:val="auto"/>
        </w:rPr>
      </w:pPr>
    </w:p>
    <w:p>
      <w:pPr>
        <w:jc w:val="both"/>
        <w:ind w:left="200" w:right="479" w:firstLine="647"/>
        <w:spacing w:after="0" w:line="254" w:lineRule="auto"/>
        <w:rPr>
          <w:sz w:val="20"/>
          <w:szCs w:val="20"/>
          <w:color w:val="auto"/>
        </w:rPr>
      </w:pPr>
      <w:r>
        <w:rPr>
          <w:rFonts w:ascii="Times New Roman" w:cs="Times New Roman" w:eastAsia="Times New Roman" w:hAnsi="Times New Roman"/>
          <w:sz w:val="20"/>
          <w:szCs w:val="20"/>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330835</wp:posOffset>
            </wp:positionV>
            <wp:extent cx="55803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ind w:left="1760" w:hanging="711"/>
        <w:spacing w:after="0"/>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unpublished financial results or changes to previously announced results;</w:t>
      </w:r>
    </w:p>
    <w:p>
      <w:pPr>
        <w:spacing w:after="0" w:line="24"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projections of future earnings or losses, or financial forecasts of any kind;</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or confirmations of, earnings or other financial guidance;</w:t>
      </w:r>
    </w:p>
    <w:p>
      <w:pPr>
        <w:spacing w:after="0" w:line="7" w:lineRule="exact"/>
        <w:rPr>
          <w:rFonts w:ascii="Times New Roman" w:cs="Times New Roman" w:eastAsia="Times New Roman" w:hAnsi="Times New Roman"/>
          <w:sz w:val="22"/>
          <w:szCs w:val="22"/>
          <w:color w:val="auto"/>
        </w:rPr>
      </w:pPr>
    </w:p>
    <w:p>
      <w:pPr>
        <w:ind w:left="1760" w:right="799" w:hanging="711"/>
        <w:spacing w:after="0" w:line="238"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news, proposals, plans or agreements, even if preliminary in nature, of pending or proposed mergers, acquisitions, divestitures, recapitalizations, strategic alliances, licensing arrangements, joint ventures, tender offers or purchases or sales of substantial assets or subsidiaries;</w:t>
      </w:r>
    </w:p>
    <w:p>
      <w:pPr>
        <w:spacing w:after="0" w:line="3" w:lineRule="exact"/>
        <w:rPr>
          <w:rFonts w:ascii="Times New Roman" w:cs="Times New Roman" w:eastAsia="Times New Roman" w:hAnsi="Times New Roman"/>
          <w:sz w:val="22"/>
          <w:szCs w:val="22"/>
          <w:color w:val="auto"/>
        </w:rPr>
      </w:pPr>
    </w:p>
    <w:p>
      <w:pPr>
        <w:ind w:left="1760" w:right="759" w:hanging="711"/>
        <w:spacing w:after="0" w:line="23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earnings that are inconsistent with the consensus expectations or projections of the investment community;</w:t>
      </w:r>
    </w:p>
    <w:p>
      <w:pPr>
        <w:spacing w:after="0" w:line="1" w:lineRule="exact"/>
        <w:rPr>
          <w:rFonts w:ascii="Times New Roman" w:cs="Times New Roman" w:eastAsia="Times New Roman" w:hAnsi="Times New Roman"/>
          <w:sz w:val="22"/>
          <w:szCs w:val="22"/>
          <w:color w:val="auto"/>
        </w:rPr>
      </w:pPr>
    </w:p>
    <w:p>
      <w:pPr>
        <w:ind w:left="1760" w:hanging="711"/>
        <w:spacing w:after="0" w:line="230"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disruptions to the Company’s operations;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legislative developments affecting the Company;</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analyst recommendations or debt ratings;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critical accounting policies;</w:t>
      </w:r>
    </w:p>
    <w:p>
      <w:pPr>
        <w:spacing w:after="0" w:line="7" w:lineRule="exact"/>
        <w:rPr>
          <w:rFonts w:ascii="Times New Roman" w:cs="Times New Roman" w:eastAsia="Times New Roman" w:hAnsi="Times New Roman"/>
          <w:sz w:val="22"/>
          <w:szCs w:val="22"/>
          <w:color w:val="auto"/>
        </w:rPr>
      </w:pPr>
    </w:p>
    <w:p>
      <w:pPr>
        <w:ind w:left="1760" w:right="1099" w:hanging="711"/>
        <w:spacing w:after="0" w:line="231"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auditors or notification that the Company may no longer rely on an auditor’s audit report;</w:t>
      </w:r>
    </w:p>
    <w:p>
      <w:pPr>
        <w:ind w:left="1760" w:hanging="711"/>
        <w:spacing w:after="0" w:line="230"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knowledge of any significant cybersecurity attack or breach;</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impending bankruptcy or financial liquidity problems;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gain or loss of a significant customer or supplier;</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pricing changes;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write-downs or impairment charges;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stock splits and stock repurchase programs;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dividends, dividend policies or other capital plans;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new equity or debt offerings or other financings;</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litigation exposure due to actual or threatened litigation; and</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control or other developments regarding senior management.</w:t>
      </w:r>
    </w:p>
    <w:p>
      <w:pPr>
        <w:spacing w:after="0" w:line="211" w:lineRule="exact"/>
        <w:rPr>
          <w:sz w:val="20"/>
          <w:szCs w:val="20"/>
          <w:color w:val="auto"/>
        </w:rPr>
      </w:pPr>
    </w:p>
    <w:p>
      <w:pPr>
        <w:jc w:val="both"/>
        <w:ind w:left="200" w:right="479" w:firstLine="647"/>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“Material Nonpublic Information” </w:t>
      </w:r>
      <w:r>
        <w:rPr>
          <w:rFonts w:ascii="Times New Roman" w:cs="Times New Roman" w:eastAsia="Times New Roman" w:hAnsi="Times New Roman"/>
          <w:sz w:val="20"/>
          <w:szCs w:val="20"/>
          <w:color w:val="auto"/>
        </w:rPr>
        <w:t>is material information that has not been previously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disclosed to the general public through a press release or securities filings and is otherwise not available to the general public.</w:t>
      </w:r>
    </w:p>
    <w:p>
      <w:pPr>
        <w:spacing w:after="0" w:line="182" w:lineRule="exact"/>
        <w:rPr>
          <w:sz w:val="20"/>
          <w:szCs w:val="20"/>
          <w:color w:val="auto"/>
        </w:rPr>
      </w:pPr>
    </w:p>
    <w:p>
      <w:pPr>
        <w:jc w:val="both"/>
        <w:ind w:left="200" w:right="479" w:firstLine="647"/>
        <w:spacing w:after="0" w:line="273" w:lineRule="auto"/>
        <w:rPr>
          <w:sz w:val="20"/>
          <w:szCs w:val="20"/>
          <w:color w:val="auto"/>
        </w:rPr>
      </w:pPr>
      <w:r>
        <w:rPr>
          <w:rFonts w:ascii="Times New Roman" w:cs="Times New Roman" w:eastAsia="Times New Roman" w:hAnsi="Times New Roman"/>
          <w:sz w:val="20"/>
          <w:szCs w:val="20"/>
          <w:b w:val="1"/>
          <w:bCs w:val="1"/>
          <w:color w:val="auto"/>
        </w:rPr>
        <w:t>If you are unsure whether information is material and/or non-public, you should consult with the Insider Trading Compliance Officer.</w:t>
      </w: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Statement of Policy General Policy</w:t>
      </w:r>
    </w:p>
    <w:p>
      <w:pPr>
        <w:spacing w:after="0" w:line="220" w:lineRule="exact"/>
        <w:rPr>
          <w:sz w:val="20"/>
          <w:szCs w:val="20"/>
          <w:color w:val="auto"/>
        </w:rPr>
      </w:pPr>
    </w:p>
    <w:p>
      <w:pPr>
        <w:jc w:val="both"/>
        <w:ind w:left="200" w:right="479" w:firstLine="647"/>
        <w:spacing w:after="0" w:line="254" w:lineRule="auto"/>
        <w:rPr>
          <w:sz w:val="20"/>
          <w:szCs w:val="20"/>
          <w:color w:val="auto"/>
        </w:rPr>
      </w:pPr>
      <w:r>
        <w:rPr>
          <w:rFonts w:ascii="Times New Roman" w:cs="Times New Roman" w:eastAsia="Times New Roman" w:hAnsi="Times New Roman"/>
          <w:sz w:val="20"/>
          <w:szCs w:val="20"/>
          <w:color w:val="auto"/>
        </w:rPr>
        <w:t>This policy prohibits the unauthorized disclosure of any Material Nonpublic Information acquired in the workplace, the use of Material Nonpublic Information in securities trading, and any other violation of applicable securities laws.</w:t>
      </w:r>
    </w:p>
    <w:p>
      <w:pPr>
        <w:spacing w:after="0" w:line="1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Specific Policies</w:t>
      </w:r>
    </w:p>
    <w:p>
      <w:pPr>
        <w:spacing w:after="0" w:line="229" w:lineRule="exact"/>
        <w:rPr>
          <w:sz w:val="20"/>
          <w:szCs w:val="20"/>
          <w:color w:val="auto"/>
        </w:rPr>
      </w:pPr>
    </w:p>
    <w:p>
      <w:pPr>
        <w:jc w:val="both"/>
        <w:ind w:left="200" w:right="479" w:firstLine="655"/>
        <w:spacing w:after="0" w:line="261" w:lineRule="auto"/>
        <w:tabs>
          <w:tab w:leader="none" w:pos="149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Trading on Material Nonpublic Information</w:t>
      </w:r>
      <w:r>
        <w:rPr>
          <w:rFonts w:ascii="Times New Roman" w:cs="Times New Roman" w:eastAsia="Times New Roman" w:hAnsi="Times New Roman"/>
          <w:sz w:val="19"/>
          <w:szCs w:val="19"/>
          <w:color w:val="auto"/>
        </w:rPr>
        <w:t>. No director, officer or employee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its subsidiaries and no Family Member of any such person, shall engage in any transaction involving a purchase or sale of the Company’s securities, including any offer to purchase or offer to sell (other than pursuant to a trading plan that complies with SEC Rule 10b5-1 pre-cleared by the Company’s Insider Trading Compliance Officer), during any period commencing with the date that he or she possesses Material Nonpublic Information concerning the Company and ending at the close of business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98" w:right="1440" w:bottom="1440" w:gutter="0" w:footer="0" w:header="0"/>
        </w:sectPr>
      </w:pPr>
    </w:p>
    <w:bookmarkStart w:id="72" w:name="page73"/>
    <w:bookmarkEnd w:id="72"/>
    <w:p>
      <w:pPr>
        <w:jc w:val="both"/>
        <w:ind w:left="200" w:right="479"/>
        <w:spacing w:after="0" w:line="260" w:lineRule="auto"/>
        <w:rPr>
          <w:sz w:val="20"/>
          <w:szCs w:val="20"/>
          <w:color w:val="auto"/>
        </w:rPr>
      </w:pPr>
      <w:r>
        <w:rPr>
          <w:rFonts w:ascii="Times New Roman" w:cs="Times New Roman" w:eastAsia="Times New Roman" w:hAnsi="Times New Roman"/>
          <w:sz w:val="19"/>
          <w:szCs w:val="19"/>
          <w:color w:val="auto"/>
        </w:rPr>
        <w:t xml:space="preserve">on the second Trading Day (as defined below) following the date of public disclosure of that information, or at such time as such nonpublic information is no longer material. As used in this Policy, the term </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xml:space="preserve"> shall mean a day on which national stock exchanges and The NASDAQ Stock Market are open for trading. If, for example, the Company were to make an announcement on a Monday, Designated Insiders (as defined below) and their Family Members and any other person in possession of Material Nonpublic Information typically shall not trade in the Company’s securities until Thursday.</w:t>
      </w:r>
    </w:p>
    <w:p>
      <w:pPr>
        <w:spacing w:after="0" w:line="182" w:lineRule="exact"/>
        <w:rPr>
          <w:sz w:val="20"/>
          <w:szCs w:val="20"/>
          <w:color w:val="auto"/>
        </w:rPr>
      </w:pPr>
    </w:p>
    <w:p>
      <w:pPr>
        <w:jc w:val="both"/>
        <w:ind w:left="200" w:right="479" w:firstLine="655"/>
        <w:spacing w:after="0" w:line="250" w:lineRule="auto"/>
        <w:tabs>
          <w:tab w:leader="none" w:pos="149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Tipping</w:t>
      </w:r>
      <w:r>
        <w:rPr>
          <w:rFonts w:ascii="Times New Roman" w:cs="Times New Roman" w:eastAsia="Times New Roman" w:hAnsi="Times New Roman"/>
          <w:sz w:val="20"/>
          <w:szCs w:val="20"/>
          <w:color w:val="auto"/>
        </w:rPr>
        <w:t>. No director, officer or employee of the Company shall disclose or pass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“tip”</w:t>
      </w:r>
      <w:r>
        <w:rPr>
          <w:rFonts w:ascii="Times New Roman" w:cs="Times New Roman" w:eastAsia="Times New Roman" w:hAnsi="Times New Roman"/>
          <w:sz w:val="20"/>
          <w:szCs w:val="20"/>
          <w:color w:val="auto"/>
        </w:rPr>
        <w:t>) Material Nonpublic Information to any other person, including a Family Member or friend, nor shall such person make recommendations, give trading advice or express opinions on the basis of Material Nonpublic Information as to trading in the Company’s securities.</w:t>
      </w:r>
    </w:p>
    <w:p>
      <w:pPr>
        <w:spacing w:after="0" w:line="189" w:lineRule="exact"/>
        <w:rPr>
          <w:rFonts w:ascii="Times New Roman" w:cs="Times New Roman" w:eastAsia="Times New Roman" w:hAnsi="Times New Roman"/>
          <w:sz w:val="20"/>
          <w:szCs w:val="20"/>
          <w:color w:val="auto"/>
        </w:rPr>
      </w:pPr>
    </w:p>
    <w:p>
      <w:pPr>
        <w:jc w:val="both"/>
        <w:ind w:left="200" w:right="479" w:firstLine="655"/>
        <w:spacing w:after="0" w:line="256" w:lineRule="auto"/>
        <w:tabs>
          <w:tab w:leader="none" w:pos="149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Confidentiality of Nonpublic Information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Nonpublic information relating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the property of the Company and the unauthorized disclosure of such information is forbidden.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Potential Criminal and Civil Liability and/or Disciplinary Action</w:t>
      </w:r>
    </w:p>
    <w:p>
      <w:pPr>
        <w:spacing w:after="0" w:line="216" w:lineRule="exact"/>
        <w:rPr>
          <w:sz w:val="20"/>
          <w:szCs w:val="20"/>
          <w:color w:val="auto"/>
        </w:rPr>
      </w:pPr>
    </w:p>
    <w:p>
      <w:pPr>
        <w:jc w:val="both"/>
        <w:ind w:left="200" w:right="479" w:firstLine="655"/>
        <w:spacing w:after="0" w:line="256" w:lineRule="auto"/>
        <w:tabs>
          <w:tab w:leader="none" w:pos="149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Liability for Insider Trading</w:t>
      </w:r>
      <w:r>
        <w:rPr>
          <w:rFonts w:ascii="Times New Roman" w:cs="Times New Roman" w:eastAsia="Times New Roman" w:hAnsi="Times New Roman"/>
          <w:sz w:val="20"/>
          <w:szCs w:val="20"/>
          <w:color w:val="auto"/>
        </w:rPr>
        <w:t>. Any director, officer or employee who engages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in the Company’s securities at a time when they have knowledge of Material Nonpublic Information may be subject to penalties and sanctions, including:</w:t>
      </w:r>
    </w:p>
    <w:p>
      <w:pPr>
        <w:spacing w:after="0" w:line="186" w:lineRule="exact"/>
        <w:rPr>
          <w:rFonts w:ascii="Times New Roman" w:cs="Times New Roman" w:eastAsia="Times New Roman" w:hAnsi="Times New Roman"/>
          <w:sz w:val="20"/>
          <w:szCs w:val="20"/>
          <w:color w:val="auto"/>
        </w:rPr>
      </w:pPr>
    </w:p>
    <w:p>
      <w:pPr>
        <w:ind w:left="1760" w:hanging="711"/>
        <w:spacing w:after="0"/>
        <w:tabs>
          <w:tab w:leader="none" w:pos="1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 to 20 years in jail;</w:t>
      </w:r>
    </w:p>
    <w:p>
      <w:pPr>
        <w:spacing w:after="0" w:line="24" w:lineRule="exact"/>
        <w:rPr>
          <w:rFonts w:ascii="Times New Roman" w:cs="Times New Roman" w:eastAsia="Times New Roman" w:hAnsi="Times New Roman"/>
          <w:sz w:val="22"/>
          <w:szCs w:val="22"/>
          <w:color w:val="auto"/>
        </w:rPr>
      </w:pPr>
    </w:p>
    <w:p>
      <w:pPr>
        <w:ind w:left="1760" w:hanging="711"/>
        <w:spacing w:after="0" w:line="237" w:lineRule="auto"/>
        <w:tabs>
          <w:tab w:leader="none" w:pos="1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criminal fine of up to $5,000,000;</w:t>
      </w:r>
    </w:p>
    <w:p>
      <w:pPr>
        <w:spacing w:after="0" w:line="20" w:lineRule="exact"/>
        <w:rPr>
          <w:rFonts w:ascii="Times New Roman" w:cs="Times New Roman" w:eastAsia="Times New Roman" w:hAnsi="Times New Roman"/>
          <w:sz w:val="22"/>
          <w:szCs w:val="22"/>
          <w:color w:val="auto"/>
        </w:rPr>
      </w:pPr>
    </w:p>
    <w:p>
      <w:pPr>
        <w:ind w:left="1760" w:hanging="711"/>
        <w:spacing w:after="0" w:line="237" w:lineRule="auto"/>
        <w:tabs>
          <w:tab w:leader="none" w:pos="1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civil penalty of up to 3 times the profit gained or the loss avoided; and</w:t>
      </w:r>
    </w:p>
    <w:p>
      <w:pPr>
        <w:spacing w:after="0" w:line="20" w:lineRule="exact"/>
        <w:rPr>
          <w:rFonts w:ascii="Times New Roman" w:cs="Times New Roman" w:eastAsia="Times New Roman" w:hAnsi="Times New Roman"/>
          <w:sz w:val="22"/>
          <w:szCs w:val="22"/>
          <w:color w:val="auto"/>
        </w:rPr>
      </w:pPr>
    </w:p>
    <w:p>
      <w:pPr>
        <w:ind w:left="1760" w:hanging="711"/>
        <w:spacing w:after="0" w:line="224" w:lineRule="auto"/>
        <w:tabs>
          <w:tab w:leader="none" w:pos="1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 civil enforcement injunctions.</w:t>
      </w:r>
    </w:p>
    <w:p>
      <w:pPr>
        <w:spacing w:after="0" w:line="211" w:lineRule="exact"/>
        <w:rPr>
          <w:rFonts w:ascii="Times New Roman" w:cs="Times New Roman" w:eastAsia="Times New Roman" w:hAnsi="Times New Roman"/>
          <w:sz w:val="22"/>
          <w:szCs w:val="22"/>
          <w:color w:val="auto"/>
        </w:rPr>
      </w:pPr>
    </w:p>
    <w:p>
      <w:pPr>
        <w:jc w:val="both"/>
        <w:ind w:left="200" w:right="479" w:firstLine="655"/>
        <w:spacing w:after="0" w:line="244" w:lineRule="auto"/>
        <w:tabs>
          <w:tab w:leader="none" w:pos="149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Liability for Tipping</w:t>
      </w:r>
      <w:r>
        <w:rPr>
          <w:rFonts w:ascii="Times New Roman" w:cs="Times New Roman" w:eastAsia="Times New Roman" w:hAnsi="Times New Roman"/>
          <w:sz w:val="20"/>
          <w:szCs w:val="20"/>
          <w:color w:val="auto"/>
        </w:rPr>
        <w:t>. Any director, officer or employee who tips (</w:t>
      </w:r>
      <w:r>
        <w:rPr>
          <w:rFonts w:ascii="Times New Roman" w:cs="Times New Roman" w:eastAsia="Times New Roman" w:hAnsi="Times New Roman"/>
          <w:sz w:val="20"/>
          <w:szCs w:val="20"/>
          <w:b w:val="1"/>
          <w:bCs w:val="1"/>
          <w:color w:val="auto"/>
        </w:rPr>
        <w:t>“tippers”</w:t>
      </w:r>
      <w:r>
        <w:rPr>
          <w:rFonts w:ascii="Times New Roman" w:cs="Times New Roman" w:eastAsia="Times New Roman" w:hAnsi="Times New Roman"/>
          <w:sz w:val="20"/>
          <w:szCs w:val="20"/>
          <w:color w:val="auto"/>
        </w:rPr>
        <w:t>) a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party (commonly referred to as a </w:t>
      </w:r>
      <w:r>
        <w:rPr>
          <w:rFonts w:ascii="Times New Roman" w:cs="Times New Roman" w:eastAsia="Times New Roman" w:hAnsi="Times New Roman"/>
          <w:sz w:val="20"/>
          <w:szCs w:val="20"/>
          <w:b w:val="1"/>
          <w:bCs w:val="1"/>
          <w:color w:val="auto"/>
        </w:rPr>
        <w:t>“tippee”</w:t>
      </w:r>
      <w:r>
        <w:rPr>
          <w:rFonts w:ascii="Times New Roman" w:cs="Times New Roman" w:eastAsia="Times New Roman" w:hAnsi="Times New Roman"/>
          <w:sz w:val="20"/>
          <w:szCs w:val="20"/>
          <w:color w:val="auto"/>
        </w:rPr>
        <w:t>) may also be liable for improper transactions by tippees to whom they have tipped Material Nonpublic Information regarding the Company or to whom they have made recommendations or expressed opinions on the basis of such information as to trading in the Company’s securities. Tippers and tippees would be subject to the same penalties and sanctions as described above, and the SEC has imposed large penalties even when the tipper or tippee did not profit from the trading. The SEC, the stock exchanges, the Financial Industry Regulatory Authority (FINRA) and NASDAQ use sophisticated electronic surveillance techniques to uncover insider trading.</w:t>
      </w:r>
    </w:p>
    <w:p>
      <w:pPr>
        <w:spacing w:after="0" w:line="195" w:lineRule="exact"/>
        <w:rPr>
          <w:rFonts w:ascii="Times New Roman" w:cs="Times New Roman" w:eastAsia="Times New Roman" w:hAnsi="Times New Roman"/>
          <w:sz w:val="20"/>
          <w:szCs w:val="20"/>
          <w:color w:val="auto"/>
        </w:rPr>
      </w:pPr>
    </w:p>
    <w:p>
      <w:pPr>
        <w:jc w:val="both"/>
        <w:ind w:left="200" w:right="479" w:firstLine="655"/>
        <w:spacing w:after="0" w:line="256" w:lineRule="auto"/>
        <w:tabs>
          <w:tab w:leader="none" w:pos="149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Control Persons</w:t>
      </w:r>
      <w:r>
        <w:rPr>
          <w:rFonts w:ascii="Times New Roman" w:cs="Times New Roman" w:eastAsia="Times New Roman" w:hAnsi="Times New Roman"/>
          <w:sz w:val="20"/>
          <w:szCs w:val="20"/>
          <w:color w:val="auto"/>
        </w:rPr>
        <w:t>. The Company and its supervisory personnel, if they fail to take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appropriate steps to prevent illegal insider trading, may in certain circumstances, be subject to the following penalties:</w:t>
      </w:r>
    </w:p>
    <w:p>
      <w:pPr>
        <w:spacing w:after="0" w:line="186" w:lineRule="exact"/>
        <w:rPr>
          <w:rFonts w:ascii="Times New Roman" w:cs="Times New Roman" w:eastAsia="Times New Roman" w:hAnsi="Times New Roman"/>
          <w:sz w:val="20"/>
          <w:szCs w:val="20"/>
          <w:color w:val="auto"/>
        </w:rPr>
      </w:pPr>
    </w:p>
    <w:p>
      <w:pPr>
        <w:ind w:left="1760" w:right="1339" w:hanging="711"/>
        <w:spacing w:after="0" w:line="242" w:lineRule="auto"/>
        <w:tabs>
          <w:tab w:leader="none" w:pos="1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civil penalty of up to $1,000,000 or, if greater, 3 times the profit gained or loss avoided as a result of the unlawful action; and</w:t>
      </w:r>
    </w:p>
    <w:p>
      <w:pPr>
        <w:ind w:left="1760" w:hanging="711"/>
        <w:spacing w:after="0" w:line="230" w:lineRule="auto"/>
        <w:tabs>
          <w:tab w:leader="none" w:pos="1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criminal penalty of up to $25,000,000.</w:t>
      </w:r>
    </w:p>
    <w:p>
      <w:pPr>
        <w:spacing w:after="0" w:line="278" w:lineRule="exact"/>
        <w:rPr>
          <w:rFonts w:ascii="Times New Roman" w:cs="Times New Roman" w:eastAsia="Times New Roman" w:hAnsi="Times New Roman"/>
          <w:sz w:val="22"/>
          <w:szCs w:val="22"/>
          <w:color w:val="auto"/>
        </w:rPr>
      </w:pPr>
    </w:p>
    <w:p>
      <w:pPr>
        <w:jc w:val="both"/>
        <w:ind w:left="200" w:right="479" w:firstLine="655"/>
        <w:spacing w:after="0" w:line="250" w:lineRule="auto"/>
        <w:tabs>
          <w:tab w:leader="none" w:pos="149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Possible Company-Imposed Disciplinary Actions</w:t>
      </w:r>
      <w:r>
        <w:rPr>
          <w:rFonts w:ascii="Times New Roman" w:cs="Times New Roman" w:eastAsia="Times New Roman" w:hAnsi="Times New Roman"/>
          <w:sz w:val="20"/>
          <w:szCs w:val="20"/>
          <w:color w:val="auto"/>
        </w:rPr>
        <w:t>. Employees of the Company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violate this Policy shall also be subject to disciplinary action by the Company, which may include ineligibility for future participation in the Company’s equity incentive plans or termination of employment.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73" w:name="page74"/>
    <w:bookmarkEnd w:id="73"/>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Mandatory Guidelines</w:t>
      </w:r>
    </w:p>
    <w:p>
      <w:pPr>
        <w:spacing w:after="0" w:line="243" w:lineRule="exact"/>
        <w:rPr>
          <w:sz w:val="20"/>
          <w:szCs w:val="20"/>
          <w:color w:val="auto"/>
        </w:rPr>
      </w:pPr>
    </w:p>
    <w:p>
      <w:pPr>
        <w:jc w:val="both"/>
        <w:ind w:left="200" w:right="479" w:firstLine="655"/>
        <w:spacing w:after="0" w:line="254" w:lineRule="auto"/>
        <w:tabs>
          <w:tab w:leader="none" w:pos="149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u w:val="single" w:color="auto"/>
          <w:color w:val="auto"/>
        </w:rPr>
        <w:t>Trading Blackout Period</w:t>
      </w:r>
      <w:r>
        <w:rPr>
          <w:rFonts w:ascii="Times New Roman" w:cs="Times New Roman" w:eastAsia="Times New Roman" w:hAnsi="Times New Roman"/>
          <w:sz w:val="19"/>
          <w:szCs w:val="19"/>
          <w:color w:val="auto"/>
        </w:rPr>
        <w:t>. To ensure compliance with this Policy and applicable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securities laws, and to avoid even the appearance of trading on the basis of inside information, the Company requires that directors, officers and all employees designated by the Company’s Insider Trading Compliance Officer (collectively, </w:t>
      </w:r>
      <w:r>
        <w:rPr>
          <w:rFonts w:ascii="Times New Roman" w:cs="Times New Roman" w:eastAsia="Times New Roman" w:hAnsi="Times New Roman"/>
          <w:sz w:val="19"/>
          <w:szCs w:val="19"/>
          <w:b w:val="1"/>
          <w:bCs w:val="1"/>
          <w:color w:val="auto"/>
        </w:rPr>
        <w:t>“Designated Insiders”</w:t>
      </w:r>
      <w:r>
        <w:rPr>
          <w:rFonts w:ascii="Times New Roman" w:cs="Times New Roman" w:eastAsia="Times New Roman" w:hAnsi="Times New Roman"/>
          <w:sz w:val="19"/>
          <w:szCs w:val="19"/>
          <w:color w:val="auto"/>
        </w:rPr>
        <w:t xml:space="preserve">), and Family Members of the foregoing, because of their potential access to Material Nonpublic Information regarding the Company’s performance towards the end of annual and quarterly fiscal periods, must refrain from conducting transactions involving the purchase or sale of the Company’s securities during the Blackout Periods established below (other than pursuant to a Rule 10b5-1 Trading Plan (defined below)). The following periods will constitute the </w:t>
      </w:r>
      <w:r>
        <w:rPr>
          <w:rFonts w:ascii="Times New Roman" w:cs="Times New Roman" w:eastAsia="Times New Roman" w:hAnsi="Times New Roman"/>
          <w:sz w:val="19"/>
          <w:szCs w:val="19"/>
          <w:b w:val="1"/>
          <w:bCs w:val="1"/>
          <w:color w:val="auto"/>
        </w:rPr>
        <w:t>“Blackout Periods”</w:t>
      </w:r>
      <w:r>
        <w:rPr>
          <w:rFonts w:ascii="Times New Roman" w:cs="Times New Roman" w:eastAsia="Times New Roman" w:hAnsi="Times New Roman"/>
          <w:sz w:val="19"/>
          <w:szCs w:val="19"/>
          <w:color w:val="auto"/>
        </w:rPr>
        <w:t xml:space="preserve"> unless otherwise notified in advance by the Company:</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Each period commencing on the date below and ending on the applicable Blackout End Date,</w:t>
      </w:r>
    </w:p>
    <w:p>
      <w:pPr>
        <w:spacing w:after="0" w:line="229" w:lineRule="exact"/>
        <w:rPr>
          <w:sz w:val="20"/>
          <w:szCs w:val="20"/>
          <w:color w:val="auto"/>
        </w:rPr>
      </w:pPr>
    </w:p>
    <w:p>
      <w:pPr>
        <w:ind w:left="1920" w:hanging="641"/>
        <w:spacing w:after="0"/>
        <w:tabs>
          <w:tab w:leader="none" w:pos="1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weeks before the end of the first fiscal quarter;</w:t>
      </w:r>
    </w:p>
    <w:p>
      <w:pPr>
        <w:spacing w:after="0" w:line="21" w:lineRule="exact"/>
        <w:rPr>
          <w:rFonts w:ascii="Times New Roman" w:cs="Times New Roman" w:eastAsia="Times New Roman" w:hAnsi="Times New Roman"/>
          <w:sz w:val="20"/>
          <w:szCs w:val="20"/>
          <w:color w:val="auto"/>
        </w:rPr>
      </w:pPr>
    </w:p>
    <w:p>
      <w:pPr>
        <w:ind w:left="1920" w:hanging="641"/>
        <w:spacing w:after="0"/>
        <w:tabs>
          <w:tab w:leader="none" w:pos="1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weeks before the end of the second fiscal quarter;</w:t>
      </w:r>
    </w:p>
    <w:p>
      <w:pPr>
        <w:ind w:left="1920" w:hanging="641"/>
        <w:spacing w:after="0"/>
        <w:tabs>
          <w:tab w:leader="none" w:pos="1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weeks before the end of the third fiscal quarter; and</w:t>
      </w:r>
    </w:p>
    <w:p>
      <w:pPr>
        <w:ind w:left="1920" w:hanging="641"/>
        <w:spacing w:after="0"/>
        <w:tabs>
          <w:tab w:leader="none" w:pos="1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weeks before the end of the fourth fiscal quarter.</w:t>
      </w:r>
    </w:p>
    <w:p>
      <w:pPr>
        <w:spacing w:after="0" w:line="207" w:lineRule="exact"/>
        <w:rPr>
          <w:sz w:val="20"/>
          <w:szCs w:val="20"/>
          <w:color w:val="auto"/>
        </w:rPr>
      </w:pPr>
    </w:p>
    <w:p>
      <w:pPr>
        <w:jc w:val="both"/>
        <w:ind w:left="200" w:right="479" w:firstLine="647"/>
        <w:spacing w:after="0" w:line="246" w:lineRule="auto"/>
        <w:rPr>
          <w:sz w:val="20"/>
          <w:szCs w:val="20"/>
          <w:color w:val="auto"/>
        </w:rPr>
      </w:pPr>
      <w:r>
        <w:rPr>
          <w:rFonts w:ascii="Times New Roman" w:cs="Times New Roman" w:eastAsia="Times New Roman" w:hAnsi="Times New Roman"/>
          <w:sz w:val="20"/>
          <w:szCs w:val="20"/>
          <w:color w:val="auto"/>
        </w:rPr>
        <w:t>The Blackout End Date shall be the close of business on the second Trading Day following the date of public disclosure of the Company’s financial results for the fiscal quarter in question, if such public disclosure occurs before the markets open on that day. If such public disclosure occurs on a Trading Day after the markets open, the Blackout End Date shall be the close of business on the third Trading Day following the date of such public disclosure.</w:t>
      </w:r>
    </w:p>
    <w:p>
      <w:pPr>
        <w:spacing w:after="0" w:line="198" w:lineRule="exact"/>
        <w:rPr>
          <w:sz w:val="20"/>
          <w:szCs w:val="20"/>
          <w:color w:val="auto"/>
        </w:rPr>
      </w:pPr>
    </w:p>
    <w:p>
      <w:pPr>
        <w:jc w:val="both"/>
        <w:ind w:left="200" w:right="479" w:firstLine="647"/>
        <w:spacing w:after="0" w:line="241" w:lineRule="auto"/>
        <w:rPr>
          <w:sz w:val="20"/>
          <w:szCs w:val="20"/>
          <w:color w:val="auto"/>
        </w:rPr>
      </w:pPr>
      <w:r>
        <w:rPr>
          <w:rFonts w:ascii="Times New Roman" w:cs="Times New Roman" w:eastAsia="Times New Roman" w:hAnsi="Times New Roman"/>
          <w:sz w:val="20"/>
          <w:szCs w:val="20"/>
          <w:color w:val="auto"/>
        </w:rPr>
        <w:t>In addition to the Blackout Periods described above, the Company may announce “special” Blackout Periods from time to time. Typically, this will occur when there are nonpublic developments that would be considered material for insider trading law purposes, such as, among other things, developments relating to regulatory proceedings or a major corporate transaction. The Company may also institute a temporary blackout period related to the public announcement of a share repurchase plan or program or an increase of an existing share repurchase plan or program. Depending on the circumstances, a “special” Blackout Period may apply to all Designated Insiders or only a specific group of Designated Insiders. The Insider Trading Compliance Officer will provide written notice to Designated Insiders subject to a “special” Blackout Period. Any person made aware of the existence of a “special” Blackout Period should not disclose the existence of the Blackout Period to any other person. The failure of the Company to designate a person as being subject to a “special” Blackout Period will not relieve that person of the obligation not to trade while aware of Material Nonpublic Information. As used in this Policy, the term “Blackout Period” shall mean all periodic Blackout Periods and all “special” Blackout Periods announced by the Company.</w:t>
      </w:r>
    </w:p>
    <w:p>
      <w:pPr>
        <w:spacing w:after="0" w:line="209" w:lineRule="exact"/>
        <w:rPr>
          <w:sz w:val="20"/>
          <w:szCs w:val="20"/>
          <w:color w:val="auto"/>
        </w:rPr>
      </w:pPr>
    </w:p>
    <w:p>
      <w:pPr>
        <w:jc w:val="both"/>
        <w:ind w:left="200" w:right="479" w:firstLine="647"/>
        <w:spacing w:after="0" w:line="257" w:lineRule="auto"/>
        <w:rPr>
          <w:sz w:val="20"/>
          <w:szCs w:val="20"/>
          <w:color w:val="auto"/>
        </w:rPr>
      </w:pPr>
      <w:r>
        <w:rPr>
          <w:rFonts w:ascii="Times New Roman" w:cs="Times New Roman" w:eastAsia="Times New Roman" w:hAnsi="Times New Roman"/>
          <w:sz w:val="19"/>
          <w:szCs w:val="19"/>
          <w:color w:val="auto"/>
        </w:rPr>
        <w:t>The purpose behind the Blackout Period is to help establish a diligent effort to avoid any improper transactions. Trading in the Company’s securities outside a Blackout Period should not be considered a “safe harbor,” and all directors, officers, employees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74" w:name="page75"/>
    <w:bookmarkEnd w:id="74"/>
    <w:p>
      <w:pPr>
        <w:jc w:val="both"/>
        <w:ind w:left="200" w:right="479" w:firstLine="655"/>
        <w:spacing w:after="0" w:line="254" w:lineRule="auto"/>
        <w:tabs>
          <w:tab w:leader="none" w:pos="149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u w:val="single" w:color="auto"/>
          <w:color w:val="auto"/>
        </w:rPr>
        <w:t>Pre-Clearance of Trades</w:t>
      </w:r>
      <w:r>
        <w:rPr>
          <w:rFonts w:ascii="Times New Roman" w:cs="Times New Roman" w:eastAsia="Times New Roman" w:hAnsi="Times New Roman"/>
          <w:sz w:val="19"/>
          <w:szCs w:val="19"/>
          <w:color w:val="auto"/>
        </w:rPr>
        <w:t>. The Company has determined that all directors, Section 16</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Filers and such other employees as are designated from time to time by the Board of Directors, the Chief Executive Officer or the Chief Financial Officer of the Company (a </w:t>
      </w:r>
      <w:r>
        <w:rPr>
          <w:rFonts w:ascii="Times New Roman" w:cs="Times New Roman" w:eastAsia="Times New Roman" w:hAnsi="Times New Roman"/>
          <w:sz w:val="19"/>
          <w:szCs w:val="19"/>
          <w:b w:val="1"/>
          <w:bCs w:val="1"/>
          <w:color w:val="auto"/>
        </w:rPr>
        <w:t>“Pre-Clearance Person”</w:t>
      </w:r>
      <w:r>
        <w:rPr>
          <w:rFonts w:ascii="Times New Roman" w:cs="Times New Roman" w:eastAsia="Times New Roman" w:hAnsi="Times New Roman"/>
          <w:sz w:val="19"/>
          <w:szCs w:val="19"/>
          <w:color w:val="auto"/>
        </w:rPr>
        <w:t>), as well as the Family Members of the Pre-Clearance Persons, must refrain from trading in the Company’s securities, without first complying with the Company’s “pre-clearance” process. Each Pre-Clearance Person must contact the Company’s Insider Trading Compliance Officer not less than two business days prior to commencing any trade in the Company’s securities. This pre-clearance requirement applies to any transaction or transfer involving the Company’s securities, including in connection with a stock plan transaction such as an option exercise, or a gift, transfer to a trust or any other transfer.</w:t>
      </w:r>
    </w:p>
    <w:p>
      <w:pPr>
        <w:spacing w:after="0" w:line="194" w:lineRule="exact"/>
        <w:rPr>
          <w:sz w:val="20"/>
          <w:szCs w:val="20"/>
          <w:color w:val="auto"/>
        </w:rPr>
      </w:pPr>
    </w:p>
    <w:p>
      <w:pPr>
        <w:jc w:val="both"/>
        <w:ind w:left="200" w:right="479" w:firstLine="647"/>
        <w:spacing w:after="0" w:line="254" w:lineRule="auto"/>
        <w:rPr>
          <w:sz w:val="20"/>
          <w:szCs w:val="20"/>
          <w:color w:val="auto"/>
        </w:rPr>
      </w:pPr>
      <w:r>
        <w:rPr>
          <w:rFonts w:ascii="Times New Roman" w:cs="Times New Roman" w:eastAsia="Times New Roman" w:hAnsi="Times New Roman"/>
          <w:sz w:val="20"/>
          <w:szCs w:val="20"/>
          <w:color w:val="auto"/>
        </w:rPr>
        <w:t>The Insider Trading Compliance Officer must pre-clear each proposed trade or transfer. The Insider Trading Compliance Officer is not under any obligation to approve a trade submitted for pre-clearance and may determine not to permit a trade.</w:t>
      </w:r>
    </w:p>
    <w:p>
      <w:pPr>
        <w:spacing w:after="0" w:line="188" w:lineRule="exact"/>
        <w:rPr>
          <w:sz w:val="20"/>
          <w:szCs w:val="20"/>
          <w:color w:val="auto"/>
        </w:rPr>
      </w:pPr>
    </w:p>
    <w:p>
      <w:pPr>
        <w:jc w:val="both"/>
        <w:ind w:left="200" w:right="479" w:firstLine="647"/>
        <w:spacing w:after="0" w:line="263" w:lineRule="auto"/>
        <w:rPr>
          <w:sz w:val="20"/>
          <w:szCs w:val="20"/>
          <w:color w:val="auto"/>
        </w:rPr>
      </w:pPr>
      <w:r>
        <w:rPr>
          <w:rFonts w:ascii="Times New Roman" w:cs="Times New Roman" w:eastAsia="Times New Roman" w:hAnsi="Times New Roman"/>
          <w:sz w:val="19"/>
          <w:szCs w:val="19"/>
          <w:color w:val="auto"/>
        </w:rPr>
        <w:t xml:space="preserve">To facilitate the process, the Company has prepared a pre-clearance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to be completed and provided to the Insider Trading Compliance Officer. The Insider Trading Compliance Officer will assist with the approval process. No trade or transfer may be effected until the requesting Pre-Clearance Person (or Family Member) has received the approved Pre-Clearance Request Form, even if two business days have passed since the Pre-Clearance Request Form was submitted.</w:t>
      </w:r>
    </w:p>
    <w:p>
      <w:pPr>
        <w:spacing w:after="0" w:line="180" w:lineRule="exact"/>
        <w:rPr>
          <w:sz w:val="20"/>
          <w:szCs w:val="20"/>
          <w:color w:val="auto"/>
        </w:rPr>
      </w:pPr>
    </w:p>
    <w:p>
      <w:pPr>
        <w:jc w:val="both"/>
        <w:ind w:left="200" w:right="479" w:firstLine="647"/>
        <w:spacing w:after="0" w:line="244" w:lineRule="auto"/>
        <w:rPr>
          <w:sz w:val="20"/>
          <w:szCs w:val="20"/>
          <w:color w:val="auto"/>
        </w:rPr>
      </w:pPr>
      <w:r>
        <w:rPr>
          <w:rFonts w:ascii="Times New Roman" w:cs="Times New Roman" w:eastAsia="Times New Roman" w:hAnsi="Times New Roman"/>
          <w:sz w:val="20"/>
          <w:szCs w:val="20"/>
          <w:color w:val="auto"/>
        </w:rPr>
        <w:t xml:space="preserve">Any director, officer or employee who wishes to implement a pre-planned trading program under SEC Rule 10b5-1 (a </w:t>
      </w:r>
      <w:r>
        <w:rPr>
          <w:rFonts w:ascii="Times New Roman" w:cs="Times New Roman" w:eastAsia="Times New Roman" w:hAnsi="Times New Roman"/>
          <w:sz w:val="20"/>
          <w:szCs w:val="20"/>
          <w:b w:val="1"/>
          <w:bCs w:val="1"/>
          <w:color w:val="auto"/>
        </w:rPr>
        <w:t>“Rule 10b5-1 Trading Plan”</w:t>
      </w:r>
      <w:r>
        <w:rPr>
          <w:rFonts w:ascii="Times New Roman" w:cs="Times New Roman" w:eastAsia="Times New Roman" w:hAnsi="Times New Roman"/>
          <w:sz w:val="20"/>
          <w:szCs w:val="20"/>
          <w:color w:val="auto"/>
        </w:rPr>
        <w:t>) must first pre-clear the plan with the Insider Trading Compliance Officer. See Section 4 under “Certain Exceptions” below for more information regarding Rule 10b5-1 Trading Plans. Transactions effected pursuant to a Rule 10b5-1 Trading Plan will not require further pre-clearance at the time of the transaction; however, the third party effecting transactions pursuant to such plan should be directed to send duplicate confirmations of all such transactions to the Insider Trading Compliance Officer.</w:t>
      </w:r>
    </w:p>
    <w:p>
      <w:pPr>
        <w:spacing w:after="0" w:line="222" w:lineRule="exact"/>
        <w:rPr>
          <w:sz w:val="20"/>
          <w:szCs w:val="20"/>
          <w:color w:val="auto"/>
        </w:rPr>
      </w:pPr>
    </w:p>
    <w:p>
      <w:pPr>
        <w:jc w:val="both"/>
        <w:ind w:left="200" w:right="479" w:firstLine="655"/>
        <w:spacing w:after="0" w:line="241" w:lineRule="auto"/>
        <w:tabs>
          <w:tab w:leader="none" w:pos="149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Individual Responsibility</w:t>
      </w:r>
      <w:r>
        <w:rPr>
          <w:rFonts w:ascii="Times New Roman" w:cs="Times New Roman" w:eastAsia="Times New Roman" w:hAnsi="Times New Roman"/>
          <w:sz w:val="20"/>
          <w:szCs w:val="20"/>
          <w:color w:val="auto"/>
        </w:rPr>
        <w:t>. Every director, officer and employee has the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responsibility to comply with this Policy against insider trading, regardless of whether a transaction is executed outside a Blackout Period or is pre-cleared by the Company. The restrictions and procedures are intended to help avoid inadvertent instances of improper insider trading, but appropriate judgment should always be exercised by each director, officer and employee in connection with any trade in the Company’s securities.</w:t>
      </w:r>
    </w:p>
    <w:p>
      <w:pPr>
        <w:spacing w:after="0" w:line="202" w:lineRule="exact"/>
        <w:rPr>
          <w:sz w:val="20"/>
          <w:szCs w:val="20"/>
          <w:color w:val="auto"/>
        </w:rPr>
      </w:pPr>
    </w:p>
    <w:p>
      <w:pPr>
        <w:jc w:val="both"/>
        <w:ind w:left="200" w:right="479" w:firstLine="647"/>
        <w:spacing w:after="0" w:line="249" w:lineRule="auto"/>
        <w:rPr>
          <w:sz w:val="20"/>
          <w:szCs w:val="20"/>
          <w:color w:val="auto"/>
        </w:rPr>
      </w:pPr>
      <w:r>
        <w:rPr>
          <w:rFonts w:ascii="Times New Roman" w:cs="Times New Roman" w:eastAsia="Times New Roman" w:hAnsi="Times New Roman"/>
          <w:sz w:val="20"/>
          <w:szCs w:val="20"/>
          <w:color w:val="auto"/>
        </w:rPr>
        <w:t>A director, officer or employee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Certain Exceptions</w:t>
      </w:r>
    </w:p>
    <w:p>
      <w:pPr>
        <w:spacing w:after="0" w:line="216" w:lineRule="exact"/>
        <w:rPr>
          <w:sz w:val="20"/>
          <w:szCs w:val="20"/>
          <w:color w:val="auto"/>
        </w:rPr>
      </w:pPr>
    </w:p>
    <w:p>
      <w:pPr>
        <w:jc w:val="both"/>
        <w:ind w:left="200" w:right="479" w:firstLine="655"/>
        <w:spacing w:after="0" w:line="247" w:lineRule="auto"/>
        <w:tabs>
          <w:tab w:leader="none" w:pos="149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Options Exercises</w:t>
      </w:r>
      <w:r>
        <w:rPr>
          <w:rFonts w:ascii="Times New Roman" w:cs="Times New Roman" w:eastAsia="Times New Roman" w:hAnsi="Times New Roman"/>
          <w:sz w:val="20"/>
          <w:szCs w:val="20"/>
          <w:color w:val="auto"/>
        </w:rPr>
        <w:t>. For purposes of this Policy, the Company considers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of stock options under the Company’s stock option plans (but not the sale of the underlying stock) to be exempt from this Policy. This Policy does apply, however, to any sale of stock as part of a broker-assisted “cashless” exercise of an option, or any market sale for the purpose of generating the cash needed to pay the exercise price of an option or to satisfy any tax withholding obligations.</w:t>
      </w:r>
    </w:p>
    <w:p>
      <w:pPr>
        <w:spacing w:after="0" w:line="207" w:lineRule="exact"/>
        <w:rPr>
          <w:rFonts w:ascii="Times New Roman" w:cs="Times New Roman" w:eastAsia="Times New Roman" w:hAnsi="Times New Roman"/>
          <w:sz w:val="20"/>
          <w:szCs w:val="20"/>
          <w:color w:val="auto"/>
        </w:rPr>
      </w:pPr>
    </w:p>
    <w:p>
      <w:pPr>
        <w:ind w:left="200" w:right="479" w:firstLine="655"/>
        <w:spacing w:after="0" w:line="273" w:lineRule="auto"/>
        <w:tabs>
          <w:tab w:leader="none" w:pos="149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Restricted Stock and Restricted Stock Unit Awards</w:t>
      </w:r>
      <w:r>
        <w:rPr>
          <w:rFonts w:ascii="Times New Roman" w:cs="Times New Roman" w:eastAsia="Times New Roman" w:hAnsi="Times New Roman"/>
          <w:sz w:val="20"/>
          <w:szCs w:val="20"/>
          <w:color w:val="auto"/>
        </w:rPr>
        <w:t>. This Policy does not apply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or conversion of restricted stock, restricted stock units, or performance share units, or to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94" w:right="1440" w:bottom="1440" w:gutter="0" w:footer="0" w:header="0"/>
        </w:sectPr>
      </w:pPr>
    </w:p>
    <w:bookmarkStart w:id="75" w:name="page76"/>
    <w:bookmarkEnd w:id="75"/>
    <w:p>
      <w:pPr>
        <w:jc w:val="both"/>
        <w:ind w:left="200" w:right="479"/>
        <w:spacing w:after="0" w:line="249" w:lineRule="auto"/>
        <w:rPr>
          <w:sz w:val="20"/>
          <w:szCs w:val="20"/>
          <w:color w:val="auto"/>
        </w:rPr>
      </w:pPr>
      <w:r>
        <w:rPr>
          <w:rFonts w:ascii="Times New Roman" w:cs="Times New Roman" w:eastAsia="Times New Roman" w:hAnsi="Times New Roman"/>
          <w:sz w:val="20"/>
          <w:szCs w:val="20"/>
          <w:color w:val="auto"/>
        </w:rPr>
        <w:t>Company withholding shares of restricted stock, or shares underlying restricted stock units or performance share units, to satisfy tax withholding requirements; however, the open market sale of any stock acquired upon such vesting or conversion, or the sale of any stock in order to satisfy tax withholding obligations, is subject to this Policy.</w:t>
      </w:r>
    </w:p>
    <w:p>
      <w:pPr>
        <w:spacing w:after="0" w:line="189" w:lineRule="exact"/>
        <w:rPr>
          <w:sz w:val="20"/>
          <w:szCs w:val="20"/>
          <w:color w:val="auto"/>
        </w:rPr>
      </w:pPr>
    </w:p>
    <w:p>
      <w:pPr>
        <w:jc w:val="both"/>
        <w:ind w:left="200" w:right="459" w:firstLine="655"/>
        <w:spacing w:after="0" w:line="243" w:lineRule="auto"/>
        <w:tabs>
          <w:tab w:leader="none" w:pos="149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401(k) Plan</w:t>
      </w:r>
      <w:r>
        <w:rPr>
          <w:rFonts w:ascii="Times New Roman" w:cs="Times New Roman" w:eastAsia="Times New Roman" w:hAnsi="Times New Roman"/>
          <w:sz w:val="20"/>
          <w:szCs w:val="20"/>
          <w:color w:val="auto"/>
        </w:rPr>
        <w:t>. This Policy does not apply to purchases of Company stock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401(k) plan resulting from periodic contributions of money to the plan pursuant to payroll deduction elections. This Policy does apply, however, to certain elections that may be made under the 401(k) plan, including (a) an election to increase or decrease the percentage of periodic contributions that will be allocated to the Company stock fund, if any, (b) an election to make an intra-plan transfer of an existing account balance into or out of the Company stock fund, (c) an election to borrow money against a 401(k) plan account if the loan will result in a liquidation of some or all of a participant’s Company stock fund balance, and (d) an election to pre-pay a plan loan if the pre-payment will result in allocation of loan proceeds to the Company stock fund.</w:t>
      </w:r>
    </w:p>
    <w:p>
      <w:pPr>
        <w:spacing w:after="0" w:line="185" w:lineRule="exact"/>
        <w:rPr>
          <w:rFonts w:ascii="Times New Roman" w:cs="Times New Roman" w:eastAsia="Times New Roman" w:hAnsi="Times New Roman"/>
          <w:sz w:val="20"/>
          <w:szCs w:val="20"/>
          <w:color w:val="auto"/>
        </w:rPr>
      </w:pPr>
    </w:p>
    <w:p>
      <w:pPr>
        <w:jc w:val="both"/>
        <w:ind w:left="200" w:right="479" w:firstLine="655"/>
        <w:spacing w:after="0" w:line="247" w:lineRule="auto"/>
        <w:tabs>
          <w:tab w:leader="none" w:pos="149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Rule 10b5-1 Trading Plans</w:t>
      </w:r>
      <w:r>
        <w:rPr>
          <w:rFonts w:ascii="Times New Roman" w:cs="Times New Roman" w:eastAsia="Times New Roman" w:hAnsi="Times New Roman"/>
          <w:sz w:val="20"/>
          <w:szCs w:val="20"/>
          <w:color w:val="auto"/>
        </w:rPr>
        <w:t>. This Policy does not apply to transactions involving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securities that are made pursuant to a pre-approved Rule 10b5-1 Trading Plan. Generally speaking, Rule Trading 10b5-1 Plans are non-discretionary plans for purchases or sales of Company stock. Insiders may sell or purchase the Company’s securities under a Rule 10b5-1 Trading Plan that complies with Rule 10b5-1.</w:t>
      </w:r>
    </w:p>
    <w:p>
      <w:pPr>
        <w:spacing w:after="0" w:line="198" w:lineRule="exact"/>
        <w:rPr>
          <w:sz w:val="20"/>
          <w:szCs w:val="20"/>
          <w:color w:val="auto"/>
        </w:rPr>
      </w:pPr>
    </w:p>
    <w:p>
      <w:pPr>
        <w:jc w:val="both"/>
        <w:ind w:left="200" w:right="479" w:firstLine="647"/>
        <w:spacing w:after="0" w:line="260" w:lineRule="auto"/>
        <w:rPr>
          <w:sz w:val="20"/>
          <w:szCs w:val="20"/>
          <w:color w:val="auto"/>
        </w:rPr>
      </w:pPr>
      <w:r>
        <w:rPr>
          <w:rFonts w:ascii="Times New Roman" w:cs="Times New Roman" w:eastAsia="Times New Roman" w:hAnsi="Times New Roman"/>
          <w:sz w:val="19"/>
          <w:szCs w:val="19"/>
          <w:color w:val="auto"/>
        </w:rPr>
        <w:t>To comply with this Policy, a Rule 10b5-1 Trading Plan must be entered into at a time when the director, officer or employee entering into the plan is not aware of material non-public information and is not otherwise subject to a Black-Out Period and must comply with all of the requirements of Rule 10b5-</w:t>
      </w:r>
    </w:p>
    <w:p>
      <w:pPr>
        <w:jc w:val="both"/>
        <w:ind w:left="200" w:right="479" w:firstLine="8"/>
        <w:spacing w:after="0" w:line="241" w:lineRule="auto"/>
        <w:tabs>
          <w:tab w:leader="none" w:pos="40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 Rule 10b5-1 Trading Plan is adopted, the director, officer or employee must not exercise any subsequent influence over the amount of securities to be traded, the price at which they are to be traded or the date of the trade. The Rule 10b5-1 Trading Plan must either specify the amount, pricing and timing of transactions in advance, include a formula or algorithm for determining the amount, pricing and timing, or delegate discretion on these matters to an independent third party.</w:t>
      </w:r>
    </w:p>
    <w:p>
      <w:pPr>
        <w:spacing w:after="0" w:line="183" w:lineRule="exact"/>
        <w:rPr>
          <w:sz w:val="20"/>
          <w:szCs w:val="20"/>
          <w:color w:val="auto"/>
        </w:rPr>
      </w:pPr>
    </w:p>
    <w:p>
      <w:pPr>
        <w:jc w:val="both"/>
        <w:ind w:left="200" w:right="479" w:firstLine="647"/>
        <w:spacing w:after="0" w:line="243" w:lineRule="auto"/>
        <w:rPr>
          <w:sz w:val="20"/>
          <w:szCs w:val="20"/>
          <w:color w:val="auto"/>
        </w:rPr>
      </w:pPr>
      <w:r>
        <w:rPr>
          <w:rFonts w:ascii="Times New Roman" w:cs="Times New Roman" w:eastAsia="Times New Roman" w:hAnsi="Times New Roman"/>
          <w:sz w:val="20"/>
          <w:szCs w:val="20"/>
          <w:color w:val="auto"/>
        </w:rPr>
        <w:t xml:space="preserve">Rule 10b5-1 Trading Plans entered into by individuals who are subject to Section 16 (a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16 Filer”</w:t>
      </w:r>
      <w:r>
        <w:rPr>
          <w:rFonts w:ascii="Times New Roman" w:cs="Times New Roman" w:eastAsia="Times New Roman" w:hAnsi="Times New Roman"/>
          <w:sz w:val="20"/>
          <w:szCs w:val="20"/>
          <w:color w:val="auto"/>
        </w:rPr>
        <w:t>) of the Exchange Act must include a mandatory cooling-off period of the later of (1) 90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plan adoption or modification or (2) two business days following disclosure in a periodic report of the Company’s financial results for that fiscal quarter; in any event, the required cooling-off period need not exceed 120 days. Should a Section 16 Filer adopt or modify a Rule 10b5-1 Trading Plan, he or she must provide a certification in the Rule 10b5-1 Trading Plan that he or she was unaware of any material nonpublic information about the Company at the time of adoption or modification and that the Rule 10b5-1 Trading Plan was made in good faith. For any individual other than a Section 16 Filer, a Rule 10b5-1 Trading Plan must include a mandatory cooling-off period of at least 30 days after the adoption of the plan.</w:t>
      </w:r>
    </w:p>
    <w:p>
      <w:pPr>
        <w:spacing w:after="0" w:line="186" w:lineRule="exact"/>
        <w:rPr>
          <w:sz w:val="20"/>
          <w:szCs w:val="20"/>
          <w:color w:val="auto"/>
        </w:rPr>
      </w:pPr>
    </w:p>
    <w:p>
      <w:pPr>
        <w:jc w:val="both"/>
        <w:ind w:left="200" w:right="479" w:firstLine="647"/>
        <w:spacing w:after="0" w:line="242" w:lineRule="auto"/>
        <w:rPr>
          <w:sz w:val="20"/>
          <w:szCs w:val="20"/>
          <w:color w:val="auto"/>
        </w:rPr>
      </w:pPr>
      <w:r>
        <w:rPr>
          <w:rFonts w:ascii="Times New Roman" w:cs="Times New Roman" w:eastAsia="Times New Roman" w:hAnsi="Times New Roman"/>
          <w:sz w:val="20"/>
          <w:szCs w:val="20"/>
          <w:color w:val="auto"/>
        </w:rPr>
        <w:t>Any Rule 10b5-1 Trading Plan of a director or officer who is subject to Section 16 of the Exchange Act must also include a requirement that the director or officer’s broker notify the Company before the close of business on the day after the execution of any transaction. No person may have more than one Rule 10b5-1 Trading Plan or overlapping Rule 10b5-1 Trading Plans, except to the extent permitted by Rule 10b5-1, and no person may have more than one single-trade Rule 10b5-1 Trading Plan during any 12-month period. Modifications to or terminations of Rule 10b5-1 Trading Plans must be carefully considered and generally are discouraged absent compelling circumstances. In all cases, any modification to or termination of a Rule 10b5-1 Trading Plan must also comply with all of the requirements set forth in this Policy, including pre-clearance, occurrence outside of a Black-Out Period and compliance with any required waiting period under Rule 10b5-1.</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76" w:name="page77"/>
    <w:bookmarkEnd w:id="76"/>
    <w:p>
      <w:pPr>
        <w:ind w:left="1260"/>
        <w:spacing w:after="0"/>
        <w:rPr>
          <w:sz w:val="20"/>
          <w:szCs w:val="20"/>
          <w:color w:val="auto"/>
        </w:rPr>
      </w:pPr>
      <w:r>
        <w:rPr>
          <w:rFonts w:ascii="Times New Roman" w:cs="Times New Roman" w:eastAsia="Times New Roman" w:hAnsi="Times New Roman"/>
          <w:sz w:val="20"/>
          <w:szCs w:val="20"/>
          <w:b w:val="1"/>
          <w:bCs w:val="1"/>
          <w:u w:val="single" w:color="auto"/>
          <w:color w:val="auto"/>
        </w:rPr>
        <w:t>Applicability of Policy to Inside Information Regarding Other Companies</w:t>
      </w:r>
    </w:p>
    <w:p>
      <w:pPr>
        <w:spacing w:after="0" w:line="220" w:lineRule="exact"/>
        <w:rPr>
          <w:sz w:val="20"/>
          <w:szCs w:val="20"/>
          <w:color w:val="auto"/>
        </w:rPr>
      </w:pPr>
    </w:p>
    <w:p>
      <w:pPr>
        <w:jc w:val="both"/>
        <w:ind w:left="200" w:right="479" w:firstLine="647"/>
        <w:spacing w:after="0" w:line="244" w:lineRule="auto"/>
        <w:rPr>
          <w:sz w:val="20"/>
          <w:szCs w:val="20"/>
          <w:color w:val="auto"/>
        </w:rPr>
      </w:pPr>
      <w:r>
        <w:rPr>
          <w:rFonts w:ascii="Times New Roman" w:cs="Times New Roman" w:eastAsia="Times New Roman" w:hAnsi="Times New Roman"/>
          <w:sz w:val="20"/>
          <w:szCs w:val="20"/>
          <w:color w:val="auto"/>
        </w:rPr>
        <w:t>This Policy and the guidelines described herein also apply to Material Nonpublic Information relating to other companies, including the Company’s customers, vendors or suppliers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partners</w:t>
      </w:r>
      <w:r>
        <w:rPr>
          <w:rFonts w:ascii="Times New Roman" w:cs="Times New Roman" w:eastAsia="Times New Roman" w:hAnsi="Times New Roman"/>
          <w:sz w:val="20"/>
          <w:szCs w:val="20"/>
          <w:color w:val="auto"/>
        </w:rPr>
        <w:t>”), when that information is obtained in the course of employment with, or other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performed on behalf of, the Company. Civil and criminal penalties, and termination of employment, may result from trading on inside information regarding the Company’s business partners. All employees should treat Material Nonpublic Information about the Company’s business partners with the same care required with respect to information related directly to the Company.</w:t>
      </w: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Section 16 Liability – Directors and Officers</w:t>
      </w:r>
    </w:p>
    <w:p>
      <w:pPr>
        <w:spacing w:after="0" w:line="220" w:lineRule="exact"/>
        <w:rPr>
          <w:sz w:val="20"/>
          <w:szCs w:val="20"/>
          <w:color w:val="auto"/>
        </w:rPr>
      </w:pPr>
    </w:p>
    <w:p>
      <w:pPr>
        <w:jc w:val="both"/>
        <w:ind w:left="200" w:right="479" w:firstLine="647"/>
        <w:spacing w:after="0" w:line="241" w:lineRule="auto"/>
        <w:rPr>
          <w:sz w:val="20"/>
          <w:szCs w:val="20"/>
          <w:color w:val="auto"/>
        </w:rPr>
      </w:pPr>
      <w:r>
        <w:rPr>
          <w:rFonts w:ascii="Times New Roman" w:cs="Times New Roman" w:eastAsia="Times New Roman" w:hAnsi="Times New Roman"/>
          <w:sz w:val="20"/>
          <w:szCs w:val="20"/>
          <w:color w:val="auto"/>
        </w:rPr>
        <w:t>Directors and certain officers of the Company must also comply with the reporting obligations and limitations on short-swing profit transactions set forth in Section 16 of the Exchange Act. The practical effect of these provisions is that these officers and directors who purchase and sell the Company’s securities within a six- month period must disgorge all profits to the Company whether or not they had knowledge of any Material Nonpublic Information. Under these provisions, and so long as certain other criteria are met, neither the receipt of stock or stock options under the Company’s stock plans, nor the exercise of options nor the receipt of stock under the Company’s 401(k) retirement plan is deemed a purchase that can be matched against a sale for Section 16(b) short swing profit disgorgement purposes; however, the sale of any such shares so obtained is a sale for these purposes. Moreover, no such director or officer may ever make a short sale of the Company’s common stock which is unlawful under Section 16(c) of the Exchange Act. The Company will provide separate memoranda and other appropriate materials to the affected officers and directors regarding compliance with Section 16 and its related rules.</w:t>
      </w:r>
    </w:p>
    <w:p>
      <w:pPr>
        <w:spacing w:after="0" w:line="224" w:lineRule="exact"/>
        <w:rPr>
          <w:sz w:val="20"/>
          <w:szCs w:val="20"/>
          <w:color w:val="auto"/>
        </w:rPr>
      </w:pPr>
    </w:p>
    <w:p>
      <w:pPr>
        <w:jc w:val="both"/>
        <w:ind w:left="200" w:right="479" w:firstLine="647"/>
        <w:spacing w:after="0" w:line="245" w:lineRule="auto"/>
        <w:rPr>
          <w:sz w:val="20"/>
          <w:szCs w:val="20"/>
          <w:color w:val="auto"/>
        </w:rPr>
      </w:pPr>
      <w:r>
        <w:rPr>
          <w:rFonts w:ascii="Times New Roman" w:cs="Times New Roman" w:eastAsia="Times New Roman" w:hAnsi="Times New Roman"/>
          <w:sz w:val="20"/>
          <w:szCs w:val="20"/>
          <w:color w:val="auto"/>
        </w:rPr>
        <w:t>To facilitate public reporting requirements, each director and officer subject to Section 16 requirements shall notify the Company of the occurrence of any purchase, sale or other acquisition or disposition of the Company’s securities as soon as possible following the transaction, but in any event within one business day after the transaction. Such notification may be oral or in writing (including by email) and should include the identity of the director or officer, the type of transaction, the date of the transaction, the amount of securities involved and the purchase or sale price.</w:t>
      </w:r>
    </w:p>
    <w:p>
      <w:pPr>
        <w:spacing w:after="0" w:line="194" w:lineRule="exact"/>
        <w:rPr>
          <w:sz w:val="20"/>
          <w:szCs w:val="20"/>
          <w:color w:val="auto"/>
        </w:rPr>
      </w:pPr>
    </w:p>
    <w:p>
      <w:pPr>
        <w:jc w:val="both"/>
        <w:ind w:left="200" w:right="479" w:firstLine="647"/>
        <w:spacing w:after="0" w:line="273" w:lineRule="auto"/>
        <w:rPr>
          <w:sz w:val="20"/>
          <w:szCs w:val="20"/>
          <w:color w:val="auto"/>
        </w:rPr>
      </w:pPr>
      <w:r>
        <w:rPr>
          <w:rFonts w:ascii="Times New Roman" w:cs="Times New Roman" w:eastAsia="Times New Roman" w:hAnsi="Times New Roman"/>
          <w:sz w:val="20"/>
          <w:szCs w:val="20"/>
          <w:b w:val="1"/>
          <w:bCs w:val="1"/>
          <w:color w:val="auto"/>
        </w:rPr>
        <w:t>The rules on recovery of short swing profits are absolute and do not depend on whether a person has knowledge of any Material Nonpublic Information.</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Publicly Traded Options</w:t>
      </w:r>
    </w:p>
    <w:p>
      <w:pPr>
        <w:spacing w:after="0" w:line="220" w:lineRule="exact"/>
        <w:rPr>
          <w:sz w:val="20"/>
          <w:szCs w:val="20"/>
          <w:color w:val="auto"/>
        </w:rPr>
      </w:pPr>
    </w:p>
    <w:p>
      <w:pPr>
        <w:jc w:val="both"/>
        <w:ind w:left="200" w:right="479" w:firstLine="647"/>
        <w:spacing w:after="0" w:line="244" w:lineRule="auto"/>
        <w:rPr>
          <w:sz w:val="20"/>
          <w:szCs w:val="20"/>
          <w:color w:val="auto"/>
        </w:rPr>
      </w:pPr>
      <w:r>
        <w:rPr>
          <w:rFonts w:ascii="Times New Roman" w:cs="Times New Roman" w:eastAsia="Times New Roman" w:hAnsi="Times New Roman"/>
          <w:sz w:val="20"/>
          <w:szCs w:val="20"/>
          <w:color w:val="auto"/>
        </w:rPr>
        <w:t>A transaction in options is, in effect, a bet on the short-term movement of the Company’s stock and therefore creates the appearance that the director or employee is trading based on inside information. Transactions in options also may focus the trader’s attention on short-term performance at the expense of the Company’s long-term objectives. Accordingly, any person subject to this Policy is prohibited from engaging in any transactions in puts, calls or other derivative securities, on an exchange or in any other organized market. Option positions arising from certain types of hedging transactions are governed by the section below captioned “Hedging or Monetization Transactions.”</w:t>
      </w:r>
    </w:p>
    <w:p>
      <w:pPr>
        <w:spacing w:after="0" w:line="1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Hedging or Monetization Transactions</w:t>
      </w:r>
    </w:p>
    <w:p>
      <w:pPr>
        <w:spacing w:after="0" w:line="233" w:lineRule="exact"/>
        <w:rPr>
          <w:sz w:val="20"/>
          <w:szCs w:val="20"/>
          <w:color w:val="auto"/>
        </w:rPr>
      </w:pPr>
    </w:p>
    <w:p>
      <w:pPr>
        <w:ind w:left="200" w:right="639" w:firstLine="647"/>
        <w:spacing w:after="0" w:line="295" w:lineRule="auto"/>
        <w:rPr>
          <w:sz w:val="20"/>
          <w:szCs w:val="20"/>
          <w:color w:val="auto"/>
        </w:rPr>
      </w:pPr>
      <w:r>
        <w:rPr>
          <w:rFonts w:ascii="Times New Roman" w:cs="Times New Roman" w:eastAsia="Times New Roman" w:hAnsi="Times New Roman"/>
          <w:sz w:val="19"/>
          <w:szCs w:val="19"/>
          <w:color w:val="auto"/>
        </w:rPr>
        <w:t>Hedging or monetization transactions are devices that allow a director, officer or employee (or other investor in Company securities) to lock in much of the value of his or her stock holdings, often in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77" w:name="page78"/>
    <w:bookmarkEnd w:id="77"/>
    <w:p>
      <w:pPr>
        <w:jc w:val="both"/>
        <w:ind w:left="200" w:right="479"/>
        <w:spacing w:after="0" w:line="243" w:lineRule="auto"/>
        <w:rPr>
          <w:sz w:val="20"/>
          <w:szCs w:val="20"/>
          <w:color w:val="auto"/>
        </w:rPr>
      </w:pPr>
      <w:r>
        <w:rPr>
          <w:rFonts w:ascii="Times New Roman" w:cs="Times New Roman" w:eastAsia="Times New Roman" w:hAnsi="Times New Roman"/>
          <w:sz w:val="20"/>
          <w:szCs w:val="20"/>
          <w:color w:val="auto"/>
        </w:rPr>
        <w:t>exchange for all or part of the potential for upside appreciation in the stock. These transactions would allow them to continue to own the covered securities, but without the full risks and rewards of ownership. When that occurs, their interests and the interests of the Company and its shareholders may be misaligned and may signal a message to the trading market that may not be in the best interests of the Company and its shareholders at the time it is conveyed. Therefore, any person subject to this Policy is prohibited from engaging in any purchases or sales of puts, calls, options or other derivative securities based on the Company’s securities, or any transactions which are intended as a hedging or monetization transaction.</w:t>
      </w:r>
    </w:p>
    <w:p>
      <w:pPr>
        <w:spacing w:after="0" w:line="1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Margin Accounts and Pledges</w:t>
      </w:r>
    </w:p>
    <w:p>
      <w:pPr>
        <w:spacing w:after="0" w:line="233" w:lineRule="exact"/>
        <w:rPr>
          <w:sz w:val="20"/>
          <w:szCs w:val="20"/>
          <w:color w:val="auto"/>
        </w:rPr>
      </w:pPr>
    </w:p>
    <w:p>
      <w:pPr>
        <w:jc w:val="both"/>
        <w:ind w:left="200" w:right="479" w:firstLine="647"/>
        <w:spacing w:after="0" w:line="244" w:lineRule="auto"/>
        <w:rPr>
          <w:sz w:val="20"/>
          <w:szCs w:val="20"/>
          <w:color w:val="auto"/>
        </w:rPr>
      </w:pPr>
      <w:r>
        <w:rPr>
          <w:rFonts w:ascii="Times New Roman" w:cs="Times New Roman" w:eastAsia="Times New Roman" w:hAnsi="Times New Roman"/>
          <w:sz w:val="20"/>
          <w:szCs w:val="20"/>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 pursuant to a Blackout Period restriction. Thus, any person subject to this Policy is prohibited from holding Company securities in a margin account to cover a margin call, or pledging Company Securities as collateral for a loan.</w:t>
      </w:r>
    </w:p>
    <w:p>
      <w:pPr>
        <w:spacing w:after="0" w:line="2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Standing Orders</w:t>
      </w:r>
    </w:p>
    <w:p>
      <w:pPr>
        <w:spacing w:after="0" w:line="220" w:lineRule="exact"/>
        <w:rPr>
          <w:sz w:val="20"/>
          <w:szCs w:val="20"/>
          <w:color w:val="auto"/>
        </w:rPr>
      </w:pPr>
    </w:p>
    <w:p>
      <w:pPr>
        <w:jc w:val="both"/>
        <w:ind w:left="200" w:right="479" w:firstLine="647"/>
        <w:spacing w:after="0" w:line="244" w:lineRule="auto"/>
        <w:rPr>
          <w:sz w:val="20"/>
          <w:szCs w:val="20"/>
          <w:color w:val="auto"/>
        </w:rPr>
      </w:pPr>
      <w:r>
        <w:rPr>
          <w:rFonts w:ascii="Times New Roman" w:cs="Times New Roman" w:eastAsia="Times New Roman" w:hAnsi="Times New Roman"/>
          <w:sz w:val="20"/>
          <w:szCs w:val="20"/>
          <w:color w:val="auto"/>
        </w:rPr>
        <w:t>A standing order leaves the seller with no control over the timing of the transaction. A standing order transaction executed by the broker when the seller is aware of Material Nonpublic Information or inside information may result in unlawful insider trading. The Company therefore discourages placing standing orders on the Company’s securities. Standing orders placed with a broker to sell or purchase stock at a specified price should be used only for a very brief period of time (i.e., no longer than one (1) week unless done within a Rule 10b5-1 Trading Plan and should otherwise comply with the restrictions and procedures outlined in this Policy.</w:t>
      </w:r>
    </w:p>
    <w:p>
      <w:pPr>
        <w:spacing w:after="0" w:line="1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Post-Termination Transactions</w:t>
      </w:r>
    </w:p>
    <w:p>
      <w:pPr>
        <w:spacing w:after="0" w:line="220" w:lineRule="exact"/>
        <w:rPr>
          <w:sz w:val="20"/>
          <w:szCs w:val="20"/>
          <w:color w:val="auto"/>
        </w:rPr>
      </w:pPr>
    </w:p>
    <w:p>
      <w:pPr>
        <w:jc w:val="both"/>
        <w:ind w:left="200" w:right="479" w:firstLine="647"/>
        <w:spacing w:after="0" w:line="246" w:lineRule="auto"/>
        <w:rPr>
          <w:sz w:val="20"/>
          <w:szCs w:val="20"/>
          <w:color w:val="auto"/>
        </w:rPr>
      </w:pPr>
      <w:r>
        <w:rPr>
          <w:rFonts w:ascii="Times New Roman" w:cs="Times New Roman" w:eastAsia="Times New Roman" w:hAnsi="Times New Roman"/>
          <w:sz w:val="20"/>
          <w:szCs w:val="20"/>
          <w:color w:val="auto"/>
        </w:rPr>
        <w:t>The prohibitions related to insider trading contained in this Policy continue to apply to transactions in Company securities even after a director, officer or employee has resigned or terminated employment. If the person who resigns or separates from the Company is in possession of Material Nonpublic Information at that time, he or she should not trade in Company securities until that information has become public or is no longer material.</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Communications with the Public</w:t>
      </w:r>
    </w:p>
    <w:p>
      <w:pPr>
        <w:spacing w:after="0" w:line="233" w:lineRule="exact"/>
        <w:rPr>
          <w:sz w:val="20"/>
          <w:szCs w:val="20"/>
          <w:color w:val="auto"/>
        </w:rPr>
      </w:pPr>
    </w:p>
    <w:p>
      <w:pPr>
        <w:jc w:val="both"/>
        <w:ind w:left="200" w:right="479" w:firstLine="647"/>
        <w:spacing w:after="0" w:line="256" w:lineRule="auto"/>
        <w:rPr>
          <w:sz w:val="20"/>
          <w:szCs w:val="20"/>
          <w:color w:val="auto"/>
        </w:rPr>
      </w:pPr>
      <w:r>
        <w:rPr>
          <w:rFonts w:ascii="Times New Roman" w:cs="Times New Roman" w:eastAsia="Times New Roman" w:hAnsi="Times New Roman"/>
          <w:sz w:val="19"/>
          <w:szCs w:val="19"/>
          <w:color w:val="auto"/>
        </w:rPr>
        <w:t>The Company is subject to the SEC’s Regulation FD and must avoid selective disclosure of Material Nonpublic Information. The Company has established procedures for releasing material information in a manner that is designed to achieve broad public dissemination of the information immediately upon its release. Pursuant to Company policy, only the executive officers who have been authorized to engage in communications with the public may disclose information to the public regarding the Company and its business activities and financial affairs. The public includes, without limitation, research analysts, portfolio managers, financial and business reporters, news media and investors. In addition, because of the risks associated with the exchange of information through such communications media, employees are strictly prohibited from posting or responding to messages containing information regarding the Company on social media, Internet “bulletin boards,” Internet “chat rooms” or in similar online forums. Employees who inadvertently disclose any Material Nonpublic Information must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78" w:name="page79"/>
    <w:bookmarkEnd w:id="78"/>
    <w:p>
      <w:pPr>
        <w:ind w:left="200" w:right="219"/>
        <w:spacing w:after="0" w:line="269" w:lineRule="auto"/>
        <w:rPr>
          <w:sz w:val="20"/>
          <w:szCs w:val="20"/>
          <w:color w:val="auto"/>
        </w:rPr>
      </w:pPr>
      <w:r>
        <w:rPr>
          <w:rFonts w:ascii="Times New Roman" w:cs="Times New Roman" w:eastAsia="Times New Roman" w:hAnsi="Times New Roman"/>
          <w:sz w:val="20"/>
          <w:szCs w:val="20"/>
          <w:color w:val="auto"/>
        </w:rPr>
        <w:t>immediately advise the Insider Trading Compliance Officer so the Company can assess its obligations under Regulation FD and other applicable securities laws.</w:t>
      </w:r>
    </w:p>
    <w:p>
      <w:pPr>
        <w:spacing w:after="0" w:line="1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Inquiries or Concerns</w:t>
      </w:r>
    </w:p>
    <w:p>
      <w:pPr>
        <w:spacing w:after="0" w:line="220" w:lineRule="exact"/>
        <w:rPr>
          <w:sz w:val="20"/>
          <w:szCs w:val="20"/>
          <w:color w:val="auto"/>
        </w:rPr>
      </w:pPr>
    </w:p>
    <w:p>
      <w:pPr>
        <w:jc w:val="both"/>
        <w:ind w:left="200" w:right="479" w:firstLine="647"/>
        <w:spacing w:after="0" w:line="254" w:lineRule="auto"/>
        <w:rPr>
          <w:sz w:val="20"/>
          <w:szCs w:val="20"/>
          <w:color w:val="auto"/>
        </w:rPr>
      </w:pPr>
      <w:r>
        <w:rPr>
          <w:rFonts w:ascii="Times New Roman" w:cs="Times New Roman" w:eastAsia="Times New Roman" w:hAnsi="Times New Roman"/>
          <w:sz w:val="20"/>
          <w:szCs w:val="20"/>
          <w:color w:val="auto"/>
        </w:rPr>
        <w:t>Please direct questions as to any of the matters discussed in this Policy, or concerns about potential violations of this Policy, to the Company’s Insider Trading Compliance Officer at the following address:</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Chief Financial Officer Citi Trends, Inc.</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104 Coleman Boulevard</w:t>
      </w:r>
    </w:p>
    <w:p>
      <w:pPr>
        <w:jc w:val="center"/>
        <w:ind w:right="279"/>
        <w:spacing w:after="0"/>
        <w:rPr>
          <w:sz w:val="20"/>
          <w:szCs w:val="20"/>
          <w:color w:val="auto"/>
        </w:rPr>
      </w:pPr>
      <w:r>
        <w:rPr>
          <w:rFonts w:ascii="Times New Roman" w:cs="Times New Roman" w:eastAsia="Times New Roman" w:hAnsi="Times New Roman"/>
          <w:sz w:val="20"/>
          <w:szCs w:val="20"/>
          <w:color w:val="auto"/>
        </w:rPr>
        <w:t>Savannah, GA 31408</w:t>
      </w:r>
    </w:p>
    <w:p>
      <w:pPr>
        <w:jc w:val="center"/>
        <w:ind w:right="279"/>
        <w:spacing w:after="0"/>
        <w:rPr>
          <w:sz w:val="20"/>
          <w:szCs w:val="20"/>
          <w:color w:val="auto"/>
        </w:rPr>
      </w:pPr>
      <w:r>
        <w:rPr>
          <w:rFonts w:ascii="Times New Roman" w:cs="Times New Roman" w:eastAsia="Times New Roman" w:hAnsi="Times New Roman"/>
          <w:sz w:val="20"/>
          <w:szCs w:val="20"/>
          <w:color w:val="auto"/>
        </w:rPr>
        <w:t>Telephone: (912) 236-1561</w:t>
      </w: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20" w:lineRule="exact"/>
        <w:rPr>
          <w:sz w:val="20"/>
          <w:szCs w:val="20"/>
          <w:color w:val="auto"/>
        </w:rPr>
      </w:pPr>
    </w:p>
    <w:p>
      <w:pPr>
        <w:ind w:left="200" w:right="619" w:firstLine="647"/>
        <w:spacing w:after="0" w:line="269" w:lineRule="auto"/>
        <w:rPr>
          <w:sz w:val="20"/>
          <w:szCs w:val="20"/>
          <w:color w:val="auto"/>
        </w:rPr>
      </w:pPr>
      <w:r>
        <w:rPr>
          <w:rFonts w:ascii="Times New Roman" w:cs="Times New Roman" w:eastAsia="Times New Roman" w:hAnsi="Times New Roman"/>
          <w:sz w:val="20"/>
          <w:szCs w:val="20"/>
          <w:color w:val="auto"/>
        </w:rPr>
        <w:t>All directors, officers and other employees of the Company must certify their understanding of, and intent to comply with, this Policy through their annual Code of Business Conduct certification.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58038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79" w:name="page80"/>
    <w:bookmarkEnd w:id="79"/>
    <w:tbl>
      <w:tblPr>
        <w:tblLayout w:type="fixed"/>
        <w:tblInd w:w="200" w:type="dxa"/>
        <w:tblCellMar>
          <w:top w:w="0" w:type="dxa"/>
          <w:left w:w="0" w:type="dxa"/>
          <w:bottom w:w="0" w:type="dxa"/>
          <w:right w:w="0" w:type="dxa"/>
        </w:tblCellMar>
      </w:tblPr>
      <w:tr>
        <w:trPr>
          <w:trHeight w:val="258"/>
        </w:trPr>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560" w:type="dxa"/>
            <w:vAlign w:val="bottom"/>
            <w:gridSpan w:val="2"/>
          </w:tcPr>
          <w:p>
            <w:pPr>
              <w:jc w:val="center"/>
              <w:ind w:left="1561"/>
              <w:spacing w:after="0"/>
              <w:rPr>
                <w:sz w:val="20"/>
                <w:szCs w:val="20"/>
                <w:color w:val="auto"/>
              </w:rPr>
            </w:pPr>
            <w:r>
              <w:rPr>
                <w:rFonts w:ascii="Times New Roman" w:cs="Times New Roman" w:eastAsia="Times New Roman" w:hAnsi="Times New Roman"/>
                <w:sz w:val="20"/>
                <w:szCs w:val="20"/>
                <w:color w:val="auto"/>
                <w:w w:val="98"/>
              </w:rPr>
              <w:t>EXHIBIT A</w:t>
            </w:r>
          </w:p>
        </w:tc>
      </w:tr>
      <w:tr>
        <w:trPr>
          <w:trHeight w:val="629"/>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2"/>
          </w:tcPr>
          <w:p>
            <w:pPr>
              <w:jc w:val="center"/>
              <w:ind w:left="1541"/>
              <w:spacing w:after="0"/>
              <w:rPr>
                <w:sz w:val="20"/>
                <w:szCs w:val="20"/>
                <w:color w:val="auto"/>
              </w:rPr>
            </w:pPr>
            <w:r>
              <w:rPr>
                <w:rFonts w:ascii="Times New Roman" w:cs="Times New Roman" w:eastAsia="Times New Roman" w:hAnsi="Times New Roman"/>
                <w:sz w:val="20"/>
                <w:szCs w:val="20"/>
                <w:b w:val="1"/>
                <w:bCs w:val="1"/>
                <w:color w:val="auto"/>
                <w:w w:val="99"/>
              </w:rPr>
              <w:t>CITI TRENDS, INC.</w:t>
            </w:r>
          </w:p>
        </w:tc>
      </w:tr>
      <w:tr>
        <w:trPr>
          <w:trHeight w:val="262"/>
        </w:trPr>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560" w:type="dxa"/>
            <w:vAlign w:val="bottom"/>
            <w:gridSpan w:val="2"/>
          </w:tcPr>
          <w:p>
            <w:pPr>
              <w:jc w:val="center"/>
              <w:ind w:left="1541"/>
              <w:spacing w:after="0"/>
              <w:rPr>
                <w:sz w:val="20"/>
                <w:szCs w:val="20"/>
                <w:color w:val="auto"/>
              </w:rPr>
            </w:pPr>
            <w:r>
              <w:rPr>
                <w:rFonts w:ascii="Times New Roman" w:cs="Times New Roman" w:eastAsia="Times New Roman" w:hAnsi="Times New Roman"/>
                <w:sz w:val="20"/>
                <w:szCs w:val="20"/>
                <w:b w:val="1"/>
                <w:bCs w:val="1"/>
                <w:color w:val="auto"/>
                <w:w w:val="98"/>
              </w:rPr>
              <w:t>PRE-CLEARANCE REQUEST FORM</w:t>
            </w:r>
          </w:p>
        </w:tc>
      </w:tr>
      <w:tr>
        <w:trPr>
          <w:trHeight w:val="77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To:</w:t>
            </w:r>
          </w:p>
        </w:tc>
        <w:tc>
          <w:tcPr>
            <w:tcW w:w="56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8"/>
              </w:rPr>
              <w:t>Citi Trends, Inc. (the “Company”) Insider Trading Compliance Officer</w:t>
            </w:r>
          </w:p>
        </w:tc>
      </w:tr>
      <w:tr>
        <w:trPr>
          <w:trHeight w:val="31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From:</w:t>
            </w:r>
          </w:p>
        </w:tc>
        <w:tc>
          <w:tcPr>
            <w:tcW w:w="1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100" w:type="dxa"/>
            <w:vAlign w:val="bottom"/>
          </w:tcPr>
          <w:p>
            <w:pPr>
              <w:spacing w:after="0"/>
              <w:rPr>
                <w:sz w:val="24"/>
                <w:szCs w:val="24"/>
                <w:color w:val="auto"/>
              </w:rPr>
            </w:pPr>
          </w:p>
        </w:tc>
      </w:tr>
      <w:tr>
        <w:trPr>
          <w:trHeight w:val="904"/>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Re:</w:t>
            </w:r>
          </w:p>
        </w:tc>
        <w:tc>
          <w:tcPr>
            <w:tcW w:w="56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Proposed transaction in the Company’s Securities</w:t>
            </w:r>
          </w:p>
        </w:tc>
      </w:tr>
    </w:tbl>
    <w:p>
      <w:pPr>
        <w:spacing w:after="0" w:line="3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is to advise you that the undersigned intends to execute a transaction in the Company’s</w:t>
      </w:r>
    </w:p>
    <w:p>
      <w:pPr>
        <w:spacing w:after="0" w:line="2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 xml:space="preserve">securities on , and does hereby request that the Company pre-clear the transaction as required by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-178435</wp:posOffset>
            </wp:positionV>
            <wp:extent cx="11906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175" w:lineRule="exact"/>
        <w:rPr>
          <w:sz w:val="20"/>
          <w:szCs w:val="20"/>
          <w:color w:val="auto"/>
        </w:rPr>
      </w:pPr>
    </w:p>
    <w:p>
      <w:pPr>
        <w:jc w:val="both"/>
        <w:ind w:left="200" w:right="219" w:firstLine="647"/>
        <w:spacing w:after="0" w:line="254" w:lineRule="auto"/>
        <w:rPr>
          <w:sz w:val="20"/>
          <w:szCs w:val="20"/>
          <w:color w:val="auto"/>
        </w:rPr>
      </w:pPr>
      <w:r>
        <w:rPr>
          <w:rFonts w:ascii="Times New Roman" w:cs="Times New Roman" w:eastAsia="Times New Roman" w:hAnsi="Times New Roman"/>
          <w:sz w:val="20"/>
          <w:szCs w:val="20"/>
          <w:color w:val="auto"/>
        </w:rPr>
        <w:t>The general nature of the transaction is as follows (i.e., open market purchase of 10,000 shares of common stock through The NASDAQ Stock Market, privately negotiated sale of warrants for the purchase of 5,000 shares of common stock,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193675</wp:posOffset>
            </wp:positionV>
            <wp:extent cx="55803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467995</wp:posOffset>
            </wp:positionV>
            <wp:extent cx="55803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00" w:right="219" w:firstLine="647"/>
        <w:spacing w:after="0" w:line="249" w:lineRule="auto"/>
        <w:rPr>
          <w:sz w:val="20"/>
          <w:szCs w:val="20"/>
          <w:color w:val="auto"/>
        </w:rPr>
      </w:pPr>
      <w:r>
        <w:rPr>
          <w:rFonts w:ascii="Times New Roman" w:cs="Times New Roman" w:eastAsia="Times New Roman" w:hAnsi="Times New Roman"/>
          <w:sz w:val="20"/>
          <w:szCs w:val="20"/>
          <w:color w:val="auto"/>
        </w:rPr>
        <w:t>The undersigned is not in possession of Material Nonpublic Information (as defined in the Policy) about the Company and will not enter into the transaction if the undersigned comes into possession of Material Nonpublic Information about the Company between the date hereof and the proposed trade execution date.</w:t>
      </w:r>
    </w:p>
    <w:p>
      <w:pPr>
        <w:spacing w:after="0" w:line="193" w:lineRule="exact"/>
        <w:rPr>
          <w:sz w:val="20"/>
          <w:szCs w:val="20"/>
          <w:color w:val="auto"/>
        </w:rPr>
      </w:pPr>
    </w:p>
    <w:p>
      <w:pPr>
        <w:jc w:val="both"/>
        <w:ind w:left="200" w:right="219" w:firstLine="647"/>
        <w:spacing w:after="0" w:line="269" w:lineRule="auto"/>
        <w:rPr>
          <w:sz w:val="20"/>
          <w:szCs w:val="20"/>
          <w:color w:val="auto"/>
        </w:rPr>
      </w:pPr>
      <w:r>
        <w:rPr>
          <w:rFonts w:ascii="Times New Roman" w:cs="Times New Roman" w:eastAsia="Times New Roman" w:hAnsi="Times New Roman"/>
          <w:sz w:val="20"/>
          <w:szCs w:val="20"/>
          <w:color w:val="auto"/>
        </w:rPr>
        <w:t>The undersigned has read and understands the Policy and certifies that the above proposed transaction will not violate the Policy.</w:t>
      </w:r>
    </w:p>
    <w:p>
      <w:pPr>
        <w:spacing w:after="0" w:line="173" w:lineRule="exact"/>
        <w:rPr>
          <w:sz w:val="20"/>
          <w:szCs w:val="20"/>
          <w:color w:val="auto"/>
        </w:rPr>
      </w:pPr>
    </w:p>
    <w:p>
      <w:pPr>
        <w:jc w:val="both"/>
        <w:ind w:left="200" w:right="219" w:firstLine="647"/>
        <w:spacing w:after="0" w:line="249" w:lineRule="auto"/>
        <w:rPr>
          <w:sz w:val="20"/>
          <w:szCs w:val="20"/>
          <w:color w:val="auto"/>
        </w:rPr>
      </w:pPr>
      <w:r>
        <w:rPr>
          <w:rFonts w:ascii="Times New Roman" w:cs="Times New Roman" w:eastAsia="Times New Roman" w:hAnsi="Times New Roman"/>
          <w:sz w:val="20"/>
          <w:szCs w:val="20"/>
          <w:color w:val="auto"/>
        </w:rPr>
        <w:t>The undersigned agrees to advise the Company promptly if, as a result of future developments, any of the foregoing information becomes inaccurate or incomplete in any respect. The undersigned understands that the Company may require additional information about the transaction, and agrees to provide such information upon request.</w:t>
      </w:r>
    </w:p>
    <w:p>
      <w:pPr>
        <w:spacing w:after="0" w:line="23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13970</wp:posOffset>
            </wp:positionV>
            <wp:extent cx="4817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424815</wp:posOffset>
            </wp:positionV>
            <wp:extent cx="2400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[Print Name]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288290</wp:posOffset>
            </wp:positionV>
            <wp:extent cx="24688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Insider Trading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506730</wp:posOffset>
            </wp:positionV>
            <wp:extent cx="558038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80" w:name="page81"/>
    <w:bookmarkEnd w:id="80"/>
    <w:tbl>
      <w:tblPr>
        <w:tblLayout w:type="fixed"/>
        <w:tblInd w:w="40" w:type="dxa"/>
        <w:tblCellMar>
          <w:top w:w="0" w:type="dxa"/>
          <w:left w:w="0" w:type="dxa"/>
          <w:bottom w:w="0" w:type="dxa"/>
          <w:right w:w="0" w:type="dxa"/>
        </w:tblCellMar>
      </w:tblPr>
      <w:tr>
        <w:trPr>
          <w:trHeight w:val="237"/>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3"/>
          </w:tcPr>
          <w:p>
            <w:pPr>
              <w:ind w:left="2200"/>
              <w:spacing w:after="0"/>
              <w:rPr>
                <w:sz w:val="20"/>
                <w:szCs w:val="20"/>
                <w:color w:val="auto"/>
              </w:rPr>
            </w:pPr>
            <w:r>
              <w:rPr>
                <w:rFonts w:ascii="Arial" w:cs="Arial" w:eastAsia="Arial" w:hAnsi="Arial"/>
                <w:sz w:val="17"/>
                <w:szCs w:val="17"/>
                <w:b w:val="1"/>
                <w:bCs w:val="1"/>
                <w:color w:val="auto"/>
                <w:w w:val="99"/>
              </w:rPr>
              <w:t>Exhibit 21.1</w:t>
            </w:r>
          </w:p>
        </w:tc>
        <w:tc>
          <w:tcPr>
            <w:tcW w:w="0" w:type="dxa"/>
            <w:vAlign w:val="bottom"/>
          </w:tcPr>
          <w:p>
            <w:pPr>
              <w:spacing w:after="0"/>
              <w:rPr>
                <w:sz w:val="1"/>
                <w:szCs w:val="1"/>
                <w:color w:val="auto"/>
              </w:rPr>
            </w:pPr>
          </w:p>
        </w:tc>
      </w:tr>
      <w:tr>
        <w:trPr>
          <w:trHeight w:val="405"/>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Subsidiary of the Registrant</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 of</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Names Under Which</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Incorporation</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Subsidiary Does Business</w:t>
            </w: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Marketing Solutions, Inc.</w:t>
            </w:r>
          </w:p>
        </w:tc>
        <w:tc>
          <w:tcPr>
            <w:tcW w:w="24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Idaho</w:t>
            </w:r>
          </w:p>
        </w:tc>
        <w:tc>
          <w:tcPr>
            <w:tcW w:w="314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9"/>
              </w:rPr>
              <w:t>Citi Trends Marketing Solutions, Inc.</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3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5" w:right="1440" w:bottom="1440" w:gutter="0" w:footer="0" w:header="0"/>
        </w:sectPr>
      </w:pPr>
    </w:p>
    <w:bookmarkStart w:id="81" w:name="page82"/>
    <w:bookmarkEnd w:id="81"/>
    <w:p>
      <w:pPr>
        <w:jc w:val="right"/>
        <w:ind w:right="59"/>
        <w:spacing w:after="0"/>
        <w:rPr>
          <w:sz w:val="20"/>
          <w:szCs w:val="20"/>
          <w:color w:val="auto"/>
        </w:rPr>
      </w:pPr>
      <w:r>
        <w:rPr>
          <w:rFonts w:ascii="Arial" w:cs="Arial" w:eastAsia="Arial" w:hAnsi="Arial"/>
          <w:sz w:val="17"/>
          <w:szCs w:val="17"/>
          <w:color w:val="auto"/>
        </w:rPr>
        <w:t>Exhibit 23.1</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ind w:left="40" w:right="59"/>
        <w:spacing w:after="0" w:line="277" w:lineRule="auto"/>
        <w:rPr>
          <w:sz w:val="20"/>
          <w:szCs w:val="20"/>
          <w:color w:val="auto"/>
        </w:rPr>
      </w:pPr>
      <w:r>
        <w:rPr>
          <w:rFonts w:ascii="Arial" w:cs="Arial" w:eastAsia="Arial" w:hAnsi="Arial"/>
          <w:sz w:val="17"/>
          <w:szCs w:val="17"/>
          <w:color w:val="auto"/>
        </w:rPr>
        <w:t>We consent to the incorporation by reference in Registration Statement Nos. 333-280441 and 333-256946 on Form S-8 of our reports dated April 16, 2025, relating to the consolidated financial statements of Citi Trends, Inc. and the effectiveness of Citi Trends, Inc.’s internal control over financial reporting appearing in this Annual Report on Form 10-K for the year ended February 1, 2025.</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Deloitte &amp; Touche LLP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Atlanta, Georgia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April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PRINCIPAL EXECUTIVE OFFICER PURSUANT TO 17 CFR 240.13a-14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PROMULGATED UNDER SECTION 302 OF THE SARBANES-OXLEY ACT OF 2002</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 Kenneth D. Seipel, certify that:</w:t>
      </w:r>
    </w:p>
    <w:p>
      <w:pPr>
        <w:spacing w:after="0" w:line="18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69" w:lineRule="exact"/>
        <w:rPr>
          <w:rFonts w:ascii="Arial" w:cs="Arial" w:eastAsia="Arial" w:hAnsi="Arial"/>
          <w:sz w:val="17"/>
          <w:szCs w:val="17"/>
          <w:color w:val="auto"/>
        </w:rPr>
      </w:pPr>
    </w:p>
    <w:p>
      <w:pPr>
        <w:ind w:left="660" w:hanging="652"/>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w:t>
      </w:r>
    </w:p>
    <w:p>
      <w:pPr>
        <w:spacing w:after="0" w:line="47" w:lineRule="exact"/>
        <w:rPr>
          <w:rFonts w:ascii="Arial" w:cs="Arial" w:eastAsia="Arial" w:hAnsi="Arial"/>
          <w:sz w:val="17"/>
          <w:szCs w:val="17"/>
          <w:color w:val="auto"/>
        </w:rPr>
      </w:pPr>
    </w:p>
    <w:p>
      <w:pPr>
        <w:ind w:left="660" w:right="180"/>
        <w:spacing w:after="0" w:line="317" w:lineRule="auto"/>
        <w:rPr>
          <w:rFonts w:ascii="Arial" w:cs="Arial" w:eastAsia="Arial" w:hAnsi="Arial"/>
          <w:sz w:val="17"/>
          <w:szCs w:val="17"/>
          <w:color w:val="auto"/>
        </w:rPr>
      </w:pPr>
      <w:r>
        <w:rPr>
          <w:rFonts w:ascii="Arial" w:cs="Arial" w:eastAsia="Arial" w:hAnsi="Arial"/>
          <w:sz w:val="17"/>
          <w:szCs w:val="17"/>
          <w:color w:val="auto"/>
        </w:rPr>
        <w:t>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7"/>
          <w:szCs w:val="17"/>
          <w:color w:val="auto"/>
        </w:rPr>
      </w:pPr>
    </w:p>
    <w:p>
      <w:pPr>
        <w:ind w:left="660" w:hanging="652"/>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w:t>
      </w:r>
    </w:p>
    <w:p>
      <w:pPr>
        <w:spacing w:after="0" w:line="47" w:lineRule="exact"/>
        <w:rPr>
          <w:rFonts w:ascii="Arial" w:cs="Arial" w:eastAsia="Arial" w:hAnsi="Arial"/>
          <w:sz w:val="17"/>
          <w:szCs w:val="17"/>
          <w:color w:val="auto"/>
        </w:rPr>
      </w:pPr>
    </w:p>
    <w:p>
      <w:pPr>
        <w:ind w:left="660" w:right="40"/>
        <w:spacing w:after="0" w:line="317" w:lineRule="auto"/>
        <w:rPr>
          <w:rFonts w:ascii="Arial" w:cs="Arial" w:eastAsia="Arial" w:hAnsi="Arial"/>
          <w:sz w:val="17"/>
          <w:szCs w:val="17"/>
          <w:color w:val="auto"/>
        </w:rPr>
      </w:pPr>
      <w:r>
        <w:rPr>
          <w:rFonts w:ascii="Arial" w:cs="Arial" w:eastAsia="Arial" w:hAnsi="Arial"/>
          <w:sz w:val="17"/>
          <w:szCs w:val="17"/>
          <w:color w:val="auto"/>
        </w:rPr>
        <w:t>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hanging="652"/>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w:t>
      </w:r>
    </w:p>
    <w:p>
      <w:pPr>
        <w:spacing w:after="0" w:line="47" w:lineRule="exact"/>
        <w:rPr>
          <w:rFonts w:ascii="Arial" w:cs="Arial" w:eastAsia="Arial" w:hAnsi="Arial"/>
          <w:sz w:val="17"/>
          <w:szCs w:val="17"/>
          <w:color w:val="auto"/>
        </w:rPr>
      </w:pPr>
    </w:p>
    <w:p>
      <w:pPr>
        <w:ind w:left="660" w:right="220"/>
        <w:spacing w:after="0" w:line="317" w:lineRule="auto"/>
        <w:rPr>
          <w:rFonts w:ascii="Arial" w:cs="Arial" w:eastAsia="Arial" w:hAnsi="Arial"/>
          <w:sz w:val="17"/>
          <w:szCs w:val="17"/>
          <w:color w:val="auto"/>
        </w:rPr>
      </w:pPr>
      <w:r>
        <w:rPr>
          <w:rFonts w:ascii="Arial" w:cs="Arial" w:eastAsia="Arial" w:hAnsi="Arial"/>
          <w:sz w:val="17"/>
          <w:szCs w:val="17"/>
          <w:color w:val="auto"/>
        </w:rPr>
        <w:t>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17"/>
          <w:szCs w:val="17"/>
          <w:color w:val="auto"/>
        </w:rPr>
      </w:pPr>
    </w:p>
    <w:p>
      <w:pPr>
        <w:ind w:left="1300" w:right="340" w:hanging="644"/>
        <w:spacing w:after="0" w:line="29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1300" w:right="60" w:hanging="644"/>
        <w:spacing w:after="0" w:line="29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300" w:right="20" w:hanging="644"/>
        <w:spacing w:after="0" w:line="299"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8"/>
          <w:szCs w:val="18"/>
          <w:color w:val="auto"/>
        </w:rPr>
      </w:pPr>
    </w:p>
    <w:p>
      <w:pPr>
        <w:ind w:left="1300" w:right="60" w:hanging="644"/>
        <w:spacing w:after="0" w:line="29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w:t>
      </w:r>
    </w:p>
    <w:p>
      <w:pPr>
        <w:spacing w:after="0" w:line="47" w:lineRule="exact"/>
        <w:rPr>
          <w:rFonts w:ascii="Arial" w:cs="Arial" w:eastAsia="Arial" w:hAnsi="Arial"/>
          <w:sz w:val="17"/>
          <w:szCs w:val="17"/>
          <w:color w:val="auto"/>
        </w:rPr>
      </w:pPr>
    </w:p>
    <w:p>
      <w:pPr>
        <w:ind w:left="660" w:right="340"/>
        <w:spacing w:after="0" w:line="317" w:lineRule="auto"/>
        <w:rPr>
          <w:rFonts w:ascii="Arial" w:cs="Arial" w:eastAsia="Arial" w:hAnsi="Arial"/>
          <w:sz w:val="17"/>
          <w:szCs w:val="17"/>
          <w:color w:val="auto"/>
        </w:rPr>
      </w:pPr>
      <w:r>
        <w:rPr>
          <w:rFonts w:ascii="Arial" w:cs="Arial" w:eastAsia="Arial" w:hAnsi="Arial"/>
          <w:sz w:val="17"/>
          <w:szCs w:val="17"/>
          <w:color w:val="auto"/>
        </w:rPr>
        <w:t>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300" w:right="100" w:hanging="644"/>
        <w:spacing w:after="0" w:line="299"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1300" w:right="220" w:hanging="644"/>
        <w:spacing w:after="0" w:line="320"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April 16, 2025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Kenneth D. Seipel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488315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83" w:name="page84"/>
    <w:bookmarkEnd w:id="83"/>
    <w:p>
      <w:pPr>
        <w:ind w:left="8702"/>
        <w:spacing w:after="0"/>
        <w:rPr>
          <w:sz w:val="20"/>
          <w:szCs w:val="20"/>
          <w:color w:val="auto"/>
        </w:rPr>
      </w:pPr>
      <w:r>
        <w:rPr>
          <w:rFonts w:ascii="Arial" w:cs="Arial" w:eastAsia="Arial" w:hAnsi="Arial"/>
          <w:sz w:val="17"/>
          <w:szCs w:val="17"/>
          <w:b w:val="1"/>
          <w:bCs w:val="1"/>
          <w:color w:val="auto"/>
        </w:rPr>
        <w:t>Exhibit 31.2</w:t>
      </w:r>
    </w:p>
    <w:p>
      <w:pPr>
        <w:spacing w:after="0" w:line="198" w:lineRule="exact"/>
        <w:rPr>
          <w:sz w:val="20"/>
          <w:szCs w:val="20"/>
          <w:color w:val="auto"/>
        </w:rPr>
      </w:pPr>
    </w:p>
    <w:p>
      <w:pPr>
        <w:jc w:val="center"/>
        <w:ind w:left="2020" w:right="180"/>
        <w:spacing w:after="0" w:line="267" w:lineRule="auto"/>
        <w:rPr>
          <w:sz w:val="20"/>
          <w:szCs w:val="20"/>
          <w:color w:val="auto"/>
        </w:rPr>
      </w:pPr>
      <w:r>
        <w:rPr>
          <w:rFonts w:ascii="Arial" w:cs="Arial" w:eastAsia="Arial" w:hAnsi="Arial"/>
          <w:sz w:val="17"/>
          <w:szCs w:val="17"/>
          <w:color w:val="auto"/>
        </w:rPr>
        <w:t>CERTIFICATION OF PRINCIPAL FINANCIAL OFFICER PURSUANT TO 17 CFR 240.13a-14 PROMULGATED UNDER SECTION 302 OF THE SARBANES-OXLEY ACT OF 2002</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7"/>
          <w:szCs w:val="17"/>
          <w:color w:val="auto"/>
        </w:rPr>
        <w:t>I, Heather Plutino, certify that:</w:t>
      </w:r>
    </w:p>
    <w:p>
      <w:pPr>
        <w:spacing w:after="0" w:line="183" w:lineRule="exact"/>
        <w:rPr>
          <w:sz w:val="20"/>
          <w:szCs w:val="20"/>
          <w:color w:val="auto"/>
        </w:rPr>
      </w:pPr>
    </w:p>
    <w:p>
      <w:pPr>
        <w:ind w:left="622" w:hanging="622"/>
        <w:spacing w:after="0"/>
        <w:tabs>
          <w:tab w:leader="none" w:pos="622"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55" w:lineRule="exact"/>
        <w:rPr>
          <w:rFonts w:ascii="Arial" w:cs="Arial" w:eastAsia="Arial" w:hAnsi="Arial"/>
          <w:sz w:val="17"/>
          <w:szCs w:val="17"/>
          <w:color w:val="auto"/>
        </w:rPr>
      </w:pPr>
    </w:p>
    <w:p>
      <w:pPr>
        <w:ind w:left="642" w:right="200" w:hanging="642"/>
        <w:spacing w:after="0" w:line="299" w:lineRule="auto"/>
        <w:tabs>
          <w:tab w:leader="none" w:pos="6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7"/>
          <w:szCs w:val="17"/>
          <w:color w:val="auto"/>
        </w:rPr>
      </w:pPr>
    </w:p>
    <w:p>
      <w:pPr>
        <w:jc w:val="both"/>
        <w:ind w:left="642" w:right="260" w:hanging="642"/>
        <w:spacing w:after="0" w:line="299" w:lineRule="auto"/>
        <w:tabs>
          <w:tab w:leader="none" w:pos="6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642" w:right="340" w:hanging="642"/>
        <w:spacing w:after="0" w:line="299" w:lineRule="auto"/>
        <w:tabs>
          <w:tab w:leader="none" w:pos="60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ind w:left="1302" w:right="40" w:hanging="654"/>
        <w:spacing w:after="0" w:line="299" w:lineRule="auto"/>
        <w:tabs>
          <w:tab w:leader="none" w:pos="1243"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7"/>
          <w:szCs w:val="17"/>
          <w:color w:val="auto"/>
        </w:rPr>
      </w:pPr>
    </w:p>
    <w:p>
      <w:pPr>
        <w:ind w:left="1302" w:right="180" w:hanging="654"/>
        <w:spacing w:after="0" w:line="290" w:lineRule="auto"/>
        <w:tabs>
          <w:tab w:leader="none" w:pos="1243"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w:t>
      </w:r>
    </w:p>
    <w:p>
      <w:pPr>
        <w:ind w:left="1302" w:right="580"/>
        <w:spacing w:after="0" w:line="317" w:lineRule="auto"/>
        <w:rPr>
          <w:rFonts w:ascii="Arial" w:cs="Arial" w:eastAsia="Arial" w:hAnsi="Arial"/>
          <w:sz w:val="17"/>
          <w:szCs w:val="17"/>
          <w:color w:val="auto"/>
        </w:rPr>
      </w:pPr>
      <w:r>
        <w:rPr>
          <w:rFonts w:ascii="Arial" w:cs="Arial" w:eastAsia="Arial" w:hAnsi="Arial"/>
          <w:sz w:val="17"/>
          <w:szCs w:val="17"/>
          <w:color w:val="auto"/>
        </w:rPr>
        <w:t>reporting and the preparation of financial statements for external purposes in accordance with generally accepted accounting principles;</w:t>
      </w:r>
    </w:p>
    <w:p>
      <w:pPr>
        <w:spacing w:after="0" w:line="50" w:lineRule="exact"/>
        <w:rPr>
          <w:rFonts w:ascii="Arial" w:cs="Arial" w:eastAsia="Arial" w:hAnsi="Arial"/>
          <w:sz w:val="17"/>
          <w:szCs w:val="17"/>
          <w:color w:val="auto"/>
        </w:rPr>
      </w:pPr>
    </w:p>
    <w:p>
      <w:pPr>
        <w:ind w:left="1282" w:hanging="634"/>
        <w:spacing w:after="0"/>
        <w:tabs>
          <w:tab w:leader="none" w:pos="1282"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w:t>
      </w:r>
    </w:p>
    <w:p>
      <w:pPr>
        <w:spacing w:after="0" w:line="47" w:lineRule="exact"/>
        <w:rPr>
          <w:rFonts w:ascii="Arial" w:cs="Arial" w:eastAsia="Arial" w:hAnsi="Arial"/>
          <w:sz w:val="17"/>
          <w:szCs w:val="17"/>
          <w:color w:val="auto"/>
        </w:rPr>
      </w:pPr>
    </w:p>
    <w:p>
      <w:pPr>
        <w:ind w:left="1302" w:right="140"/>
        <w:spacing w:after="0" w:line="317" w:lineRule="auto"/>
        <w:rPr>
          <w:rFonts w:ascii="Arial" w:cs="Arial" w:eastAsia="Arial" w:hAnsi="Arial"/>
          <w:sz w:val="17"/>
          <w:szCs w:val="17"/>
          <w:color w:val="auto"/>
        </w:rPr>
      </w:pPr>
      <w:r>
        <w:rPr>
          <w:rFonts w:ascii="Arial" w:cs="Arial" w:eastAsia="Arial" w:hAnsi="Arial"/>
          <w:sz w:val="17"/>
          <w:szCs w:val="17"/>
          <w:color w:val="auto"/>
        </w:rPr>
        <w:t>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7"/>
          <w:szCs w:val="17"/>
          <w:color w:val="auto"/>
        </w:rPr>
      </w:pPr>
    </w:p>
    <w:p>
      <w:pPr>
        <w:ind w:left="1282" w:hanging="634"/>
        <w:spacing w:after="0"/>
        <w:tabs>
          <w:tab w:leader="none" w:pos="1282"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w:t>
      </w:r>
    </w:p>
    <w:p>
      <w:pPr>
        <w:spacing w:after="0" w:line="47" w:lineRule="exact"/>
        <w:rPr>
          <w:rFonts w:ascii="Arial" w:cs="Arial" w:eastAsia="Arial" w:hAnsi="Arial"/>
          <w:sz w:val="17"/>
          <w:szCs w:val="17"/>
          <w:color w:val="auto"/>
        </w:rPr>
      </w:pPr>
    </w:p>
    <w:p>
      <w:pPr>
        <w:ind w:left="1302" w:right="160"/>
        <w:spacing w:after="0" w:line="299" w:lineRule="auto"/>
        <w:rPr>
          <w:rFonts w:ascii="Arial" w:cs="Arial" w:eastAsia="Arial" w:hAnsi="Arial"/>
          <w:sz w:val="17"/>
          <w:szCs w:val="17"/>
          <w:color w:val="auto"/>
        </w:rPr>
      </w:pPr>
      <w:r>
        <w:rPr>
          <w:rFonts w:ascii="Arial" w:cs="Arial" w:eastAsia="Arial" w:hAnsi="Arial"/>
          <w:sz w:val="17"/>
          <w:szCs w:val="17"/>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22" w:hanging="622"/>
        <w:spacing w:after="0"/>
        <w:tabs>
          <w:tab w:leader="none" w:pos="62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w:t>
      </w:r>
    </w:p>
    <w:p>
      <w:pPr>
        <w:spacing w:after="0" w:line="48" w:lineRule="exact"/>
        <w:rPr>
          <w:sz w:val="20"/>
          <w:szCs w:val="20"/>
          <w:color w:val="auto"/>
        </w:rPr>
      </w:pPr>
    </w:p>
    <w:p>
      <w:pPr>
        <w:ind w:left="642" w:right="460"/>
        <w:spacing w:after="0" w:line="317" w:lineRule="auto"/>
        <w:rPr>
          <w:sz w:val="20"/>
          <w:szCs w:val="20"/>
          <w:color w:val="auto"/>
        </w:rPr>
      </w:pPr>
      <w:r>
        <w:rPr>
          <w:rFonts w:ascii="Arial" w:cs="Arial" w:eastAsia="Arial" w:hAnsi="Arial"/>
          <w:sz w:val="17"/>
          <w:szCs w:val="17"/>
          <w:color w:val="auto"/>
        </w:rPr>
        <w:t>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1282" w:hanging="634"/>
        <w:spacing w:after="0"/>
        <w:tabs>
          <w:tab w:leader="none" w:pos="1282"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spacing w:after="0" w:line="48" w:lineRule="exact"/>
        <w:rPr>
          <w:sz w:val="20"/>
          <w:szCs w:val="20"/>
          <w:color w:val="auto"/>
        </w:rPr>
      </w:pPr>
    </w:p>
    <w:p>
      <w:pPr>
        <w:ind w:left="1302" w:right="340" w:firstLine="133"/>
        <w:spacing w:after="0" w:line="317" w:lineRule="auto"/>
        <w:rPr>
          <w:sz w:val="20"/>
          <w:szCs w:val="20"/>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51" w:lineRule="exact"/>
        <w:rPr>
          <w:sz w:val="20"/>
          <w:szCs w:val="20"/>
          <w:color w:val="auto"/>
        </w:rPr>
      </w:pPr>
    </w:p>
    <w:p>
      <w:pPr>
        <w:ind w:left="1302" w:right="260" w:hanging="654"/>
        <w:spacing w:after="0" w:line="334" w:lineRule="auto"/>
        <w:tabs>
          <w:tab w:leader="none" w:pos="129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102"/>
        <w:spacing w:after="0"/>
        <w:rPr>
          <w:sz w:val="20"/>
          <w:szCs w:val="20"/>
          <w:color w:val="auto"/>
        </w:rPr>
      </w:pPr>
      <w:r>
        <w:rPr>
          <w:rFonts w:ascii="Arial" w:cs="Arial" w:eastAsia="Arial" w:hAnsi="Arial"/>
          <w:sz w:val="17"/>
          <w:szCs w:val="17"/>
          <w:color w:val="auto"/>
        </w:rPr>
        <w:t>Date: April 16, 2025</w:t>
      </w:r>
    </w:p>
    <w:p>
      <w:pPr>
        <w:spacing w:after="0" w:line="372" w:lineRule="exact"/>
        <w:rPr>
          <w:sz w:val="20"/>
          <w:szCs w:val="20"/>
          <w:color w:val="auto"/>
        </w:rPr>
      </w:pPr>
    </w:p>
    <w:p>
      <w:pPr>
        <w:ind w:left="102"/>
        <w:spacing w:after="0"/>
        <w:rPr>
          <w:sz w:val="20"/>
          <w:szCs w:val="20"/>
          <w:color w:val="auto"/>
        </w:rPr>
      </w:pPr>
      <w:r>
        <w:rPr>
          <w:rFonts w:ascii="Arial" w:cs="Arial" w:eastAsia="Arial" w:hAnsi="Arial"/>
          <w:sz w:val="17"/>
          <w:szCs w:val="17"/>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0600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102"/>
        <w:spacing w:after="0"/>
        <w:rPr>
          <w:sz w:val="20"/>
          <w:szCs w:val="20"/>
          <w:color w:val="auto"/>
        </w:rPr>
      </w:pPr>
      <w:r>
        <w:rPr>
          <w:rFonts w:ascii="Arial" w:cs="Arial" w:eastAsia="Arial" w:hAnsi="Arial"/>
          <w:sz w:val="17"/>
          <w:szCs w:val="17"/>
          <w:color w:val="auto"/>
        </w:rPr>
        <w:t>Heather Plutino</w:t>
      </w:r>
    </w:p>
    <w:p>
      <w:pPr>
        <w:ind w:left="102"/>
        <w:spacing w:after="0" w:line="232" w:lineRule="auto"/>
        <w:rPr>
          <w:sz w:val="20"/>
          <w:szCs w:val="20"/>
          <w:color w:val="auto"/>
        </w:rPr>
      </w:pPr>
      <w:r>
        <w:rPr>
          <w:rFonts w:ascii="Arial" w:cs="Arial" w:eastAsia="Arial" w:hAnsi="Arial"/>
          <w:sz w:val="17"/>
          <w:szCs w:val="17"/>
          <w:color w:val="auto"/>
        </w:rPr>
        <w:t>Chief Financial Officer</w:t>
      </w:r>
    </w:p>
    <w:p>
      <w:pPr>
        <w:ind w:left="102"/>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61379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6137910" cy="25400"/>
                    </a:xfrm>
                    <a:prstGeom prst="rect">
                      <a:avLst/>
                    </a:prstGeom>
                    <a:noFill/>
                  </pic:spPr>
                </pic:pic>
              </a:graphicData>
            </a:graphic>
          </wp:anchor>
        </w:drawing>
      </w:r>
    </w:p>
    <w:p>
      <w:pPr>
        <w:sectPr>
          <w:pgSz w:w="11900" w:h="16838" w:orient="portrait"/>
          <w:cols w:equalWidth="0" w:num="1">
            <w:col w:w="9662"/>
          </w:cols>
          <w:pgMar w:left="1118" w:top="115" w:right="1119" w:bottom="1440" w:gutter="0" w:footer="0" w:header="0"/>
        </w:sectPr>
      </w:pPr>
    </w:p>
    <w:bookmarkStart w:id="84" w:name="page85"/>
    <w:bookmarkEnd w:id="84"/>
    <w:p>
      <w:pPr>
        <w:ind w:left="8180"/>
        <w:spacing w:after="0"/>
        <w:rPr>
          <w:sz w:val="20"/>
          <w:szCs w:val="20"/>
          <w:color w:val="auto"/>
        </w:rPr>
      </w:pPr>
      <w:r>
        <w:rPr>
          <w:rFonts w:ascii="Arial" w:cs="Arial" w:eastAsia="Arial" w:hAnsi="Arial"/>
          <w:sz w:val="16"/>
          <w:szCs w:val="16"/>
          <w:b w:val="1"/>
          <w:bCs w:val="1"/>
          <w:color w:val="auto"/>
        </w:rPr>
        <w:t>Exhibit 32.1</w:t>
      </w:r>
    </w:p>
    <w:p>
      <w:pPr>
        <w:spacing w:after="0" w:line="236" w:lineRule="exact"/>
        <w:rPr>
          <w:sz w:val="20"/>
          <w:szCs w:val="20"/>
          <w:color w:val="auto"/>
        </w:rPr>
      </w:pPr>
    </w:p>
    <w:p>
      <w:pPr>
        <w:jc w:val="center"/>
        <w:ind w:left="1400" w:right="140"/>
        <w:spacing w:after="0" w:line="317" w:lineRule="auto"/>
        <w:rPr>
          <w:sz w:val="20"/>
          <w:szCs w:val="20"/>
          <w:color w:val="auto"/>
        </w:rPr>
      </w:pPr>
      <w:r>
        <w:rPr>
          <w:rFonts w:ascii="Arial" w:cs="Arial" w:eastAsia="Arial" w:hAnsi="Arial"/>
          <w:sz w:val="17"/>
          <w:szCs w:val="17"/>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February 1, 2025 as filed with the Securities and Exchange Commission on the date hereof (the “Report”), I, Kenneth D. Seipel, Chief Executive Officer of the Company, certify, pursuant to 18 U.S.C. Section 1350, as adopted pursuant to Section 906 of the Sarbanes-Oxley Act of 2002, that:</w:t>
      </w:r>
    </w:p>
    <w:p>
      <w:pPr>
        <w:spacing w:after="0" w:line="65" w:lineRule="exact"/>
        <w:rPr>
          <w:sz w:val="20"/>
          <w:szCs w:val="20"/>
          <w:color w:val="auto"/>
        </w:rPr>
      </w:pPr>
    </w:p>
    <w:p>
      <w:pPr>
        <w:ind w:left="1300" w:right="240" w:hanging="647"/>
        <w:spacing w:after="0" w:line="317"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64" w:lineRule="exact"/>
        <w:rPr>
          <w:rFonts w:ascii="Arial" w:cs="Arial" w:eastAsia="Arial" w:hAnsi="Arial"/>
          <w:sz w:val="17"/>
          <w:szCs w:val="17"/>
          <w:color w:val="auto"/>
        </w:rPr>
      </w:pPr>
    </w:p>
    <w:p>
      <w:pPr>
        <w:ind w:left="1300" w:right="180" w:hanging="647"/>
        <w:spacing w:after="0" w:line="317"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Date: April 16, 2025</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18415</wp:posOffset>
            </wp:positionV>
            <wp:extent cx="30600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Kenneth D. Seipel</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(Principal Executive Officer)</w:t>
      </w:r>
    </w:p>
    <w:p>
      <w:pPr>
        <w:spacing w:after="0" w:line="207" w:lineRule="exact"/>
        <w:rPr>
          <w:sz w:val="20"/>
          <w:szCs w:val="20"/>
          <w:color w:val="auto"/>
        </w:rPr>
      </w:pPr>
    </w:p>
    <w:p>
      <w:pPr>
        <w:ind w:right="420"/>
        <w:spacing w:after="0" w:line="334"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302895</wp:posOffset>
            </wp:positionV>
            <wp:extent cx="57950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5" w:right="1399" w:bottom="1440" w:gutter="0" w:footer="0" w:header="0"/>
        </w:sectPr>
      </w:pPr>
    </w:p>
    <w:bookmarkStart w:id="85" w:name="page86"/>
    <w:bookmarkEnd w:id="85"/>
    <w:p>
      <w:pPr>
        <w:ind w:left="8180"/>
        <w:spacing w:after="0"/>
        <w:rPr>
          <w:sz w:val="20"/>
          <w:szCs w:val="20"/>
          <w:color w:val="auto"/>
        </w:rPr>
      </w:pPr>
      <w:r>
        <w:rPr>
          <w:rFonts w:ascii="Arial" w:cs="Arial" w:eastAsia="Arial" w:hAnsi="Arial"/>
          <w:sz w:val="17"/>
          <w:szCs w:val="17"/>
          <w:b w:val="1"/>
          <w:bCs w:val="1"/>
          <w:color w:val="auto"/>
        </w:rPr>
        <w:t>Exhibit 32.2</w:t>
      </w:r>
    </w:p>
    <w:p>
      <w:pPr>
        <w:spacing w:after="0" w:line="25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color w:val="auto"/>
        </w:rPr>
        <w:t>CERTIFICATION OF PRINCIPAL FINANCIAL OFFICER PURSUANT TO 18 U.S.C. SECTION 1350, AS ADOPTED PURSUANT TO SECTION 906 OF THE SARBANES-OXLEY ACT OF 2002</w:t>
      </w:r>
    </w:p>
    <w:p>
      <w:pPr>
        <w:spacing w:after="0" w:line="91" w:lineRule="exact"/>
        <w:rPr>
          <w:sz w:val="20"/>
          <w:szCs w:val="20"/>
          <w:color w:val="auto"/>
        </w:rPr>
      </w:pPr>
    </w:p>
    <w:p>
      <w:pPr>
        <w:ind w:right="340"/>
        <w:spacing w:after="0" w:line="299"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February 1, 2025 as filed with the Securities and Exchange Commission on the date hereof (the “Report”), I, Heather Plutino, Chief Financial Officer of the Company, certify, pursuant to 18 U.S.C. Section 1350, as adopted pursuant to Section 906 of the Sarbanes-Oxley Act of 2002, that:</w:t>
      </w:r>
    </w:p>
    <w:p>
      <w:pPr>
        <w:spacing w:after="0" w:line="79" w:lineRule="exact"/>
        <w:rPr>
          <w:sz w:val="20"/>
          <w:szCs w:val="20"/>
          <w:color w:val="auto"/>
        </w:rPr>
      </w:pPr>
    </w:p>
    <w:p>
      <w:pPr>
        <w:ind w:left="1280" w:right="40" w:hanging="638"/>
        <w:spacing w:after="0" w:line="317" w:lineRule="auto"/>
        <w:tabs>
          <w:tab w:leader="none" w:pos="124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50" w:lineRule="exact"/>
        <w:rPr>
          <w:rFonts w:ascii="Arial" w:cs="Arial" w:eastAsia="Arial" w:hAnsi="Arial"/>
          <w:sz w:val="17"/>
          <w:szCs w:val="17"/>
          <w:color w:val="auto"/>
        </w:rPr>
      </w:pPr>
    </w:p>
    <w:p>
      <w:pPr>
        <w:ind w:left="1280" w:right="320" w:hanging="638"/>
        <w:spacing w:after="0" w:line="334" w:lineRule="auto"/>
        <w:tabs>
          <w:tab w:leader="none" w:pos="124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April 16, 2025</w:t>
      </w:r>
    </w:p>
    <w:p>
      <w:pPr>
        <w:spacing w:after="0" w:line="37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wp:posOffset>
            </wp:positionV>
            <wp:extent cx="28975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auto"/>
        </w:rPr>
        <w:t>Heather Plutino</w:t>
      </w:r>
    </w:p>
    <w:p>
      <w:pPr>
        <w:ind w:left="100"/>
        <w:spacing w:after="0" w:line="232" w:lineRule="auto"/>
        <w:rPr>
          <w:sz w:val="20"/>
          <w:szCs w:val="20"/>
          <w:color w:val="auto"/>
        </w:rPr>
      </w:pPr>
      <w:r>
        <w:rPr>
          <w:rFonts w:ascii="Arial" w:cs="Arial" w:eastAsia="Arial" w:hAnsi="Arial"/>
          <w:sz w:val="17"/>
          <w:szCs w:val="17"/>
          <w:color w:val="auto"/>
        </w:rPr>
        <w:t>Chief Financial Officer</w:t>
      </w:r>
    </w:p>
    <w:p>
      <w:pPr>
        <w:ind w:left="100"/>
        <w:spacing w:after="0"/>
        <w:rPr>
          <w:sz w:val="20"/>
          <w:szCs w:val="20"/>
          <w:color w:val="auto"/>
        </w:rPr>
      </w:pPr>
      <w:r>
        <w:rPr>
          <w:rFonts w:ascii="Arial" w:cs="Arial" w:eastAsia="Arial" w:hAnsi="Arial"/>
          <w:sz w:val="17"/>
          <w:szCs w:val="17"/>
          <w:color w:val="auto"/>
        </w:rPr>
        <w:t>(Principal Financial Officer)</w:t>
      </w:r>
    </w:p>
    <w:p>
      <w:pPr>
        <w:spacing w:after="0" w:line="180" w:lineRule="exact"/>
        <w:rPr>
          <w:sz w:val="20"/>
          <w:szCs w:val="20"/>
          <w:color w:val="auto"/>
        </w:rPr>
      </w:pPr>
    </w:p>
    <w:p>
      <w:pPr>
        <w:ind w:right="540"/>
        <w:spacing w:after="0" w:line="352"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305435</wp:posOffset>
            </wp:positionV>
            <wp:extent cx="58032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5803265" cy="17145"/>
                    </a:xfrm>
                    <a:prstGeom prst="rect">
                      <a:avLst/>
                    </a:prstGeom>
                    <a:noFill/>
                  </pic:spPr>
                </pic:pic>
              </a:graphicData>
            </a:graphic>
          </wp:anchor>
        </w:drawing>
      </w:r>
    </w:p>
    <w:sectPr>
      <w:pgSz w:w="11900" w:h="16838" w:orient="portrait"/>
      <w:cols w:equalWidth="0" w:num="1">
        <w:col w:w="9140"/>
      </w:cols>
      <w:pgMar w:left="1380" w:top="11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3"/>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o"/>
      <w:numFmt w:val="bullet"/>
      <w:start w:val="1"/>
    </w:lvl>
  </w:abstractNum>
  <w:abstractNum w:abstractNumId="15">
    <w:nsid w:val="77465F01"/>
    <w:multiLevelType w:val="hybridMultilevel"/>
    <w:lvl w:ilvl="0">
      <w:lvlJc w:val="left"/>
      <w:lvlText w:val="(%1)"/>
      <w:numFmt w:val="lowerRoman"/>
      <w:start w:val="2"/>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lowerRoman"/>
      <w:start w:val="2"/>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2"/>
    </w:lvl>
  </w:abstractNum>
  <w:abstractNum w:abstractNumId="25">
    <w:nsid w:val="70A64E2A"/>
    <w:multiLevelType w:val="hybridMultilevel"/>
    <w:lvl w:ilvl="0">
      <w:lvlJc w:val="left"/>
      <w:lvlText w:val="%1."/>
      <w:numFmt w:val="decimal"/>
      <w:start w:val="1"/>
    </w:lvl>
    <w:lvl w:ilvl="1">
      <w:lvlJc w:val="left"/>
      <w:lvlText w:val="(%2)"/>
      <w:numFmt w:val="lowerLetter"/>
      <w:start w:val="1"/>
    </w:lvl>
  </w:abstractNum>
  <w:abstractNum w:abstractNumId="26">
    <w:nsid w:val="6A2342EC"/>
    <w:multiLevelType w:val="hybridMultilevel"/>
    <w:lvl w:ilvl="0">
      <w:lvlJc w:val="left"/>
      <w:lvlText w:val="(%1)"/>
      <w:numFmt w:val="lowerLetter"/>
      <w:start w:val="3"/>
    </w:lvl>
  </w:abstractNum>
  <w:abstractNum w:abstractNumId="27">
    <w:nsid w:val="2A487CB0"/>
    <w:multiLevelType w:val="hybridMultilevel"/>
    <w:lvl w:ilvl="0">
      <w:lvlJc w:val="left"/>
      <w:lvlText w:val="%1."/>
      <w:numFmt w:val="decimal"/>
      <w:start w:val="4"/>
    </w:lvl>
  </w:abstractNum>
  <w:abstractNum w:abstractNumId="28">
    <w:nsid w:val="1D4ED43B"/>
    <w:multiLevelType w:val="hybridMultilevel"/>
    <w:lvl w:ilvl="0">
      <w:lvlJc w:val="left"/>
      <w:lvlText w:val="%1."/>
      <w:numFmt w:val="decimal"/>
      <w:start w:val="5"/>
    </w:lvl>
  </w:abstractNum>
  <w:abstractNum w:abstractNumId="29">
    <w:nsid w:val="725A06FB"/>
    <w:multiLevelType w:val="hybridMultilevel"/>
    <w:lvl w:ilvl="0">
      <w:lvlJc w:val="left"/>
      <w:lvlText w:val="%1."/>
      <w:numFmt w:val="decimal"/>
      <w:start w:val="6"/>
    </w:lvl>
  </w:abstractNum>
  <w:abstractNum w:abstractNumId="30">
    <w:nsid w:val="2CD89A32"/>
    <w:multiLevelType w:val="hybridMultilevel"/>
    <w:lvl w:ilvl="0">
      <w:lvlJc w:val="left"/>
      <w:lvlText w:val="%1."/>
      <w:numFmt w:val="decimal"/>
      <w:start w:val="10"/>
    </w:lvl>
    <w:lvl w:ilvl="1">
      <w:lvlJc w:val="left"/>
      <w:lvlText w:val="(%2)"/>
      <w:numFmt w:val="lowerLetter"/>
      <w:start w:val="1"/>
    </w:lvl>
  </w:abstractNum>
  <w:abstractNum w:abstractNumId="31">
    <w:nsid w:val="57E4CCAF"/>
    <w:multiLevelType w:val="hybridMultilevel"/>
    <w:lvl w:ilvl="0">
      <w:lvlJc w:val="left"/>
      <w:lvlText w:val="%1."/>
      <w:numFmt w:val="decimal"/>
      <w:start w:val="1"/>
    </w:lvl>
    <w:lvl w:ilvl="1">
      <w:lvlJc w:val="left"/>
      <w:lvlText w:val="(%2)"/>
      <w:numFmt w:val="lowerLetter"/>
      <w:start w:val="1"/>
    </w:lvl>
  </w:abstractNum>
  <w:abstractNum w:abstractNumId="32">
    <w:nsid w:val="7A6D8D3C"/>
    <w:multiLevelType w:val="hybridMultilevel"/>
    <w:lvl w:ilvl="0">
      <w:lvlJc w:val="left"/>
      <w:lvlText w:val="(%1)"/>
      <w:numFmt w:val="lowerLetter"/>
      <w:start w:val="4"/>
    </w:lvl>
    <w:lvl w:ilvl="1">
      <w:lvlJc w:val="left"/>
      <w:lvlText w:val="(%2)"/>
      <w:numFmt w:val="lowerRoman"/>
      <w:start w:val="1"/>
    </w:lvl>
  </w:abstractNum>
  <w:abstractNum w:abstractNumId="33">
    <w:nsid w:val="4B588F54"/>
    <w:multiLevelType w:val="hybridMultilevel"/>
    <w:lvl w:ilvl="0">
      <w:lvlJc w:val="left"/>
      <w:lvlText w:val="%1"/>
      <w:numFmt w:val="decimal"/>
      <w:start w:val="1"/>
    </w:lvl>
    <w:lvl w:ilvl="1">
      <w:lvlJc w:val="left"/>
      <w:lvlText w:val="(%2)"/>
      <w:numFmt w:val="lowerRoman"/>
      <w:start w:val="5"/>
    </w:lvl>
  </w:abstractNum>
  <w:abstractNum w:abstractNumId="34">
    <w:nsid w:val="542289EC"/>
    <w:multiLevelType w:val="hybridMultilevel"/>
    <w:lvl w:ilvl="0">
      <w:lvlJc w:val="left"/>
      <w:lvlText w:val="(%1)"/>
      <w:numFmt w:val="decimal"/>
      <w:start w:val="30"/>
    </w:lvl>
    <w:lvl w:ilvl="1">
      <w:lvlJc w:val="left"/>
      <w:lvlText w:val="%2"/>
      <w:numFmt w:val="lowerRoman"/>
      <w:start w:val="1"/>
    </w:lvl>
  </w:abstractNum>
  <w:abstractNum w:abstractNumId="35">
    <w:nsid w:val="6DE91B18"/>
    <w:multiLevelType w:val="hybridMultilevel"/>
    <w:lvl w:ilvl="0">
      <w:lvlJc w:val="left"/>
      <w:lvlText w:val="%1."/>
      <w:numFmt w:val="decimal"/>
      <w:start w:val="2"/>
    </w:lvl>
  </w:abstractNum>
  <w:abstractNum w:abstractNumId="36">
    <w:nsid w:val="38437FDB"/>
    <w:multiLevelType w:val="hybridMultilevel"/>
    <w:lvl w:ilvl="0">
      <w:lvlJc w:val="left"/>
      <w:lvlText w:val="%1."/>
      <w:numFmt w:val="decimal"/>
      <w:start w:val="5"/>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3"/>
    </w:lvl>
    <w:lvl w:ilvl="1">
      <w:lvlJc w:val="left"/>
      <w:lvlText w:val="(%2)"/>
      <w:numFmt w:val="lowerLetter"/>
      <w:start w:val="1"/>
    </w:lvl>
  </w:abstractNum>
  <w:abstractNum w:abstractNumId="39">
    <w:nsid w:val="684A481A"/>
    <w:multiLevelType w:val="hybridMultilevel"/>
    <w:lvl w:ilvl="0">
      <w:lvlJc w:val="left"/>
      <w:lvlText w:val="%1."/>
      <w:numFmt w:val="decimal"/>
      <w:start w:val="4"/>
    </w:lvl>
  </w:abstractNum>
  <w:abstractNum w:abstractNumId="40">
    <w:nsid w:val="579478FE"/>
    <w:multiLevelType w:val="hybridMultilevel"/>
    <w:lvl w:ilvl="0">
      <w:lvlJc w:val="left"/>
      <w:lvlText w:val="%1."/>
      <w:numFmt w:val="decimal"/>
      <w:start w:val="8"/>
    </w:lvl>
    <w:lvl w:ilvl="1">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2"/>
    </w:lvl>
  </w:abstractNum>
  <w:abstractNum w:abstractNumId="44">
    <w:nsid w:val="79A1DEAA"/>
    <w:multiLevelType w:val="hybridMultilevel"/>
    <w:lvl w:ilvl="0">
      <w:lvlJc w:val="left"/>
      <w:lvlText w:val="%1."/>
      <w:numFmt w:val="decimal"/>
      <w:start w:val="1"/>
    </w:lvl>
    <w:lvl w:ilvl="1">
      <w:lvlJc w:val="left"/>
      <w:lvlText w:val="●"/>
      <w:numFmt w:val="bullet"/>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lowerRoman"/>
      <w:start w:val="1"/>
    </w:lvl>
  </w:abstractNum>
  <w:abstractNum w:abstractNumId="47">
    <w:nsid w:val="70C6A529"/>
    <w:multiLevelType w:val="hybridMultilevel"/>
    <w:lvl w:ilvl="0">
      <w:lvlJc w:val="left"/>
      <w:lvlText w:val="%1."/>
      <w:numFmt w:val="decimal"/>
      <w:start w:val="2"/>
    </w:lvl>
  </w:abstractNum>
  <w:abstractNum w:abstractNumId="48">
    <w:nsid w:val="520EEDD1"/>
    <w:multiLevelType w:val="hybridMultilevel"/>
    <w:lvl w:ilvl="0">
      <w:lvlJc w:val="left"/>
      <w:lvlText w:val="%1."/>
      <w:numFmt w:val="decimal"/>
      <w:start w:val="3"/>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3"/>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lvl w:ilvl="1">
      <w:lvlJc w:val="left"/>
      <w:lvlText w:val="(%2)"/>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2"/>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4" Type="http://schemas.openxmlformats.org/officeDocument/2006/relationships/image" Target="media/image56.png"/><Relationship Id="rId90"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63" Type="http://schemas.openxmlformats.org/officeDocument/2006/relationships/hyperlink" Target="https://www.sec.gov/Archives/edgar/data/1318484/000110465918038871/a18-15022_1ex3d1.htm" TargetMode="External"/><Relationship Id="rId64" Type="http://schemas.openxmlformats.org/officeDocument/2006/relationships/hyperlink" Target="https://www.sec.gov/Archives/edgar/data/1318484/000110465922113020/tm2229093d1_ex3-2.htm" TargetMode="External"/><Relationship Id="rId65" Type="http://schemas.openxmlformats.org/officeDocument/2006/relationships/hyperlink" Target="https://www.sec.gov/Archives/edgar/data/1318484/000095012305005222/y05802a2exv4w1.txt" TargetMode="External"/><Relationship Id="rId66" Type="http://schemas.openxmlformats.org/officeDocument/2006/relationships/hyperlink" Target="https://www.sec.gov/Archives/edgar/data/1318484/000155837020006617/ctrn-20200201ex421c67fa8.htm" TargetMode="External"/><Relationship Id="rId67" Type="http://schemas.openxmlformats.org/officeDocument/2006/relationships/hyperlink" Target="https://www.sec.gov/Archives/edgar/data/1318484/000110465911067772/a11-28294_1ex10d1.htm" TargetMode="External"/><Relationship Id="rId68" Type="http://schemas.openxmlformats.org/officeDocument/2006/relationships/hyperlink" Target="https://www.sec.gov/Archives/edgar/data/1318484/000110465915060817/a15-18205_1ex10d1.htm" TargetMode="External"/><Relationship Id="rId69" Type="http://schemas.openxmlformats.org/officeDocument/2006/relationships/hyperlink" Target="https://www.sec.gov/Archives/edgar/data/1318484/000155837020006617/ctrn-20200201ex1028693c0.htm" TargetMode="External"/><Relationship Id="rId70" Type="http://schemas.openxmlformats.org/officeDocument/2006/relationships/hyperlink" Target="https://www.sec.gov/Archives/edgar/data/1318484/000110465921050484/tm2112900d2_10-1.htm" TargetMode="External"/><Relationship Id="rId71" Type="http://schemas.openxmlformats.org/officeDocument/2006/relationships/hyperlink" Target="https://www.sec.gov/Archives/edgar/data/1318484/000155837021004393/tmb-20210602xdef14a.htm#AppendixA_180278" TargetMode="External"/><Relationship Id="rId72" Type="http://schemas.openxmlformats.org/officeDocument/2006/relationships/hyperlink" Target="https://www.sec.gov/Archives/edgar/data/1318484/000155837024007183/ctrn-20240620xdef14a.htm#AppendixA_758846" TargetMode="External"/><Relationship Id="rId73" Type="http://schemas.openxmlformats.org/officeDocument/2006/relationships/hyperlink" Target="https://www.sec.gov/Archives/edgar/data/1318484/000155837022005426/ctrn-20220129xex10d8.htm" TargetMode="External"/><Relationship Id="rId75" Type="http://schemas.openxmlformats.org/officeDocument/2006/relationships/hyperlink" Target="https://www.sec.gov/Archives/edgar/data/1318484/000155837021012292/ctrn-20210731xex10d2.htm" TargetMode="External"/><Relationship Id="rId76" Type="http://schemas.openxmlformats.org/officeDocument/2006/relationships/hyperlink" Target="https://www.sec.gov/Archives/edgar/data/1318484/000155837023015493/ctrn-20230729xex10d1.htm" TargetMode="External"/><Relationship Id="rId77" Type="http://schemas.openxmlformats.org/officeDocument/2006/relationships/hyperlink" Target="https://www.sec.gov/Archives/edgar/data/0001318484/000155837020006617/ctrn-20200201ex10206e041.htm" TargetMode="External"/><Relationship Id="rId78" Type="http://schemas.openxmlformats.org/officeDocument/2006/relationships/hyperlink" Target="https://www.sec.gov/Archives/edgar/data/0001318484/000155837020006617/ctrn-20200201ex102136afd.htm" TargetMode="External"/><Relationship Id="rId79" Type="http://schemas.openxmlformats.org/officeDocument/2006/relationships/hyperlink" Target="https://www.sec.gov/Archives/edgar/data/0001318484/000110465920023641/tm209523d1_ex10-1.htm" TargetMode="External"/><Relationship Id="rId80" Type="http://schemas.openxmlformats.org/officeDocument/2006/relationships/hyperlink" Target="https://www.sec.gov/Archives/edgar/data/0001318484/000110465920023641/tm209523d1_ex10-2.htm" TargetMode="External"/><Relationship Id="rId81" Type="http://schemas.openxmlformats.org/officeDocument/2006/relationships/hyperlink" Target="https://www.sec.gov/Archives/edgar/data/1318484/000110465922071941/tm2218579d1_ex10-1.htm" TargetMode="External"/><Relationship Id="rId82" Type="http://schemas.openxmlformats.org/officeDocument/2006/relationships/hyperlink" Target="https://www.sec.gov/Archives/edgar/data/1318484/000110465922071941/tm2218579d1_ex10-2.htm" TargetMode="External"/><Relationship Id="rId83" Type="http://schemas.openxmlformats.org/officeDocument/2006/relationships/hyperlink" Target="https://www.sec.gov/Archives/edgar/data/1318484/000155837023010862/ctrn-20230429xex10d1.htm" TargetMode="External"/><Relationship Id="rId84" Type="http://schemas.openxmlformats.org/officeDocument/2006/relationships/hyperlink" Target="https://www.sec.gov/Archives/edgar/data/1318484/000155837023010862/ctrn-20230429xex10d2.htm" TargetMode="External"/><Relationship Id="rId85" Type="http://schemas.openxmlformats.org/officeDocument/2006/relationships/hyperlink" Target="https://www.sec.gov/Archives/edgar/data/1318484/000155837024016152/ctrn-20241102xex10d1.htm" TargetMode="External"/><Relationship Id="rId86" Type="http://schemas.openxmlformats.org/officeDocument/2006/relationships/hyperlink" Target="https://www.sec.gov/Archives/edgar/data/1318484/000155837024012737/ctrn-20240803xex10d4.htm" TargetMode="External"/><Relationship Id="rId87" Type="http://schemas.openxmlformats.org/officeDocument/2006/relationships/hyperlink" Target="https://www.sec.gov/Archives/edgar/data/1318484/000155837024012737/ctrn-20240803xex10d5.htm" TargetMode="External"/><Relationship Id="rId88" Type="http://schemas.openxmlformats.org/officeDocument/2006/relationships/hyperlink" Target="https://www.sec.gov/Archives/edgar/data/1318484/000155837024012737/ctrn-20240803xex10d6.htm" TargetMode="External"/><Relationship Id="rId89" Type="http://schemas.openxmlformats.org/officeDocument/2006/relationships/hyperlink" Target="https://www.sec.gov/Archives/edgar/data/1318484/000110465924066928/tm2415984d1_ex10-1.htm" TargetMode="External"/><Relationship Id="rId91" Type="http://schemas.openxmlformats.org/officeDocument/2006/relationships/hyperlink" Target="https://www.sec.gov/Archives/edgar/data/1318484/000155837022009869/ctrn-20220430xex10d2.htm" TargetMode="External"/><Relationship Id="rId92" Type="http://schemas.openxmlformats.org/officeDocument/2006/relationships/hyperlink" Target="https://www.sec.gov/Archives/edgar/data/1318484/000155837022014292/ctrn-20220730xex10d3.htm" TargetMode="External"/><Relationship Id="rId93" Type="http://schemas.openxmlformats.org/officeDocument/2006/relationships/hyperlink" Target="https://www.sec.gov/Archives/edgar/data/1318484/000155837022018469/ctrn-20221029xex10d1.htm" TargetMode="External"/><Relationship Id="rId94" Type="http://schemas.openxmlformats.org/officeDocument/2006/relationships/hyperlink" Target="https://www.sec.gov/Archives/edgar/data/1318484/000155837024005294/ctrn-20240203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2025-04-16T15:21:34Z</dcterms:created>
  <dcterms:modified xsi:type="dcterms:W3CDTF">2025-04-16T15:21:34Z</dcterms:modified>
</cp:coreProperties>
</file>