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400685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42" w:lineRule="exact"/>
        <w:rPr>
          <w:sz w:val="24"/>
          <w:szCs w:val="24"/>
          <w:color w:val="auto"/>
        </w:rPr>
      </w:pPr>
    </w:p>
    <w:p>
      <w:pPr>
        <w:ind w:left="660" w:hanging="397"/>
        <w:spacing w:after="0"/>
        <w:tabs>
          <w:tab w:leader="none" w:pos="6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April 29, 2023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01" w:lineRule="exact"/>
        <w:rPr>
          <w:sz w:val="24"/>
          <w:szCs w:val="24"/>
          <w:color w:val="auto"/>
        </w:rPr>
      </w:pPr>
    </w:p>
    <w:p>
      <w:pPr>
        <w:ind w:left="660" w:hanging="397"/>
        <w:spacing w:after="0"/>
        <w:tabs>
          <w:tab w:leader="none" w:pos="6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000-51315</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CITI TRENDS,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63" w:lineRule="exact"/>
        <w:rPr>
          <w:sz w:val="24"/>
          <w:szCs w:val="24"/>
          <w:color w:val="auto"/>
        </w:rPr>
      </w:pPr>
    </w:p>
    <w:tbl>
      <w:tblPr>
        <w:tblLayout w:type="fixed"/>
        <w:tblInd w:w="1060" w:type="dxa"/>
        <w:tblCellMar>
          <w:top w:w="0" w:type="dxa"/>
          <w:left w:w="0" w:type="dxa"/>
          <w:bottom w:w="0" w:type="dxa"/>
          <w:right w:w="0" w:type="dxa"/>
        </w:tblCellMar>
      </w:tblPr>
      <w:tr>
        <w:trPr>
          <w:trHeight w:val="197"/>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Delaware</w:t>
            </w:r>
          </w:p>
        </w:tc>
        <w:tc>
          <w:tcPr>
            <w:tcW w:w="2780" w:type="dxa"/>
            <w:vAlign w:val="bottom"/>
          </w:tcPr>
          <w:p>
            <w:pPr>
              <w:jc w:val="right"/>
              <w:ind w:right="119"/>
              <w:spacing w:after="0"/>
              <w:rPr>
                <w:sz w:val="20"/>
                <w:szCs w:val="20"/>
                <w:color w:val="auto"/>
              </w:rPr>
            </w:pPr>
            <w:r>
              <w:rPr>
                <w:rFonts w:ascii="Arial" w:cs="Arial" w:eastAsia="Arial" w:hAnsi="Arial"/>
                <w:sz w:val="16"/>
                <w:szCs w:val="16"/>
                <w:b w:val="1"/>
                <w:bCs w:val="1"/>
                <w:color w:val="auto"/>
              </w:rPr>
              <w:t>52-2150697</w:t>
            </w:r>
          </w:p>
        </w:tc>
      </w:tr>
      <w:tr>
        <w:trPr>
          <w:trHeight w:val="189"/>
        </w:trPr>
        <w:tc>
          <w:tcPr>
            <w:tcW w:w="4280" w:type="dxa"/>
            <w:vAlign w:val="bottom"/>
          </w:tcPr>
          <w:p>
            <w:pPr>
              <w:jc w:val="center"/>
              <w:ind w:right="1459"/>
              <w:spacing w:after="0"/>
              <w:rPr>
                <w:sz w:val="20"/>
                <w:szCs w:val="20"/>
                <w:color w:val="auto"/>
              </w:rPr>
            </w:pPr>
            <w:r>
              <w:rPr>
                <w:rFonts w:ascii="Arial" w:cs="Arial" w:eastAsia="Arial" w:hAnsi="Arial"/>
                <w:sz w:val="16"/>
                <w:szCs w:val="16"/>
                <w:color w:val="auto"/>
              </w:rPr>
              <w:t>(State or other jurisdiction of</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(I.R.S. Employer</w:t>
            </w:r>
          </w:p>
        </w:tc>
      </w:tr>
      <w:tr>
        <w:trPr>
          <w:trHeight w:val="207"/>
        </w:trPr>
        <w:tc>
          <w:tcPr>
            <w:tcW w:w="4280" w:type="dxa"/>
            <w:vAlign w:val="bottom"/>
          </w:tcPr>
          <w:p>
            <w:pPr>
              <w:jc w:val="center"/>
              <w:ind w:right="1459"/>
              <w:spacing w:after="0"/>
              <w:rPr>
                <w:sz w:val="20"/>
                <w:szCs w:val="20"/>
                <w:color w:val="auto"/>
              </w:rPr>
            </w:pPr>
            <w:r>
              <w:rPr>
                <w:rFonts w:ascii="Arial" w:cs="Arial" w:eastAsia="Arial" w:hAnsi="Arial"/>
                <w:sz w:val="16"/>
                <w:szCs w:val="16"/>
                <w:color w:val="auto"/>
              </w:rPr>
              <w:t>incorporation or organization)</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Identification No.)</w:t>
            </w:r>
          </w:p>
        </w:tc>
      </w:tr>
      <w:tr>
        <w:trPr>
          <w:trHeight w:val="541"/>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104 Coleman Boulevard</w:t>
            </w:r>
          </w:p>
        </w:tc>
        <w:tc>
          <w:tcPr>
            <w:tcW w:w="2780" w:type="dxa"/>
            <w:vAlign w:val="bottom"/>
          </w:tcPr>
          <w:p>
            <w:pPr>
              <w:spacing w:after="0"/>
              <w:rPr>
                <w:sz w:val="24"/>
                <w:szCs w:val="24"/>
                <w:color w:val="auto"/>
              </w:rPr>
            </w:pPr>
          </w:p>
        </w:tc>
      </w:tr>
      <w:tr>
        <w:trPr>
          <w:trHeight w:val="197"/>
        </w:trPr>
        <w:tc>
          <w:tcPr>
            <w:tcW w:w="4280" w:type="dxa"/>
            <w:vAlign w:val="bottom"/>
          </w:tcPr>
          <w:p>
            <w:pPr>
              <w:jc w:val="center"/>
              <w:ind w:right="1439"/>
              <w:spacing w:after="0"/>
              <w:rPr>
                <w:sz w:val="20"/>
                <w:szCs w:val="20"/>
                <w:color w:val="auto"/>
              </w:rPr>
            </w:pPr>
            <w:r>
              <w:rPr>
                <w:rFonts w:ascii="Arial" w:cs="Arial" w:eastAsia="Arial" w:hAnsi="Arial"/>
                <w:sz w:val="16"/>
                <w:szCs w:val="16"/>
                <w:b w:val="1"/>
                <w:bCs w:val="1"/>
                <w:color w:val="auto"/>
              </w:rPr>
              <w:t>Savannah, Georgia</w:t>
            </w:r>
          </w:p>
        </w:tc>
        <w:tc>
          <w:tcPr>
            <w:tcW w:w="2780" w:type="dxa"/>
            <w:vAlign w:val="bottom"/>
          </w:tcPr>
          <w:p>
            <w:pPr>
              <w:jc w:val="right"/>
              <w:ind w:right="319"/>
              <w:spacing w:after="0"/>
              <w:rPr>
                <w:sz w:val="20"/>
                <w:szCs w:val="20"/>
                <w:color w:val="auto"/>
              </w:rPr>
            </w:pPr>
            <w:r>
              <w:rPr>
                <w:rFonts w:ascii="Arial" w:cs="Arial" w:eastAsia="Arial" w:hAnsi="Arial"/>
                <w:sz w:val="16"/>
                <w:szCs w:val="16"/>
                <w:b w:val="1"/>
                <w:bCs w:val="1"/>
                <w:color w:val="auto"/>
              </w:rPr>
              <w:t>31408</w:t>
            </w:r>
          </w:p>
        </w:tc>
      </w:tr>
      <w:tr>
        <w:trPr>
          <w:trHeight w:val="207"/>
        </w:trPr>
        <w:tc>
          <w:tcPr>
            <w:tcW w:w="4280" w:type="dxa"/>
            <w:vAlign w:val="bottom"/>
          </w:tcPr>
          <w:p>
            <w:pPr>
              <w:jc w:val="center"/>
              <w:ind w:right="1439"/>
              <w:spacing w:after="0"/>
              <w:rPr>
                <w:sz w:val="20"/>
                <w:szCs w:val="20"/>
                <w:color w:val="auto"/>
              </w:rPr>
            </w:pPr>
            <w:r>
              <w:rPr>
                <w:rFonts w:ascii="Arial" w:cs="Arial" w:eastAsia="Arial" w:hAnsi="Arial"/>
                <w:sz w:val="16"/>
                <w:szCs w:val="16"/>
                <w:color w:val="auto"/>
              </w:rPr>
              <w:t>(Address of principal executive offices)</w:t>
            </w:r>
          </w:p>
        </w:tc>
        <w:tc>
          <w:tcPr>
            <w:tcW w:w="2780" w:type="dxa"/>
            <w:vAlign w:val="bottom"/>
          </w:tcPr>
          <w:p>
            <w:pPr>
              <w:jc w:val="center"/>
              <w:ind w:left="1439"/>
              <w:spacing w:after="0"/>
              <w:rPr>
                <w:sz w:val="20"/>
                <w:szCs w:val="20"/>
                <w:color w:val="auto"/>
              </w:rPr>
            </w:pPr>
            <w:r>
              <w:rPr>
                <w:rFonts w:ascii="Arial" w:cs="Arial" w:eastAsia="Arial" w:hAnsi="Arial"/>
                <w:sz w:val="16"/>
                <w:szCs w:val="16"/>
                <w:color w:val="auto"/>
              </w:rPr>
              <w:t>(Zip Code)</w:t>
            </w:r>
          </w:p>
        </w:tc>
      </w:tr>
    </w:tbl>
    <w:p>
      <w:pPr>
        <w:spacing w:after="0" w:line="163" w:lineRule="exact"/>
        <w:rPr>
          <w:sz w:val="24"/>
          <w:szCs w:val="24"/>
          <w:color w:val="auto"/>
        </w:rPr>
      </w:pPr>
    </w:p>
    <w:p>
      <w:pPr>
        <w:ind w:left="2540"/>
        <w:spacing w:after="0"/>
        <w:rPr>
          <w:sz w:val="20"/>
          <w:szCs w:val="20"/>
          <w:color w:val="auto"/>
        </w:rPr>
      </w:pPr>
      <w:r>
        <w:rPr>
          <w:rFonts w:ascii="Arial" w:cs="Arial" w:eastAsia="Arial" w:hAnsi="Arial"/>
          <w:sz w:val="16"/>
          <w:szCs w:val="16"/>
          <w:color w:val="auto"/>
        </w:rPr>
        <w:t>Registrant’s telephone number, including area code (</w:t>
      </w:r>
      <w:r>
        <w:rPr>
          <w:rFonts w:ascii="Arial" w:cs="Arial" w:eastAsia="Arial" w:hAnsi="Arial"/>
          <w:sz w:val="16"/>
          <w:szCs w:val="16"/>
          <w:b w:val="1"/>
          <w:bCs w:val="1"/>
          <w:color w:val="auto"/>
        </w:rPr>
        <w:t>912) 236-1561</w:t>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4"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3420" w:type="dxa"/>
            <w:vAlign w:val="bottom"/>
            <w:tcBorders>
              <w:top w:val="single" w:sz="8" w:color="auto"/>
              <w:left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60" w:type="dxa"/>
            <w:vAlign w:val="bottom"/>
            <w:tcBorders>
              <w:top w:val="single" w:sz="8" w:color="auto"/>
            </w:tcBorders>
          </w:tcPr>
          <w:p>
            <w:pPr>
              <w:spacing w:after="0"/>
              <w:rPr>
                <w:sz w:val="17"/>
                <w:szCs w:val="17"/>
                <w:color w:val="auto"/>
              </w:rPr>
            </w:pPr>
          </w:p>
        </w:tc>
        <w:tc>
          <w:tcPr>
            <w:tcW w:w="2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160" w:type="dxa"/>
            <w:vAlign w:val="bottom"/>
            <w:tcBorders>
              <w:top w:val="single" w:sz="8" w:color="auto"/>
            </w:tcBorders>
          </w:tcPr>
          <w:p>
            <w:pPr>
              <w:spacing w:after="0"/>
              <w:rPr>
                <w:sz w:val="17"/>
                <w:szCs w:val="17"/>
                <w:color w:val="auto"/>
              </w:rPr>
            </w:pP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83"/>
        </w:trPr>
        <w:tc>
          <w:tcPr>
            <w:tcW w:w="3420" w:type="dxa"/>
            <w:vAlign w:val="bottom"/>
            <w:tcBorders>
              <w:left w:val="single" w:sz="8" w:color="auto"/>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$0.01 par value</w:t>
            </w: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w w:val="98"/>
              </w:rPr>
              <w:t>CTRN</w:t>
            </w:r>
          </w:p>
        </w:tc>
        <w:tc>
          <w:tcPr>
            <w:tcW w:w="160" w:type="dxa"/>
            <w:vAlign w:val="bottom"/>
            <w:tcBorders>
              <w:bottom w:val="single" w:sz="8" w:color="auto"/>
            </w:tcBorders>
          </w:tcPr>
          <w:p>
            <w:pPr>
              <w:spacing w:after="0"/>
              <w:rPr>
                <w:sz w:val="15"/>
                <w:szCs w:val="15"/>
                <w:color w:val="auto"/>
              </w:rPr>
            </w:pPr>
          </w:p>
        </w:tc>
        <w:tc>
          <w:tcPr>
            <w:tcW w:w="4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NASDAQ Stock Market</w:t>
            </w:r>
          </w:p>
        </w:tc>
      </w:tr>
    </w:tbl>
    <w:p>
      <w:pPr>
        <w:spacing w:after="0" w:line="179" w:lineRule="exact"/>
        <w:rPr>
          <w:sz w:val="24"/>
          <w:szCs w:val="24"/>
          <w:color w:val="auto"/>
        </w:rPr>
      </w:pPr>
    </w:p>
    <w:p>
      <w:pPr>
        <w:ind w:right="40"/>
        <w:spacing w:after="0" w:line="25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184" w:lineRule="exact"/>
        <w:tabs>
          <w:tab w:leader="none" w:pos="5580" w:val="left"/>
        </w:tabs>
        <w:rPr>
          <w:sz w:val="20"/>
          <w:szCs w:val="20"/>
          <w:color w:val="auto"/>
        </w:rPr>
      </w:pPr>
      <w:r>
        <w:rPr>
          <w:rFonts w:ascii="Arial" w:cs="Arial" w:eastAsia="Arial" w:hAnsi="Arial"/>
          <w:sz w:val="16"/>
          <w:szCs w:val="16"/>
          <w:color w:val="auto"/>
        </w:rPr>
        <w:t xml:space="preserve">(2)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99" w:lineRule="exact"/>
        <w:rPr>
          <w:sz w:val="24"/>
          <w:szCs w:val="24"/>
          <w:color w:val="auto"/>
        </w:rPr>
      </w:pPr>
    </w:p>
    <w:p>
      <w:pPr>
        <w:ind w:right="4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0" w:lineRule="exact"/>
        <w:rPr>
          <w:sz w:val="24"/>
          <w:szCs w:val="24"/>
          <w:color w:val="auto"/>
        </w:rPr>
      </w:pPr>
    </w:p>
    <w:p>
      <w:pPr>
        <w:jc w:val="both"/>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spacing w:after="0" w:line="1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080" w:space="720"/>
            <w:col w:w="2340" w:space="720"/>
            <w:col w:w="3060"/>
          </w:cols>
          <w:pgMar w:left="980" w:top="665" w:right="999" w:bottom="1440" w:gutter="0" w:footer="0" w:header="0"/>
          <w:type w:val="continuous"/>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2"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6140" w:space="720"/>
            <w:col w:w="3060"/>
          </w:cols>
          <w:pgMar w:left="980" w:top="665" w:right="999" w:bottom="1440" w:gutter="0" w:footer="0" w:header="0"/>
          <w:type w:val="continuous"/>
        </w:sectPr>
      </w:pPr>
    </w:p>
    <w:p>
      <w:pPr>
        <w:spacing w:after="0" w:line="47" w:lineRule="exact"/>
        <w:rPr>
          <w:sz w:val="24"/>
          <w:szCs w:val="24"/>
          <w:color w:val="auto"/>
        </w:rPr>
      </w:pPr>
    </w:p>
    <w:p>
      <w:pPr>
        <w:ind w:right="76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spacing w:after="0"/>
        <w:rPr>
          <w:sz w:val="20"/>
          <w:szCs w:val="20"/>
          <w:color w:val="auto"/>
        </w:rPr>
      </w:pPr>
      <w:r>
        <w:rPr>
          <w:rFonts w:ascii="Arial" w:cs="Arial" w:eastAsia="Arial" w:hAnsi="Arial"/>
          <w:sz w:val="16"/>
          <w:szCs w:val="16"/>
          <w:color w:val="auto"/>
        </w:rPr>
        <w:t>As of May 20, 2023, the registrant had 8,312,902 outstanding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532765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155575</wp:posOffset>
            </wp:positionV>
            <wp:extent cx="629221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138430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gridSpan w:val="9"/>
          </w:tcPr>
          <w:p>
            <w:pPr>
              <w:jc w:val="center"/>
              <w:spacing w:after="0"/>
              <w:rPr>
                <w:sz w:val="20"/>
                <w:szCs w:val="20"/>
                <w:color w:val="auto"/>
              </w:rPr>
            </w:pPr>
            <w:r>
              <w:rPr>
                <w:rFonts w:ascii="Arial" w:cs="Arial" w:eastAsia="Arial" w:hAnsi="Arial"/>
                <w:sz w:val="16"/>
                <w:szCs w:val="16"/>
                <w:b w:val="1"/>
                <w:bCs w:val="1"/>
                <w:color w:val="auto"/>
              </w:rPr>
              <w:t>CITI TRENDS, INC.</w:t>
            </w:r>
          </w:p>
        </w:tc>
        <w:tc>
          <w:tcPr>
            <w:tcW w:w="2980" w:type="dxa"/>
            <w:vAlign w:val="bottom"/>
            <w:gridSpan w:val="3"/>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140" w:type="dxa"/>
            <w:vAlign w:val="bottom"/>
            <w:gridSpan w:val="10"/>
          </w:tcPr>
          <w:p>
            <w:pPr>
              <w:jc w:val="center"/>
              <w:ind w:right="3260"/>
              <w:spacing w:after="0"/>
              <w:rPr>
                <w:sz w:val="20"/>
                <w:szCs w:val="20"/>
                <w:color w:val="auto"/>
              </w:rPr>
            </w:pPr>
            <w:r>
              <w:rPr>
                <w:rFonts w:ascii="Arial" w:cs="Arial" w:eastAsia="Arial" w:hAnsi="Arial"/>
                <w:sz w:val="16"/>
                <w:szCs w:val="16"/>
                <w:b w:val="1"/>
                <w:bCs w:val="1"/>
                <w:color w:val="auto"/>
              </w:rPr>
              <w:t>FORM 10-Q</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20" w:type="dxa"/>
            <w:vAlign w:val="bottom"/>
            <w:gridSpan w:val="14"/>
          </w:tcPr>
          <w:p>
            <w:pPr>
              <w:jc w:val="center"/>
              <w:ind w:right="2360"/>
              <w:spacing w:after="0" w:line="183" w:lineRule="exact"/>
              <w:rPr>
                <w:sz w:val="20"/>
                <w:szCs w:val="20"/>
                <w:color w:val="auto"/>
              </w:rPr>
            </w:pPr>
            <w:r>
              <w:rPr>
                <w:rFonts w:ascii="Arial" w:cs="Arial" w:eastAsia="Arial" w:hAnsi="Arial"/>
                <w:sz w:val="16"/>
                <w:szCs w:val="16"/>
                <w:b w:val="1"/>
                <w:bCs w:val="1"/>
                <w:color w:val="auto"/>
              </w:rPr>
              <w:t>TABLE OF CONTENTS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NUMBER</w:t>
            </w:r>
          </w:p>
        </w:tc>
        <w:tc>
          <w:tcPr>
            <w:tcW w:w="0" w:type="dxa"/>
            <w:vAlign w:val="bottom"/>
          </w:tcPr>
          <w:p>
            <w:pPr>
              <w:spacing w:after="0"/>
              <w:rPr>
                <w:sz w:val="1"/>
                <w:szCs w:val="1"/>
                <w:color w:val="auto"/>
              </w:rPr>
            </w:pPr>
          </w:p>
        </w:tc>
      </w:tr>
      <w:tr>
        <w:trPr>
          <w:trHeight w:val="21"/>
        </w:trPr>
        <w:tc>
          <w:tcPr>
            <w:tcW w:w="460" w:type="dxa"/>
            <w:vAlign w:val="bottom"/>
            <w:vMerge w:val="restart"/>
          </w:tcPr>
          <w:p>
            <w:pPr>
              <w:spacing w:after="0"/>
              <w:rPr>
                <w:sz w:val="20"/>
                <w:szCs w:val="20"/>
                <w:color w:val="auto"/>
              </w:rPr>
            </w:pPr>
            <w:r>
              <w:rPr>
                <w:rFonts w:ascii="Arial" w:cs="Arial" w:eastAsia="Arial" w:hAnsi="Arial"/>
                <w:sz w:val="16"/>
                <w:szCs w:val="16"/>
                <w:color w:val="0000EE"/>
                <w:w w:val="81"/>
              </w:rPr>
              <w:t>PART I</w:t>
            </w:r>
          </w:p>
        </w:tc>
        <w:tc>
          <w:tcPr>
            <w:tcW w:w="400" w:type="dxa"/>
            <w:vAlign w:val="bottom"/>
            <w:gridSpan w:val="2"/>
            <w:vMerge w:val="restart"/>
          </w:tcPr>
          <w:p>
            <w:pPr>
              <w:spacing w:after="0" w:line="20" w:lineRule="exact"/>
              <w:rPr>
                <w:sz w:val="1"/>
                <w:szCs w:val="1"/>
                <w:color w:val="auto"/>
              </w:rPr>
            </w:pPr>
          </w:p>
        </w:tc>
        <w:tc>
          <w:tcPr>
            <w:tcW w:w="7400" w:type="dxa"/>
            <w:vAlign w:val="bottom"/>
            <w:gridSpan w:val="24"/>
            <w:vMerge w:val="restart"/>
          </w:tcPr>
          <w:p>
            <w:pPr>
              <w:spacing w:after="0"/>
              <w:rPr>
                <w:sz w:val="20"/>
                <w:szCs w:val="20"/>
                <w:color w:val="auto"/>
              </w:rPr>
            </w:pPr>
            <w:r>
              <w:rPr>
                <w:rFonts w:ascii="Arial" w:cs="Arial" w:eastAsia="Arial" w:hAnsi="Arial"/>
                <w:sz w:val="16"/>
                <w:szCs w:val="16"/>
                <w:color w:val="0000EE"/>
              </w:rPr>
              <w:t>FINANCIAL INFORMATION</w:t>
            </w: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6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400" w:type="dxa"/>
            <w:vAlign w:val="bottom"/>
            <w:gridSpan w:val="24"/>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4"/>
              </w:rPr>
              <w:t>Item 1</w:t>
            </w:r>
          </w:p>
        </w:tc>
        <w:tc>
          <w:tcPr>
            <w:tcW w:w="400" w:type="dxa"/>
            <w:vAlign w:val="bottom"/>
            <w:gridSpan w:val="2"/>
          </w:tcPr>
          <w:p>
            <w:pPr>
              <w:spacing w:after="0"/>
              <w:rPr>
                <w:sz w:val="24"/>
                <w:szCs w:val="24"/>
                <w:color w:val="auto"/>
              </w:rPr>
            </w:pPr>
          </w:p>
        </w:tc>
        <w:tc>
          <w:tcPr>
            <w:tcW w:w="238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rPr>
              <w:t>Financial Statements (unaudited)</w:t>
            </w:r>
          </w:p>
        </w:tc>
        <w:tc>
          <w:tcPr>
            <w:tcW w:w="5020" w:type="dxa"/>
            <w:vAlign w:val="bottom"/>
            <w:gridSpan w:val="14"/>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color w:val="0000EE"/>
              </w:rPr>
              <w:t>Condensed Consolidated Balance Sheets</w:t>
            </w:r>
          </w:p>
        </w:tc>
        <w:tc>
          <w:tcPr>
            <w:tcW w:w="4400" w:type="dxa"/>
            <w:vAlign w:val="bottom"/>
            <w:gridSpan w:val="1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Borders>
              <w:bottom w:val="single" w:sz="8" w:color="0000EE"/>
            </w:tcBorders>
            <w:gridSpan w:val="15"/>
          </w:tcPr>
          <w:p>
            <w:pPr>
              <w:spacing w:after="0"/>
              <w:rPr>
                <w:sz w:val="20"/>
                <w:szCs w:val="20"/>
                <w:color w:val="auto"/>
              </w:rPr>
            </w:pPr>
            <w:r>
              <w:rPr>
                <w:rFonts w:ascii="Arial" w:cs="Arial" w:eastAsia="Arial" w:hAnsi="Arial"/>
                <w:sz w:val="16"/>
                <w:szCs w:val="16"/>
                <w:color w:val="0000EE"/>
              </w:rPr>
              <w:t>Condensed Consolidated Statements of Operations</w:t>
            </w:r>
          </w:p>
        </w:tc>
        <w:tc>
          <w:tcPr>
            <w:tcW w:w="3700" w:type="dxa"/>
            <w:vAlign w:val="bottom"/>
            <w:gridSpan w:val="9"/>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gridSpan w:val="24"/>
          </w:tcPr>
          <w:p>
            <w:pPr>
              <w:spacing w:after="0"/>
              <w:rPr>
                <w:sz w:val="20"/>
                <w:szCs w:val="20"/>
                <w:color w:val="auto"/>
              </w:rPr>
            </w:pPr>
            <w:r>
              <w:rPr>
                <w:rFonts w:ascii="Arial" w:cs="Arial" w:eastAsia="Arial" w:hAnsi="Arial"/>
                <w:sz w:val="16"/>
                <w:szCs w:val="16"/>
                <w:color w:val="0000EE"/>
              </w:rPr>
              <w:t>Condensed Consolidated Statements of Cash Flows</w:t>
            </w: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60" w:type="dxa"/>
            <w:vAlign w:val="bottom"/>
            <w:gridSpan w:val="7"/>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color w:val="0000EE"/>
              </w:rPr>
              <w:t>Condensed Consolidated Statements of Stockholders’ Equity</w:t>
            </w:r>
          </w:p>
        </w:tc>
        <w:tc>
          <w:tcPr>
            <w:tcW w:w="3020" w:type="dxa"/>
            <w:vAlign w:val="bottom"/>
            <w:gridSpan w:val="4"/>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gridSpan w:val="24"/>
          </w:tcPr>
          <w:p>
            <w:pPr>
              <w:spacing w:after="0"/>
              <w:rPr>
                <w:sz w:val="20"/>
                <w:szCs w:val="20"/>
                <w:color w:val="auto"/>
              </w:rPr>
            </w:pPr>
            <w:r>
              <w:rPr>
                <w:rFonts w:ascii="Arial" w:cs="Arial" w:eastAsia="Arial" w:hAnsi="Arial"/>
                <w:sz w:val="16"/>
                <w:szCs w:val="16"/>
                <w:color w:val="0000EE"/>
              </w:rPr>
              <w:t>Notes to the Condensed Consolidated Financial Statements</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0" w:type="dxa"/>
            <w:vAlign w:val="bottom"/>
            <w:tcBorders>
              <w:right w:val="single" w:sz="8" w:color="0000EE"/>
            </w:tcBorders>
            <w:gridSpan w:val="9"/>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4"/>
              </w:rPr>
              <w:t>Item 2</w:t>
            </w:r>
          </w:p>
        </w:tc>
        <w:tc>
          <w:tcPr>
            <w:tcW w:w="400" w:type="dxa"/>
            <w:vAlign w:val="bottom"/>
            <w:gridSpan w:val="2"/>
          </w:tcPr>
          <w:p>
            <w:pPr>
              <w:spacing w:after="0"/>
              <w:rPr>
                <w:sz w:val="24"/>
                <w:szCs w:val="24"/>
                <w:color w:val="auto"/>
              </w:rPr>
            </w:pPr>
          </w:p>
        </w:tc>
        <w:tc>
          <w:tcPr>
            <w:tcW w:w="636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color w:val="0000EE"/>
              </w:rPr>
              <w:t>Management’s Discussion and Analysis of Financial Condition and Results of Operations</w:t>
            </w:r>
          </w:p>
        </w:tc>
        <w:tc>
          <w:tcPr>
            <w:tcW w:w="10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0"/>
                <w:szCs w:val="20"/>
                <w:color w:val="auto"/>
              </w:rPr>
            </w:pPr>
            <w:r>
              <w:rPr>
                <w:rFonts w:ascii="Arial" w:cs="Arial" w:eastAsia="Arial" w:hAnsi="Arial"/>
                <w:sz w:val="16"/>
                <w:szCs w:val="16"/>
                <w:color w:val="0000EE"/>
                <w:w w:val="94"/>
              </w:rPr>
              <w:t>Item 3</w:t>
            </w:r>
          </w:p>
        </w:tc>
        <w:tc>
          <w:tcPr>
            <w:tcW w:w="400" w:type="dxa"/>
            <w:vAlign w:val="bottom"/>
            <w:gridSpan w:val="2"/>
          </w:tcPr>
          <w:p>
            <w:pPr>
              <w:spacing w:after="0"/>
              <w:rPr>
                <w:sz w:val="24"/>
                <w:szCs w:val="24"/>
                <w:color w:val="auto"/>
              </w:rPr>
            </w:pPr>
          </w:p>
        </w:tc>
        <w:tc>
          <w:tcPr>
            <w:tcW w:w="7400" w:type="dxa"/>
            <w:vAlign w:val="bottom"/>
            <w:gridSpan w:val="24"/>
          </w:tcPr>
          <w:p>
            <w:pPr>
              <w:spacing w:after="0"/>
              <w:rPr>
                <w:sz w:val="20"/>
                <w:szCs w:val="20"/>
                <w:color w:val="auto"/>
              </w:rPr>
            </w:pPr>
            <w:r>
              <w:rPr>
                <w:rFonts w:ascii="Arial" w:cs="Arial" w:eastAsia="Arial" w:hAnsi="Arial"/>
                <w:sz w:val="16"/>
                <w:szCs w:val="16"/>
                <w:color w:val="0000EE"/>
              </w:rPr>
              <w:t>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4"/>
              </w:rPr>
              <w:t>Item 4</w:t>
            </w:r>
          </w:p>
        </w:tc>
        <w:tc>
          <w:tcPr>
            <w:tcW w:w="400" w:type="dxa"/>
            <w:vAlign w:val="bottom"/>
            <w:gridSpan w:val="2"/>
          </w:tcPr>
          <w:p>
            <w:pPr>
              <w:spacing w:after="0"/>
              <w:rPr>
                <w:sz w:val="24"/>
                <w:szCs w:val="24"/>
                <w:color w:val="auto"/>
              </w:rPr>
            </w:pPr>
          </w:p>
        </w:tc>
        <w:tc>
          <w:tcPr>
            <w:tcW w:w="4280" w:type="dxa"/>
            <w:vAlign w:val="bottom"/>
            <w:tcBorders>
              <w:top w:val="single" w:sz="8" w:color="0000EE"/>
            </w:tcBorders>
            <w:gridSpan w:val="18"/>
          </w:tcPr>
          <w:p>
            <w:pPr>
              <w:spacing w:after="0"/>
              <w:rPr>
                <w:sz w:val="20"/>
                <w:szCs w:val="20"/>
                <w:color w:val="auto"/>
              </w:rPr>
            </w:pPr>
            <w:r>
              <w:rPr>
                <w:rFonts w:ascii="Arial" w:cs="Arial" w:eastAsia="Arial" w:hAnsi="Arial"/>
                <w:sz w:val="16"/>
                <w:szCs w:val="16"/>
                <w:color w:val="0000EE"/>
              </w:rPr>
              <w:t>Controls and Procedures</w:t>
            </w:r>
          </w:p>
        </w:tc>
        <w:tc>
          <w:tcPr>
            <w:tcW w:w="3120" w:type="dxa"/>
            <w:vAlign w:val="bottom"/>
            <w:gridSpan w:val="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60" w:type="dxa"/>
            <w:vAlign w:val="bottom"/>
            <w:gridSpan w:val="2"/>
          </w:tcPr>
          <w:p>
            <w:pPr>
              <w:spacing w:after="0"/>
              <w:rPr>
                <w:sz w:val="20"/>
                <w:szCs w:val="20"/>
                <w:color w:val="auto"/>
              </w:rPr>
            </w:pPr>
            <w:r>
              <w:rPr>
                <w:rFonts w:ascii="Arial" w:cs="Arial" w:eastAsia="Arial" w:hAnsi="Arial"/>
                <w:sz w:val="16"/>
                <w:szCs w:val="16"/>
                <w:color w:val="0000EE"/>
                <w:w w:val="96"/>
              </w:rPr>
              <w:t>PART II</w:t>
            </w:r>
          </w:p>
        </w:tc>
        <w:tc>
          <w:tcPr>
            <w:tcW w:w="300" w:type="dxa"/>
            <w:vAlign w:val="bottom"/>
          </w:tcPr>
          <w:p>
            <w:pPr>
              <w:spacing w:after="0"/>
              <w:rPr>
                <w:sz w:val="24"/>
                <w:szCs w:val="24"/>
                <w:color w:val="auto"/>
              </w:rPr>
            </w:pPr>
          </w:p>
        </w:tc>
        <w:tc>
          <w:tcPr>
            <w:tcW w:w="7400" w:type="dxa"/>
            <w:vAlign w:val="bottom"/>
            <w:gridSpan w:val="24"/>
          </w:tcPr>
          <w:p>
            <w:pPr>
              <w:spacing w:after="0"/>
              <w:rPr>
                <w:sz w:val="20"/>
                <w:szCs w:val="20"/>
                <w:color w:val="auto"/>
              </w:rPr>
            </w:pPr>
            <w:r>
              <w:rPr>
                <w:rFonts w:ascii="Arial" w:cs="Arial" w:eastAsia="Arial" w:hAnsi="Arial"/>
                <w:sz w:val="16"/>
                <w:szCs w:val="16"/>
                <w:color w:val="0000EE"/>
              </w:rPr>
              <w:t>OTHER INFORMATION</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4"/>
              </w:rPr>
              <w:t>Item 1</w:t>
            </w:r>
          </w:p>
        </w:tc>
        <w:tc>
          <w:tcPr>
            <w:tcW w:w="1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9"/>
              </w:rPr>
              <w:t>Legal Proceedings</w:t>
            </w:r>
          </w:p>
        </w:tc>
        <w:tc>
          <w:tcPr>
            <w:tcW w:w="380" w:type="dxa"/>
            <w:vAlign w:val="bottom"/>
            <w:tcBorders>
              <w:top w:val="single" w:sz="8" w:color="0000EE"/>
            </w:tcBorders>
          </w:tcPr>
          <w:p>
            <w:pPr>
              <w:spacing w:after="0"/>
              <w:rPr>
                <w:sz w:val="24"/>
                <w:szCs w:val="24"/>
                <w:color w:val="auto"/>
              </w:rPr>
            </w:pPr>
          </w:p>
        </w:tc>
        <w:tc>
          <w:tcPr>
            <w:tcW w:w="5680" w:type="dxa"/>
            <w:vAlign w:val="bottom"/>
            <w:gridSpan w:val="18"/>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53"/>
        </w:trPr>
        <w:tc>
          <w:tcPr>
            <w:tcW w:w="860" w:type="dxa"/>
            <w:vAlign w:val="bottom"/>
            <w:gridSpan w:val="3"/>
          </w:tcPr>
          <w:p>
            <w:pPr>
              <w:spacing w:after="0"/>
              <w:rPr>
                <w:sz w:val="20"/>
                <w:szCs w:val="20"/>
                <w:color w:val="auto"/>
              </w:rPr>
            </w:pPr>
            <w:r>
              <w:rPr>
                <w:rFonts w:ascii="Arial" w:cs="Arial" w:eastAsia="Arial" w:hAnsi="Arial"/>
                <w:sz w:val="16"/>
                <w:szCs w:val="16"/>
                <w:color w:val="0000EE"/>
              </w:rPr>
              <w:t>Item 1A</w:t>
            </w:r>
          </w:p>
        </w:tc>
        <w:tc>
          <w:tcPr>
            <w:tcW w:w="7400" w:type="dxa"/>
            <w:vAlign w:val="bottom"/>
            <w:gridSpan w:val="24"/>
          </w:tcPr>
          <w:p>
            <w:pPr>
              <w:spacing w:after="0"/>
              <w:rPr>
                <w:sz w:val="20"/>
                <w:szCs w:val="20"/>
                <w:color w:val="auto"/>
              </w:rPr>
            </w:pPr>
            <w:r>
              <w:rPr>
                <w:rFonts w:ascii="Arial" w:cs="Arial" w:eastAsia="Arial" w:hAnsi="Arial"/>
                <w:sz w:val="16"/>
                <w:szCs w:val="16"/>
                <w:color w:val="0000EE"/>
              </w:rPr>
              <w:t>Risk Factors</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80" w:type="dxa"/>
            <w:vAlign w:val="bottom"/>
            <w:gridSpan w:val="1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0"/>
                <w:szCs w:val="20"/>
                <w:color w:val="auto"/>
              </w:rPr>
            </w:pPr>
            <w:r>
              <w:rPr>
                <w:rFonts w:ascii="Arial" w:cs="Arial" w:eastAsia="Arial" w:hAnsi="Arial"/>
                <w:sz w:val="16"/>
                <w:szCs w:val="16"/>
                <w:color w:val="0000EE"/>
                <w:w w:val="94"/>
              </w:rPr>
              <w:t>Item 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0" w:type="dxa"/>
            <w:vAlign w:val="bottom"/>
            <w:gridSpan w:val="24"/>
          </w:tcPr>
          <w:p>
            <w:pPr>
              <w:spacing w:after="0"/>
              <w:rPr>
                <w:sz w:val="20"/>
                <w:szCs w:val="20"/>
                <w:color w:val="auto"/>
              </w:rPr>
            </w:pPr>
            <w:r>
              <w:rPr>
                <w:rFonts w:ascii="Arial" w:cs="Arial" w:eastAsia="Arial" w:hAnsi="Arial"/>
                <w:sz w:val="16"/>
                <w:szCs w:val="16"/>
                <w:color w:val="0000EE"/>
              </w:rPr>
              <w:t>Unregistered Sales of Equity Securities and Use of Proceeds</w:t>
            </w: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tcBorders>
          </w:tcPr>
          <w:p>
            <w:pPr>
              <w:spacing w:after="0"/>
              <w:rPr>
                <w:sz w:val="20"/>
                <w:szCs w:val="20"/>
                <w:color w:val="auto"/>
              </w:rPr>
            </w:pPr>
            <w:r>
              <w:rPr>
                <w:rFonts w:ascii="Arial" w:cs="Arial" w:eastAsia="Arial" w:hAnsi="Arial"/>
                <w:sz w:val="16"/>
                <w:szCs w:val="16"/>
                <w:color w:val="0000EE"/>
                <w:w w:val="94"/>
              </w:rPr>
              <w:t>Item 3</w:t>
            </w:r>
          </w:p>
        </w:tc>
        <w:tc>
          <w:tcPr>
            <w:tcW w:w="400" w:type="dxa"/>
            <w:vAlign w:val="bottom"/>
            <w:gridSpan w:val="2"/>
          </w:tcPr>
          <w:p>
            <w:pPr>
              <w:spacing w:after="0"/>
              <w:rPr>
                <w:sz w:val="24"/>
                <w:szCs w:val="24"/>
                <w:color w:val="auto"/>
              </w:rPr>
            </w:pPr>
          </w:p>
        </w:tc>
        <w:tc>
          <w:tcPr>
            <w:tcW w:w="4360" w:type="dxa"/>
            <w:vAlign w:val="bottom"/>
            <w:tcBorders>
              <w:top w:val="single" w:sz="8" w:color="0000EE"/>
            </w:tcBorders>
            <w:gridSpan w:val="19"/>
          </w:tcPr>
          <w:p>
            <w:pPr>
              <w:spacing w:after="0"/>
              <w:rPr>
                <w:sz w:val="20"/>
                <w:szCs w:val="20"/>
                <w:color w:val="auto"/>
              </w:rPr>
            </w:pPr>
            <w:r>
              <w:rPr>
                <w:rFonts w:ascii="Arial" w:cs="Arial" w:eastAsia="Arial" w:hAnsi="Arial"/>
                <w:sz w:val="16"/>
                <w:szCs w:val="16"/>
                <w:color w:val="0000EE"/>
              </w:rPr>
              <w:t>Defaults Upon Senior Securities</w:t>
            </w:r>
          </w:p>
        </w:tc>
        <w:tc>
          <w:tcPr>
            <w:tcW w:w="3040" w:type="dxa"/>
            <w:vAlign w:val="bottom"/>
            <w:gridSpan w:val="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6"/>
        </w:trPr>
        <w:tc>
          <w:tcPr>
            <w:tcW w:w="4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6"/>
                <w:szCs w:val="16"/>
                <w:color w:val="0000EE"/>
                <w:w w:val="94"/>
              </w:rPr>
              <w:t>Item 4</w:t>
            </w:r>
          </w:p>
        </w:tc>
        <w:tc>
          <w:tcPr>
            <w:tcW w:w="400" w:type="dxa"/>
            <w:vAlign w:val="bottom"/>
            <w:gridSpan w:val="2"/>
          </w:tcPr>
          <w:p>
            <w:pPr>
              <w:spacing w:after="0"/>
              <w:rPr>
                <w:sz w:val="24"/>
                <w:szCs w:val="24"/>
                <w:color w:val="auto"/>
              </w:rPr>
            </w:pPr>
          </w:p>
        </w:tc>
        <w:tc>
          <w:tcPr>
            <w:tcW w:w="17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0000EE"/>
              </w:rPr>
              <w:t>Mine Safety Disclosures</w:t>
            </w:r>
          </w:p>
        </w:tc>
        <w:tc>
          <w:tcPr>
            <w:tcW w:w="500" w:type="dxa"/>
            <w:vAlign w:val="bottom"/>
            <w:tcBorders>
              <w:top w:val="single" w:sz="8" w:color="0000EE"/>
            </w:tcBorders>
            <w:gridSpan w:val="2"/>
          </w:tcPr>
          <w:p>
            <w:pPr>
              <w:spacing w:after="0"/>
              <w:rPr>
                <w:sz w:val="24"/>
                <w:szCs w:val="24"/>
                <w:color w:val="auto"/>
              </w:rPr>
            </w:pPr>
          </w:p>
        </w:tc>
        <w:tc>
          <w:tcPr>
            <w:tcW w:w="5120" w:type="dxa"/>
            <w:vAlign w:val="bottom"/>
            <w:gridSpan w:val="15"/>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53"/>
        </w:trPr>
        <w:tc>
          <w:tcPr>
            <w:tcW w:w="460" w:type="dxa"/>
            <w:vAlign w:val="bottom"/>
            <w:tcBorders>
              <w:bottom w:val="single" w:sz="8" w:color="0000EE"/>
            </w:tcBorders>
          </w:tcPr>
          <w:p>
            <w:pPr>
              <w:spacing w:after="0"/>
              <w:rPr>
                <w:sz w:val="20"/>
                <w:szCs w:val="20"/>
                <w:color w:val="auto"/>
              </w:rPr>
            </w:pPr>
            <w:r>
              <w:rPr>
                <w:rFonts w:ascii="Arial" w:cs="Arial" w:eastAsia="Arial" w:hAnsi="Arial"/>
                <w:sz w:val="16"/>
                <w:szCs w:val="16"/>
                <w:color w:val="0000EE"/>
                <w:w w:val="94"/>
              </w:rPr>
              <w:t>Item 5</w:t>
            </w:r>
          </w:p>
        </w:tc>
        <w:tc>
          <w:tcPr>
            <w:tcW w:w="400" w:type="dxa"/>
            <w:vAlign w:val="bottom"/>
            <w:gridSpan w:val="2"/>
          </w:tcPr>
          <w:p>
            <w:pPr>
              <w:spacing w:after="0"/>
              <w:rPr>
                <w:sz w:val="24"/>
                <w:szCs w:val="24"/>
                <w:color w:val="auto"/>
              </w:rPr>
            </w:pPr>
          </w:p>
        </w:tc>
        <w:tc>
          <w:tcPr>
            <w:tcW w:w="126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9"/>
              </w:rPr>
              <w:t>Other Information</w:t>
            </w:r>
          </w:p>
        </w:tc>
        <w:tc>
          <w:tcPr>
            <w:tcW w:w="6140" w:type="dxa"/>
            <w:vAlign w:val="bottom"/>
            <w:gridSpan w:val="2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66"/>
        </w:trPr>
        <w:tc>
          <w:tcPr>
            <w:tcW w:w="460" w:type="dxa"/>
            <w:vAlign w:val="bottom"/>
          </w:tcPr>
          <w:p>
            <w:pPr>
              <w:spacing w:after="0"/>
              <w:rPr>
                <w:sz w:val="20"/>
                <w:szCs w:val="20"/>
                <w:color w:val="auto"/>
              </w:rPr>
            </w:pPr>
            <w:r>
              <w:rPr>
                <w:rFonts w:ascii="Arial" w:cs="Arial" w:eastAsia="Arial" w:hAnsi="Arial"/>
                <w:sz w:val="16"/>
                <w:szCs w:val="16"/>
                <w:color w:val="0000EE"/>
                <w:w w:val="94"/>
              </w:rPr>
              <w:t>Item 6</w:t>
            </w:r>
          </w:p>
        </w:tc>
        <w:tc>
          <w:tcPr>
            <w:tcW w:w="400" w:type="dxa"/>
            <w:vAlign w:val="bottom"/>
            <w:gridSpan w:val="2"/>
          </w:tcPr>
          <w:p>
            <w:pPr>
              <w:spacing w:after="0"/>
              <w:rPr>
                <w:sz w:val="24"/>
                <w:szCs w:val="24"/>
                <w:color w:val="auto"/>
              </w:rPr>
            </w:pPr>
          </w:p>
        </w:tc>
        <w:tc>
          <w:tcPr>
            <w:tcW w:w="7400" w:type="dxa"/>
            <w:vAlign w:val="bottom"/>
            <w:gridSpan w:val="24"/>
          </w:tcPr>
          <w:p>
            <w:pPr>
              <w:spacing w:after="0"/>
              <w:rPr>
                <w:sz w:val="20"/>
                <w:szCs w:val="20"/>
                <w:color w:val="auto"/>
              </w:rPr>
            </w:pPr>
            <w:r>
              <w:rPr>
                <w:rFonts w:ascii="Arial" w:cs="Arial" w:eastAsia="Arial" w:hAnsi="Arial"/>
                <w:sz w:val="16"/>
                <w:szCs w:val="16"/>
                <w:color w:val="0000EE"/>
              </w:rPr>
              <w:t>Exhibits</w:t>
            </w:r>
          </w:p>
        </w:tc>
        <w:tc>
          <w:tcPr>
            <w:tcW w:w="8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360" w:type="dxa"/>
            <w:vAlign w:val="bottom"/>
            <w:gridSpan w:val="2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8"/>
              </w:rPr>
              <w:t>SIGNATURES</w:t>
            </w:r>
          </w:p>
        </w:tc>
        <w:tc>
          <w:tcPr>
            <w:tcW w:w="6360" w:type="dxa"/>
            <w:vAlign w:val="bottom"/>
            <w:gridSpan w:val="21"/>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PART I -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4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Citi Trends, Inc.</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(Unaudited)</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April 29,</w:t>
            </w: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75"/>
        </w:trPr>
        <w:tc>
          <w:tcPr>
            <w:tcW w:w="6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ind w:left="3020"/>
              <w:spacing w:after="0"/>
              <w:rPr>
                <w:sz w:val="20"/>
                <w:szCs w:val="20"/>
                <w:color w:val="auto"/>
              </w:rPr>
            </w:pPr>
            <w:r>
              <w:rPr>
                <w:rFonts w:ascii="Arial" w:cs="Arial" w:eastAsia="Arial" w:hAnsi="Arial"/>
                <w:sz w:val="17"/>
                <w:szCs w:val="17"/>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88,707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114,322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105,794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and other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Income tax receivable</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current assets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219,083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222,881</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820" w:type="dxa"/>
            <w:vAlign w:val="bottom"/>
          </w:tcPr>
          <w:p>
            <w:pPr>
              <w:ind w:left="220"/>
              <w:spacing w:after="0" w:line="179" w:lineRule="exact"/>
              <w:rPr>
                <w:sz w:val="20"/>
                <w:szCs w:val="20"/>
                <w:color w:val="auto"/>
              </w:rPr>
            </w:pPr>
            <w:r>
              <w:rPr>
                <w:rFonts w:ascii="Arial" w:cs="Arial" w:eastAsia="Arial" w:hAnsi="Arial"/>
                <w:sz w:val="16"/>
                <w:szCs w:val="16"/>
                <w:color w:val="auto"/>
              </w:rPr>
              <w:t>Property and equipment, net of accumulated depreciation of $265,473 and $262,525 as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820" w:type="dxa"/>
            <w:vAlign w:val="bottom"/>
          </w:tcPr>
          <w:p>
            <w:pPr>
              <w:ind w:left="220"/>
              <w:spacing w:after="0"/>
              <w:rPr>
                <w:sz w:val="20"/>
                <w:szCs w:val="20"/>
                <w:color w:val="auto"/>
              </w:rPr>
            </w:pPr>
            <w:r>
              <w:rPr>
                <w:rFonts w:ascii="Arial" w:cs="Arial" w:eastAsia="Arial" w:hAnsi="Arial"/>
                <w:sz w:val="16"/>
                <w:szCs w:val="16"/>
                <w:color w:val="auto"/>
              </w:rPr>
              <w:t>of April 29, 2023 and January 28, 2023, respectively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57,383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60,106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right of use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252,435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257,195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4,395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2,893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CEEFF"/>
            </w:tcBorders>
          </w:tcPr>
          <w:p>
            <w:pPr>
              <w:ind w:left="320"/>
              <w:spacing w:after="0" w:line="183" w:lineRule="exact"/>
              <w:rPr>
                <w:sz w:val="20"/>
                <w:szCs w:val="20"/>
                <w:color w:val="auto"/>
              </w:rPr>
            </w:pPr>
            <w:r>
              <w:rPr>
                <w:rFonts w:ascii="Arial" w:cs="Arial" w:eastAsia="Arial" w:hAnsi="Arial"/>
                <w:sz w:val="16"/>
                <w:szCs w:val="16"/>
                <w:color w:val="auto"/>
              </w:rPr>
              <w:t>Total assets</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534,430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544,258</w:t>
            </w:r>
          </w:p>
        </w:tc>
        <w:tc>
          <w:tcPr>
            <w:tcW w:w="2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8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1940"/>
              <w:spacing w:after="0"/>
              <w:rPr>
                <w:sz w:val="20"/>
                <w:szCs w:val="20"/>
                <w:color w:val="auto"/>
              </w:rPr>
            </w:pPr>
            <w:r>
              <w:rPr>
                <w:rFonts w:ascii="Arial" w:cs="Arial" w:eastAsia="Arial" w:hAnsi="Arial"/>
                <w:sz w:val="16"/>
                <w:szCs w:val="16"/>
                <w:b w:val="1"/>
                <w:bCs w:val="1"/>
                <w:color w:val="auto"/>
              </w:rPr>
              <w:t>Liabilities and Stockholders’ 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90,029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80,670</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47,780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52,661</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14,987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16,055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Layaway deposits</w:t>
            </w: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162,194</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160,553</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Noncurrent operating lease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209,594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214,939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20" w:type="dxa"/>
            <w:vAlign w:val="bottom"/>
          </w:tcPr>
          <w:p>
            <w:pPr>
              <w:ind w:left="320"/>
              <w:spacing w:after="0" w:line="183" w:lineRule="exact"/>
              <w:rPr>
                <w:sz w:val="20"/>
                <w:szCs w:val="20"/>
                <w:color w:val="auto"/>
              </w:rPr>
            </w:pPr>
            <w:r>
              <w:rPr>
                <w:rFonts w:ascii="Arial" w:cs="Arial" w:eastAsia="Arial" w:hAnsi="Arial"/>
                <w:sz w:val="16"/>
                <w:szCs w:val="16"/>
                <w:color w:val="auto"/>
              </w:rPr>
              <w:t>Total liabilities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374,468</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377,814</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spacing w:after="0"/>
              <w:rPr>
                <w:sz w:val="20"/>
                <w:szCs w:val="20"/>
                <w:color w:val="auto"/>
              </w:rPr>
            </w:pPr>
            <w:r>
              <w:rPr>
                <w:rFonts w:ascii="Arial" w:cs="Arial" w:eastAsia="Arial" w:hAnsi="Arial"/>
                <w:sz w:val="16"/>
                <w:szCs w:val="16"/>
                <w:color w:val="auto"/>
              </w:rPr>
              <w:t>Stockholders’ equity: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20" w:type="dxa"/>
            <w:vAlign w:val="bottom"/>
            <w:shd w:val="clear" w:color="auto" w:fill="CCEEFF"/>
          </w:tcPr>
          <w:p>
            <w:pPr>
              <w:ind w:left="220"/>
              <w:spacing w:after="0" w:line="179" w:lineRule="exact"/>
              <w:rPr>
                <w:sz w:val="20"/>
                <w:szCs w:val="20"/>
                <w:color w:val="auto"/>
              </w:rPr>
            </w:pPr>
            <w:r>
              <w:rPr>
                <w:rFonts w:ascii="Arial" w:cs="Arial" w:eastAsia="Arial" w:hAnsi="Arial"/>
                <w:sz w:val="16"/>
                <w:szCs w:val="16"/>
                <w:color w:val="auto"/>
              </w:rPr>
              <w:t>Common stock, $0.01 par value. Authorized 32,000,000 shares; 16,116,915 shares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issued as of April 29, 2023 and 16,158,494 shares issued as of January 28, 2023;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8,312,902 shares outstanding as of April 29, 2023 and 8,354,481 shares outstanding as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of January 28, 2023</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tcPr>
          <w:p>
            <w:pPr>
              <w:ind w:left="220"/>
              <w:spacing w:after="0"/>
              <w:rPr>
                <w:sz w:val="20"/>
                <w:szCs w:val="20"/>
                <w:color w:val="auto"/>
              </w:rPr>
            </w:pPr>
            <w:r>
              <w:rPr>
                <w:rFonts w:ascii="Arial" w:cs="Arial" w:eastAsia="Arial" w:hAnsi="Arial"/>
                <w:sz w:val="16"/>
                <w:szCs w:val="16"/>
                <w:color w:val="auto"/>
              </w:rPr>
              <w:t>Paid in capital</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102,598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102,445</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324,415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331,050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6820" w:type="dxa"/>
            <w:vAlign w:val="bottom"/>
          </w:tcPr>
          <w:p>
            <w:pPr>
              <w:ind w:left="220"/>
              <w:spacing w:after="0" w:line="179" w:lineRule="exact"/>
              <w:rPr>
                <w:sz w:val="20"/>
                <w:szCs w:val="20"/>
                <w:color w:val="auto"/>
              </w:rPr>
            </w:pPr>
            <w:r>
              <w:rPr>
                <w:rFonts w:ascii="Arial" w:cs="Arial" w:eastAsia="Arial" w:hAnsi="Arial"/>
                <w:sz w:val="16"/>
                <w:szCs w:val="16"/>
                <w:color w:val="auto"/>
              </w:rPr>
              <w:t>Treasury stock, at cost; 7,804,013 shares held as of April 29, 2023 and 7,804,013 shares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(267,211)</w:t>
            </w: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(267,211)</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820" w:type="dxa"/>
            <w:vAlign w:val="bottom"/>
          </w:tcPr>
          <w:p>
            <w:pPr>
              <w:ind w:left="220"/>
              <w:spacing w:after="0"/>
              <w:rPr>
                <w:sz w:val="20"/>
                <w:szCs w:val="20"/>
                <w:color w:val="auto"/>
              </w:rPr>
            </w:pPr>
            <w:r>
              <w:rPr>
                <w:rFonts w:ascii="Arial" w:cs="Arial" w:eastAsia="Arial" w:hAnsi="Arial"/>
                <w:sz w:val="16"/>
                <w:szCs w:val="16"/>
                <w:color w:val="auto"/>
              </w:rPr>
              <w:t>held as of January 28, 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2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6"/>
                <w:szCs w:val="16"/>
                <w:color w:val="auto"/>
              </w:rPr>
              <w:t>Total stockholders’ equity</w:t>
            </w: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159,962</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166,444</w:t>
            </w: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534,430</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544,258</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3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43"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5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1"/>
              <w:spacing w:after="0" w:line="143" w:lineRule="exact"/>
              <w:rPr>
                <w:sz w:val="20"/>
                <w:szCs w:val="20"/>
                <w:color w:val="auto"/>
              </w:rPr>
            </w:pPr>
            <w:r>
              <w:rPr>
                <w:rFonts w:ascii="Arial" w:cs="Arial" w:eastAsia="Arial" w:hAnsi="Arial"/>
                <w:sz w:val="14"/>
                <w:szCs w:val="14"/>
                <w:b w:val="1"/>
                <w:bCs w:val="1"/>
                <w:color w:val="auto"/>
              </w:rPr>
              <w:t>April 29,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00"/>
              <w:spacing w:after="0" w:line="143" w:lineRule="exact"/>
              <w:rPr>
                <w:sz w:val="20"/>
                <w:szCs w:val="20"/>
                <w:color w:val="auto"/>
              </w:rPr>
            </w:pPr>
            <w:r>
              <w:rPr>
                <w:rFonts w:ascii="Arial" w:cs="Arial" w:eastAsia="Arial" w:hAnsi="Arial"/>
                <w:sz w:val="14"/>
                <w:szCs w:val="14"/>
                <w:b w:val="1"/>
                <w:bCs w:val="1"/>
                <w:color w:val="auto"/>
              </w:rPr>
              <w:t>April 30,</w:t>
            </w:r>
          </w:p>
        </w:tc>
        <w:tc>
          <w:tcPr>
            <w:tcW w:w="80" w:type="dxa"/>
            <w:vAlign w:val="bottom"/>
          </w:tcPr>
          <w:p>
            <w:pPr>
              <w:spacing w:after="0"/>
              <w:rPr>
                <w:sz w:val="12"/>
                <w:szCs w:val="12"/>
                <w:color w:val="auto"/>
              </w:rPr>
            </w:pPr>
          </w:p>
        </w:tc>
      </w:tr>
      <w:tr>
        <w:trPr>
          <w:trHeight w:val="175"/>
        </w:trPr>
        <w:tc>
          <w:tcPr>
            <w:tcW w:w="52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5"/>
                <w:szCs w:val="15"/>
                <w:color w:val="auto"/>
              </w:rPr>
            </w:pPr>
          </w:p>
        </w:tc>
      </w:tr>
      <w:tr>
        <w:trPr>
          <w:trHeight w:val="19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208,215</w:t>
            </w:r>
          </w:p>
        </w:tc>
        <w:tc>
          <w:tcPr>
            <w:tcW w:w="80" w:type="dxa"/>
            <w:vAlign w:val="bottom"/>
            <w:shd w:val="clear" w:color="auto" w:fill="CCEEFF"/>
          </w:tcPr>
          <w:p>
            <w:pPr>
              <w:spacing w:after="0"/>
              <w:rPr>
                <w:sz w:val="17"/>
                <w:szCs w:val="17"/>
                <w:color w:val="auto"/>
              </w:rPr>
            </w:pPr>
          </w:p>
        </w:tc>
      </w:tr>
      <w:tr>
        <w:trPr>
          <w:trHeight w:val="189"/>
        </w:trPr>
        <w:tc>
          <w:tcPr>
            <w:tcW w:w="5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Cost of sales (exclusive of depreciation)</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(127,011)</w:t>
            </w: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(70,807)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(71,026)</w:t>
            </w: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Depreciation</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(5,445)</w:t>
            </w: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Gain on sale-leaseback</w:t>
            </w:r>
          </w:p>
        </w:tc>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34,920</w:t>
            </w:r>
          </w:p>
        </w:tc>
        <w:tc>
          <w:tcPr>
            <w:tcW w:w="80" w:type="dxa"/>
            <w:vAlign w:val="bottom"/>
          </w:tcPr>
          <w:p>
            <w:pPr>
              <w:spacing w:after="0"/>
              <w:rPr>
                <w:sz w:val="16"/>
                <w:szCs w:val="16"/>
                <w:color w:val="auto"/>
              </w:rPr>
            </w:pPr>
          </w:p>
        </w:tc>
      </w:tr>
      <w:tr>
        <w:trPr>
          <w:trHeight w:val="196"/>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(Loss) Income from operations</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39,653</w:t>
            </w:r>
          </w:p>
        </w:tc>
        <w:tc>
          <w:tcPr>
            <w:tcW w:w="80" w:type="dxa"/>
            <w:vAlign w:val="bottom"/>
            <w:shd w:val="clear" w:color="auto" w:fill="CCEEFF"/>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Interest income</w:t>
            </w:r>
          </w:p>
        </w:tc>
        <w:tc>
          <w:tcPr>
            <w:tcW w:w="1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89"/>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w:t>
            </w:r>
          </w:p>
        </w:tc>
      </w:tr>
      <w:tr>
        <w:trPr>
          <w:trHeight w:val="196"/>
        </w:trPr>
        <w:tc>
          <w:tcPr>
            <w:tcW w:w="5240" w:type="dxa"/>
            <w:vAlign w:val="bottom"/>
            <w:tcBorders>
              <w:top w:val="single" w:sz="8" w:color="CCEEFF"/>
            </w:tcBorders>
          </w:tcPr>
          <w:p>
            <w:pPr>
              <w:ind w:left="320"/>
              <w:spacing w:after="0"/>
              <w:rPr>
                <w:sz w:val="20"/>
                <w:szCs w:val="20"/>
                <w:color w:val="auto"/>
              </w:rPr>
            </w:pPr>
            <w:r>
              <w:rPr>
                <w:rFonts w:ascii="Arial" w:cs="Arial" w:eastAsia="Arial" w:hAnsi="Arial"/>
                <w:sz w:val="16"/>
                <w:szCs w:val="16"/>
                <w:color w:val="auto"/>
              </w:rPr>
              <w:t>(Loss) Income before income taxes</w:t>
            </w:r>
          </w:p>
        </w:tc>
        <w:tc>
          <w:tcPr>
            <w:tcW w:w="17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(8,511)</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39,577</w:t>
            </w:r>
          </w:p>
        </w:tc>
        <w:tc>
          <w:tcPr>
            <w:tcW w:w="80" w:type="dxa"/>
            <w:vAlign w:val="bottom"/>
            <w:tcBorders>
              <w:top w:val="single" w:sz="8" w:color="CCEEFF"/>
            </w:tcBorders>
          </w:tcPr>
          <w:p>
            <w:pPr>
              <w:spacing w:after="0"/>
              <w:rPr>
                <w:sz w:val="17"/>
                <w:szCs w:val="17"/>
                <w:color w:val="auto"/>
              </w:rPr>
            </w:pPr>
          </w:p>
        </w:tc>
      </w:tr>
      <w:tr>
        <w:trPr>
          <w:trHeight w:val="189"/>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benefit (expense)</w:t>
            </w:r>
          </w:p>
        </w:tc>
        <w:tc>
          <w:tcPr>
            <w:tcW w:w="17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1,876</w:t>
            </w:r>
          </w:p>
        </w:tc>
        <w:tc>
          <w:tcPr>
            <w:tcW w:w="1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(9,374)</w:t>
            </w:r>
          </w:p>
        </w:tc>
        <w:tc>
          <w:tcPr>
            <w:tcW w:w="80" w:type="dxa"/>
            <w:vAlign w:val="bottom"/>
            <w:tcBorders>
              <w:bottom w:val="single" w:sz="8" w:color="CCEEFF"/>
            </w:tcBorders>
            <w:shd w:val="clear" w:color="auto" w:fill="CCEEFF"/>
          </w:tcPr>
          <w:p>
            <w:pPr>
              <w:spacing w:after="0"/>
              <w:rPr>
                <w:sz w:val="16"/>
                <w:szCs w:val="16"/>
                <w:color w:val="auto"/>
              </w:rPr>
            </w:pPr>
          </w:p>
        </w:tc>
      </w:tr>
      <w:tr>
        <w:trPr>
          <w:trHeight w:val="183"/>
        </w:trPr>
        <w:tc>
          <w:tcPr>
            <w:tcW w:w="5240" w:type="dxa"/>
            <w:vAlign w:val="bottom"/>
          </w:tcPr>
          <w:p>
            <w:pPr>
              <w:ind w:left="320"/>
              <w:spacing w:after="0" w:line="183" w:lineRule="exact"/>
              <w:rPr>
                <w:sz w:val="20"/>
                <w:szCs w:val="20"/>
                <w:color w:val="auto"/>
              </w:rPr>
            </w:pPr>
            <w:r>
              <w:rPr>
                <w:rFonts w:ascii="Arial" w:cs="Arial" w:eastAsia="Arial" w:hAnsi="Arial"/>
                <w:sz w:val="16"/>
                <w:szCs w:val="16"/>
                <w:color w:val="auto"/>
              </w:rPr>
              <w:t>Net (loss) income</w:t>
            </w:r>
          </w:p>
        </w:tc>
        <w:tc>
          <w:tcPr>
            <w:tcW w:w="19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(6,635)</w:t>
            </w:r>
          </w:p>
        </w:tc>
        <w:tc>
          <w:tcPr>
            <w:tcW w:w="3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30,203</w:t>
            </w:r>
          </w:p>
        </w:tc>
        <w:tc>
          <w:tcPr>
            <w:tcW w:w="80" w:type="dxa"/>
            <w:vAlign w:val="bottom"/>
          </w:tcPr>
          <w:p>
            <w:pPr>
              <w:spacing w:after="0"/>
              <w:rPr>
                <w:sz w:val="15"/>
                <w:szCs w:val="15"/>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69"/>
        </w:trPr>
        <w:tc>
          <w:tcPr>
            <w:tcW w:w="52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Basic net (loss) income per common share</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(0.81)</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6"/>
                <w:szCs w:val="16"/>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10"/>
        </w:trPr>
        <w:tc>
          <w:tcPr>
            <w:tcW w:w="52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6"/>
                <w:szCs w:val="16"/>
                <w:color w:val="auto"/>
              </w:rPr>
              <w:t>Diluted net (loss) income per common share</w:t>
            </w:r>
          </w:p>
        </w:tc>
        <w:tc>
          <w:tcPr>
            <w:tcW w:w="1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(0.81)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3.59</w:t>
            </w:r>
          </w:p>
        </w:tc>
        <w:tc>
          <w:tcPr>
            <w:tcW w:w="80" w:type="dxa"/>
            <w:vAlign w:val="bottom"/>
            <w:tcBorders>
              <w:bottom w:val="single" w:sz="8" w:color="CCEEFF"/>
            </w:tcBorders>
            <w:shd w:val="clear" w:color="auto" w:fill="CCEEFF"/>
          </w:tcPr>
          <w:p>
            <w:pPr>
              <w:spacing w:after="0"/>
              <w:rPr>
                <w:sz w:val="18"/>
                <w:szCs w:val="18"/>
                <w:color w:val="auto"/>
              </w:rPr>
            </w:pPr>
          </w:p>
        </w:tc>
      </w:tr>
      <w:tr>
        <w:trPr>
          <w:trHeight w:val="169"/>
        </w:trPr>
        <w:tc>
          <w:tcPr>
            <w:tcW w:w="5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 outstanding</w:t>
            </w:r>
          </w:p>
        </w:tc>
        <w:tc>
          <w:tcPr>
            <w:tcW w:w="1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9"/>
        </w:trPr>
        <w:tc>
          <w:tcPr>
            <w:tcW w:w="5240" w:type="dxa"/>
            <w:vAlign w:val="bottom"/>
          </w:tcPr>
          <w:p>
            <w:pPr>
              <w:ind w:left="220"/>
              <w:spacing w:after="0"/>
              <w:rPr>
                <w:sz w:val="20"/>
                <w:szCs w:val="20"/>
                <w:color w:val="auto"/>
              </w:rPr>
            </w:pPr>
            <w:r>
              <w:rPr>
                <w:rFonts w:ascii="Arial" w:cs="Arial" w:eastAsia="Arial" w:hAnsi="Arial"/>
                <w:sz w:val="16"/>
                <w:szCs w:val="16"/>
                <w:color w:val="auto"/>
              </w:rPr>
              <w:t>Basic</w:t>
            </w:r>
          </w:p>
        </w:tc>
        <w:tc>
          <w:tcPr>
            <w:tcW w:w="1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8,182</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8,407</w:t>
            </w:r>
          </w:p>
        </w:tc>
        <w:tc>
          <w:tcPr>
            <w:tcW w:w="80" w:type="dxa"/>
            <w:vAlign w:val="bottom"/>
          </w:tcPr>
          <w:p>
            <w:pPr>
              <w:spacing w:after="0"/>
              <w:rPr>
                <w:sz w:val="16"/>
                <w:szCs w:val="16"/>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9"/>
        </w:trPr>
        <w:tc>
          <w:tcPr>
            <w:tcW w:w="5240" w:type="dxa"/>
            <w:vAlign w:val="bottom"/>
            <w:tcBorders>
              <w:bottom w:val="single" w:sz="8" w:color="CCEEFF"/>
            </w:tcBorders>
            <w:shd w:val="clear" w:color="auto" w:fill="CCEEFF"/>
          </w:tcPr>
          <w:p>
            <w:pPr>
              <w:ind w:left="220"/>
              <w:spacing w:after="0" w:line="170" w:lineRule="exact"/>
              <w:rPr>
                <w:sz w:val="20"/>
                <w:szCs w:val="20"/>
                <w:color w:val="auto"/>
              </w:rPr>
            </w:pPr>
            <w:r>
              <w:rPr>
                <w:rFonts w:ascii="Arial" w:cs="Arial" w:eastAsia="Arial" w:hAnsi="Arial"/>
                <w:sz w:val="16"/>
                <w:szCs w:val="16"/>
                <w:color w:val="auto"/>
              </w:rPr>
              <w:t>Diluted</w:t>
            </w:r>
          </w:p>
        </w:tc>
        <w:tc>
          <w:tcPr>
            <w:tcW w:w="1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8,182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8,407</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43" w:lineRule="exact"/>
        <w:rPr>
          <w:sz w:val="20"/>
          <w:szCs w:val="20"/>
          <w:color w:val="auto"/>
        </w:rPr>
      </w:pPr>
    </w:p>
    <w:p>
      <w:pPr>
        <w:ind w:left="256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28"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Thirteen Weeks Ended</w:t>
            </w:r>
          </w:p>
        </w:tc>
      </w:t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20"/>
              <w:spacing w:after="0" w:line="143" w:lineRule="exact"/>
              <w:rPr>
                <w:sz w:val="20"/>
                <w:szCs w:val="20"/>
                <w:color w:val="auto"/>
              </w:rPr>
            </w:pPr>
            <w:r>
              <w:rPr>
                <w:rFonts w:ascii="Arial" w:cs="Arial" w:eastAsia="Arial" w:hAnsi="Arial"/>
                <w:sz w:val="14"/>
                <w:szCs w:val="14"/>
                <w:b w:val="1"/>
                <w:bCs w:val="1"/>
                <w:color w:val="auto"/>
              </w:rPr>
              <w:t>April 29,</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20"/>
              <w:spacing w:after="0" w:line="143" w:lineRule="exact"/>
              <w:rPr>
                <w:sz w:val="20"/>
                <w:szCs w:val="20"/>
                <w:color w:val="auto"/>
              </w:rPr>
            </w:pPr>
            <w:r>
              <w:rPr>
                <w:rFonts w:ascii="Arial" w:cs="Arial" w:eastAsia="Arial" w:hAnsi="Arial"/>
                <w:sz w:val="14"/>
                <w:szCs w:val="14"/>
                <w:b w:val="1"/>
                <w:bCs w:val="1"/>
                <w:color w:val="auto"/>
              </w:rPr>
              <w:t>April 30,</w:t>
            </w:r>
          </w:p>
        </w:tc>
        <w:tc>
          <w:tcPr>
            <w:tcW w:w="40" w:type="dxa"/>
            <w:vAlign w:val="bottom"/>
          </w:tcPr>
          <w:p>
            <w:pPr>
              <w:spacing w:after="0"/>
              <w:rPr>
                <w:sz w:val="12"/>
                <w:szCs w:val="12"/>
                <w:color w:val="auto"/>
              </w:rPr>
            </w:pPr>
          </w:p>
        </w:tc>
      </w:tr>
      <w:tr>
        <w:trPr>
          <w:trHeight w:val="175"/>
        </w:trPr>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r>
      <w:tr>
        <w:trPr>
          <w:trHeight w:val="19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920" w:type="dxa"/>
            <w:vAlign w:val="bottom"/>
          </w:tcPr>
          <w:p>
            <w:pPr>
              <w:ind w:left="220"/>
              <w:spacing w:after="0"/>
              <w:rPr>
                <w:sz w:val="20"/>
                <w:szCs w:val="20"/>
                <w:color w:val="auto"/>
              </w:rPr>
            </w:pPr>
            <w:r>
              <w:rPr>
                <w:rFonts w:ascii="Arial" w:cs="Arial" w:eastAsia="Arial" w:hAnsi="Arial"/>
                <w:sz w:val="16"/>
                <w:szCs w:val="16"/>
                <w:color w:val="auto"/>
              </w:rPr>
              <w:t>Net (loss) income</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(6,635)</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30,203</w:t>
            </w:r>
          </w:p>
        </w:tc>
        <w:tc>
          <w:tcPr>
            <w:tcW w:w="40" w:type="dxa"/>
            <w:vAlign w:val="bottom"/>
          </w:tcPr>
          <w:p>
            <w:pPr>
              <w:spacing w:after="0"/>
              <w:rPr>
                <w:sz w:val="17"/>
                <w:szCs w:val="17"/>
                <w:color w:val="auto"/>
              </w:rPr>
            </w:pPr>
          </w:p>
        </w:tc>
      </w:tr>
      <w:tr>
        <w:trPr>
          <w:trHeight w:val="203"/>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920" w:type="dxa"/>
            <w:vAlign w:val="bottom"/>
          </w:tcPr>
          <w:p>
            <w:pPr>
              <w:ind w:left="320"/>
              <w:spacing w:after="0"/>
              <w:rPr>
                <w:sz w:val="20"/>
                <w:szCs w:val="20"/>
                <w:color w:val="auto"/>
              </w:rPr>
            </w:pPr>
            <w:r>
              <w:rPr>
                <w:rFonts w:ascii="Arial" w:cs="Arial" w:eastAsia="Arial" w:hAnsi="Arial"/>
                <w:sz w:val="16"/>
                <w:szCs w:val="16"/>
                <w:color w:val="auto"/>
              </w:rPr>
              <w:t>Depreciation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5,445</w:t>
            </w:r>
          </w:p>
        </w:tc>
        <w:tc>
          <w:tcPr>
            <w:tcW w:w="40" w:type="dxa"/>
            <w:vAlign w:val="bottom"/>
          </w:tcPr>
          <w:p>
            <w:pPr>
              <w:spacing w:after="0"/>
              <w:rPr>
                <w:sz w:val="17"/>
                <w:szCs w:val="17"/>
                <w:color w:val="auto"/>
              </w:rPr>
            </w:pPr>
          </w:p>
        </w:tc>
      </w:tr>
      <w:tr>
        <w:trPr>
          <w:trHeight w:val="203"/>
        </w:trPr>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operating lease costs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12,468</w:t>
            </w:r>
          </w:p>
        </w:tc>
        <w:tc>
          <w:tcPr>
            <w:tcW w:w="40" w:type="dxa"/>
            <w:vAlign w:val="bottom"/>
            <w:shd w:val="clear" w:color="auto" w:fill="CCEEFF"/>
          </w:tcPr>
          <w:p>
            <w:pPr>
              <w:spacing w:after="0"/>
              <w:rPr>
                <w:sz w:val="17"/>
                <w:szCs w:val="17"/>
                <w:color w:val="auto"/>
              </w:rPr>
            </w:pPr>
          </w:p>
        </w:tc>
      </w:tr>
      <w:tr>
        <w:trPr>
          <w:trHeight w:val="203"/>
        </w:trPr>
        <w:tc>
          <w:tcPr>
            <w:tcW w:w="6920" w:type="dxa"/>
            <w:vAlign w:val="bottom"/>
          </w:tcPr>
          <w:p>
            <w:pPr>
              <w:ind w:left="320"/>
              <w:spacing w:after="0"/>
              <w:rPr>
                <w:sz w:val="20"/>
                <w:szCs w:val="20"/>
                <w:color w:val="auto"/>
              </w:rPr>
            </w:pPr>
            <w:r>
              <w:rPr>
                <w:rFonts w:ascii="Arial" w:cs="Arial" w:eastAsia="Arial" w:hAnsi="Arial"/>
                <w:sz w:val="16"/>
                <w:szCs w:val="16"/>
                <w:color w:val="auto"/>
              </w:rPr>
              <w:t>Loss on disposal of property and equipment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(1,324)</w:t>
            </w:r>
          </w:p>
        </w:tc>
      </w:tr>
      <w:tr>
        <w:trPr>
          <w:trHeight w:val="203"/>
        </w:trPr>
        <w:tc>
          <w:tcPr>
            <w:tcW w:w="6920" w:type="dxa"/>
            <w:vAlign w:val="bottom"/>
          </w:tcPr>
          <w:p>
            <w:pPr>
              <w:ind w:left="320"/>
              <w:spacing w:after="0"/>
              <w:rPr>
                <w:sz w:val="20"/>
                <w:szCs w:val="20"/>
                <w:color w:val="auto"/>
              </w:rPr>
            </w:pPr>
            <w:r>
              <w:rPr>
                <w:rFonts w:ascii="Arial" w:cs="Arial" w:eastAsia="Arial" w:hAnsi="Arial"/>
                <w:sz w:val="16"/>
                <w:szCs w:val="16"/>
                <w:color w:val="auto"/>
              </w:rPr>
              <w:t>Insurance proceeds related to operating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794</w:t>
            </w:r>
          </w:p>
        </w:tc>
        <w:tc>
          <w:tcPr>
            <w:tcW w:w="40" w:type="dxa"/>
            <w:vAlign w:val="bottom"/>
          </w:tcPr>
          <w:p>
            <w:pPr>
              <w:spacing w:after="0"/>
              <w:rPr>
                <w:sz w:val="17"/>
                <w:szCs w:val="17"/>
                <w:color w:val="auto"/>
              </w:rPr>
            </w:pPr>
          </w:p>
        </w:tc>
      </w:tr>
      <w:tr>
        <w:trPr>
          <w:trHeight w:val="203"/>
        </w:trPr>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Non-cash stock-based compensation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40" w:type="dxa"/>
            <w:vAlign w:val="bottom"/>
            <w:shd w:val="clear" w:color="auto" w:fill="CCEEFF"/>
          </w:tcPr>
          <w:p>
            <w:pPr>
              <w:spacing w:after="0"/>
              <w:rPr>
                <w:sz w:val="17"/>
                <w:szCs w:val="17"/>
                <w:color w:val="auto"/>
              </w:rPr>
            </w:pPr>
          </w:p>
        </w:tc>
      </w:tr>
      <w:tr>
        <w:trPr>
          <w:trHeight w:val="203"/>
        </w:trPr>
        <w:tc>
          <w:tcPr>
            <w:tcW w:w="6920" w:type="dxa"/>
            <w:vAlign w:val="bottom"/>
          </w:tcPr>
          <w:p>
            <w:pPr>
              <w:ind w:left="320"/>
              <w:spacing w:after="0"/>
              <w:rPr>
                <w:sz w:val="20"/>
                <w:szCs w:val="20"/>
                <w:color w:val="auto"/>
              </w:rPr>
            </w:pPr>
            <w:r>
              <w:rPr>
                <w:rFonts w:ascii="Arial" w:cs="Arial" w:eastAsia="Arial" w:hAnsi="Arial"/>
                <w:sz w:val="16"/>
                <w:szCs w:val="16"/>
                <w:color w:val="auto"/>
              </w:rPr>
              <w:t>Gain on sale-leaseback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(34,920)</w:t>
            </w:r>
          </w:p>
        </w:tc>
      </w:tr>
      <w:tr>
        <w:trPr>
          <w:trHeight w:val="203"/>
        </w:trPr>
        <w:tc>
          <w:tcPr>
            <w:tcW w:w="6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Changes in assets and liabilities: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920" w:type="dxa"/>
            <w:vAlign w:val="bottom"/>
          </w:tcPr>
          <w:p>
            <w:pPr>
              <w:ind w:left="440"/>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(8,528)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(6,493)</w:t>
            </w:r>
          </w:p>
        </w:tc>
      </w:tr>
      <w:tr>
        <w:trPr>
          <w:trHeight w:val="203"/>
        </w:trPr>
        <w:tc>
          <w:tcPr>
            <w:tcW w:w="69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Prepaid and other current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(1,539)</w:t>
            </w:r>
          </w:p>
        </w:tc>
      </w:tr>
      <w:tr>
        <w:trPr>
          <w:trHeight w:val="203"/>
        </w:trPr>
        <w:tc>
          <w:tcPr>
            <w:tcW w:w="6920" w:type="dxa"/>
            <w:vAlign w:val="bottom"/>
          </w:tcPr>
          <w:p>
            <w:pPr>
              <w:ind w:left="440"/>
              <w:spacing w:after="0"/>
              <w:rPr>
                <w:sz w:val="20"/>
                <w:szCs w:val="20"/>
                <w:color w:val="auto"/>
              </w:rPr>
            </w:pPr>
            <w:r>
              <w:rPr>
                <w:rFonts w:ascii="Arial" w:cs="Arial" w:eastAsia="Arial" w:hAnsi="Arial"/>
                <w:sz w:val="16"/>
                <w:szCs w:val="16"/>
                <w:color w:val="auto"/>
              </w:rPr>
              <w:t>Other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7"/>
                <w:szCs w:val="17"/>
                <w:color w:val="auto"/>
              </w:rPr>
            </w:pPr>
          </w:p>
        </w:tc>
      </w:tr>
      <w:tr>
        <w:trPr>
          <w:trHeight w:val="203"/>
        </w:trPr>
        <w:tc>
          <w:tcPr>
            <w:tcW w:w="69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Accounts payable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(11,266)</w:t>
            </w:r>
          </w:p>
        </w:tc>
      </w:tr>
      <w:tr>
        <w:trPr>
          <w:trHeight w:val="203"/>
        </w:trPr>
        <w:tc>
          <w:tcPr>
            <w:tcW w:w="6920" w:type="dxa"/>
            <w:vAlign w:val="bottom"/>
          </w:tcPr>
          <w:p>
            <w:pPr>
              <w:ind w:left="440"/>
              <w:spacing w:after="0"/>
              <w:rPr>
                <w:sz w:val="20"/>
                <w:szCs w:val="20"/>
                <w:color w:val="auto"/>
              </w:rPr>
            </w:pPr>
            <w:r>
              <w:rPr>
                <w:rFonts w:ascii="Arial" w:cs="Arial" w:eastAsia="Arial" w:hAnsi="Arial"/>
                <w:sz w:val="16"/>
                <w:szCs w:val="16"/>
                <w:color w:val="auto"/>
              </w:rPr>
              <w:t>Accrued expenses and other long-term liabilities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(19,982)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(11,113)</w:t>
            </w:r>
          </w:p>
        </w:tc>
      </w:tr>
      <w:tr>
        <w:trPr>
          <w:trHeight w:val="203"/>
        </w:trPr>
        <w:tc>
          <w:tcPr>
            <w:tcW w:w="69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Accrued compensation</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(14,721)</w:t>
            </w:r>
          </w:p>
        </w:tc>
      </w:tr>
      <w:tr>
        <w:trPr>
          <w:trHeight w:val="203"/>
        </w:trPr>
        <w:tc>
          <w:tcPr>
            <w:tcW w:w="6920" w:type="dxa"/>
            <w:vAlign w:val="bottom"/>
          </w:tcPr>
          <w:p>
            <w:pPr>
              <w:ind w:left="440"/>
              <w:spacing w:after="0"/>
              <w:rPr>
                <w:sz w:val="20"/>
                <w:szCs w:val="20"/>
                <w:color w:val="auto"/>
              </w:rPr>
            </w:pPr>
            <w:r>
              <w:rPr>
                <w:rFonts w:ascii="Arial" w:cs="Arial" w:eastAsia="Arial" w:hAnsi="Arial"/>
                <w:sz w:val="16"/>
                <w:szCs w:val="16"/>
                <w:color w:val="auto"/>
              </w:rPr>
              <w:t>Income tax receivable/payable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(1,588)</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10,700</w:t>
            </w:r>
          </w:p>
        </w:tc>
        <w:tc>
          <w:tcPr>
            <w:tcW w:w="40" w:type="dxa"/>
            <w:vAlign w:val="bottom"/>
          </w:tcPr>
          <w:p>
            <w:pPr>
              <w:spacing w:after="0"/>
              <w:rPr>
                <w:sz w:val="17"/>
                <w:szCs w:val="17"/>
                <w:color w:val="auto"/>
              </w:rPr>
            </w:pPr>
          </w:p>
        </w:tc>
      </w:tr>
      <w:tr>
        <w:trPr>
          <w:trHeight w:val="189"/>
        </w:trPr>
        <w:tc>
          <w:tcPr>
            <w:tcW w:w="6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Layaway deposits</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3"/>
        </w:trPr>
        <w:tc>
          <w:tcPr>
            <w:tcW w:w="6920" w:type="dxa"/>
            <w:vAlign w:val="bottom"/>
          </w:tcPr>
          <w:p>
            <w:pPr>
              <w:ind w:left="660"/>
              <w:spacing w:after="0" w:line="183" w:lineRule="exact"/>
              <w:rPr>
                <w:sz w:val="20"/>
                <w:szCs w:val="20"/>
                <w:color w:val="auto"/>
              </w:rPr>
            </w:pPr>
            <w:r>
              <w:rPr>
                <w:rFonts w:ascii="Arial" w:cs="Arial" w:eastAsia="Arial" w:hAnsi="Arial"/>
                <w:sz w:val="16"/>
                <w:szCs w:val="16"/>
                <w:color w:val="auto"/>
              </w:rPr>
              <w:t>Net cash used in operating activities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(13,055)</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(18,879)</w:t>
            </w:r>
          </w:p>
        </w:tc>
      </w:tr>
      <w:tr>
        <w:trPr>
          <w:trHeight w:val="196"/>
        </w:trPr>
        <w:tc>
          <w:tcPr>
            <w:tcW w:w="692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6920" w:type="dxa"/>
            <w:vAlign w:val="bottom"/>
          </w:tcPr>
          <w:p>
            <w:pPr>
              <w:ind w:left="220"/>
              <w:spacing w:after="0"/>
              <w:rPr>
                <w:sz w:val="20"/>
                <w:szCs w:val="20"/>
                <w:color w:val="auto"/>
              </w:rPr>
            </w:pPr>
            <w:r>
              <w:rPr>
                <w:rFonts w:ascii="Arial" w:cs="Arial" w:eastAsia="Arial" w:hAnsi="Arial"/>
                <w:sz w:val="16"/>
                <w:szCs w:val="16"/>
                <w:color w:val="auto"/>
              </w:rPr>
              <w:t>Purchases of property and equipment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(8,012)</w:t>
            </w:r>
          </w:p>
        </w:tc>
      </w:tr>
      <w:tr>
        <w:trPr>
          <w:trHeight w:val="203"/>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Insurance proceeds related to investing activities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40" w:type="dxa"/>
            <w:vAlign w:val="bottom"/>
            <w:shd w:val="clear" w:color="auto" w:fill="CCEEFF"/>
          </w:tcPr>
          <w:p>
            <w:pPr>
              <w:spacing w:after="0"/>
              <w:rPr>
                <w:sz w:val="17"/>
                <w:szCs w:val="17"/>
                <w:color w:val="auto"/>
              </w:rPr>
            </w:pPr>
          </w:p>
        </w:tc>
      </w:tr>
      <w:tr>
        <w:trPr>
          <w:trHeight w:val="189"/>
        </w:trPr>
        <w:tc>
          <w:tcPr>
            <w:tcW w:w="6920" w:type="dxa"/>
            <w:vAlign w:val="bottom"/>
          </w:tcPr>
          <w:p>
            <w:pPr>
              <w:ind w:left="220"/>
              <w:spacing w:after="0"/>
              <w:rPr>
                <w:sz w:val="20"/>
                <w:szCs w:val="20"/>
                <w:color w:val="auto"/>
              </w:rPr>
            </w:pPr>
            <w:r>
              <w:rPr>
                <w:rFonts w:ascii="Arial" w:cs="Arial" w:eastAsia="Arial" w:hAnsi="Arial"/>
                <w:sz w:val="16"/>
                <w:szCs w:val="16"/>
                <w:color w:val="auto"/>
              </w:rPr>
              <w:t>Proceeds from sale-leasebacks</w:t>
            </w: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45,513</w:t>
            </w:r>
          </w:p>
        </w:tc>
        <w:tc>
          <w:tcPr>
            <w:tcW w:w="40" w:type="dxa"/>
            <w:vAlign w:val="bottom"/>
          </w:tcPr>
          <w:p>
            <w:pPr>
              <w:spacing w:after="0"/>
              <w:rPr>
                <w:sz w:val="16"/>
                <w:szCs w:val="16"/>
                <w:color w:val="auto"/>
              </w:rPr>
            </w:pPr>
          </w:p>
        </w:tc>
      </w:tr>
      <w:tr>
        <w:trPr>
          <w:trHeight w:val="183"/>
        </w:trPr>
        <w:tc>
          <w:tcPr>
            <w:tcW w:w="6920" w:type="dxa"/>
            <w:vAlign w:val="bottom"/>
            <w:tcBorders>
              <w:bottom w:val="single" w:sz="8" w:color="CCEEFF"/>
            </w:tcBorders>
            <w:shd w:val="clear" w:color="auto" w:fill="CCEEFF"/>
          </w:tcPr>
          <w:p>
            <w:pPr>
              <w:ind w:left="660"/>
              <w:spacing w:after="0" w:line="183" w:lineRule="exact"/>
              <w:rPr>
                <w:sz w:val="20"/>
                <w:szCs w:val="20"/>
                <w:color w:val="auto"/>
              </w:rPr>
            </w:pPr>
            <w:r>
              <w:rPr>
                <w:rFonts w:ascii="Arial" w:cs="Arial" w:eastAsia="Arial" w:hAnsi="Arial"/>
                <w:sz w:val="16"/>
                <w:szCs w:val="16"/>
                <w:color w:val="auto"/>
              </w:rPr>
              <w:t>Net cash (used in) provided by investing activities</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(950)</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38,192</w:t>
            </w:r>
          </w:p>
        </w:tc>
        <w:tc>
          <w:tcPr>
            <w:tcW w:w="40" w:type="dxa"/>
            <w:vAlign w:val="bottom"/>
            <w:tcBorders>
              <w:bottom w:val="single" w:sz="8" w:color="CCEEFF"/>
            </w:tcBorders>
            <w:shd w:val="clear" w:color="auto" w:fill="CCEEFF"/>
          </w:tcPr>
          <w:p>
            <w:pPr>
              <w:spacing w:after="0"/>
              <w:rPr>
                <w:sz w:val="15"/>
                <w:szCs w:val="15"/>
                <w:color w:val="auto"/>
              </w:rPr>
            </w:pPr>
          </w:p>
        </w:tc>
      </w:tr>
      <w:tr>
        <w:trPr>
          <w:trHeight w:val="196"/>
        </w:trPr>
        <w:tc>
          <w:tcPr>
            <w:tcW w:w="6920" w:type="dxa"/>
            <w:vAlign w:val="bottom"/>
          </w:tcPr>
          <w:p>
            <w:pPr>
              <w:spacing w:after="0"/>
              <w:rPr>
                <w:sz w:val="20"/>
                <w:szCs w:val="20"/>
                <w:color w:val="auto"/>
              </w:rPr>
            </w:pPr>
            <w:r>
              <w:rPr>
                <w:rFonts w:ascii="Arial" w:cs="Arial" w:eastAsia="Arial" w:hAnsi="Arial"/>
                <w:sz w:val="16"/>
                <w:szCs w:val="16"/>
                <w:color w:val="auto"/>
              </w:rPr>
              <w:t>Financing activities: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costs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920" w:type="dxa"/>
            <w:vAlign w:val="bottom"/>
          </w:tcPr>
          <w:p>
            <w:pPr>
              <w:ind w:left="220"/>
              <w:spacing w:after="0"/>
              <w:rPr>
                <w:sz w:val="20"/>
                <w:szCs w:val="20"/>
                <w:color w:val="auto"/>
              </w:rPr>
            </w:pPr>
            <w:r>
              <w:rPr>
                <w:rFonts w:ascii="Arial" w:cs="Arial" w:eastAsia="Arial" w:hAnsi="Arial"/>
                <w:sz w:val="16"/>
                <w:szCs w:val="16"/>
                <w:color w:val="auto"/>
              </w:rPr>
              <w:t>Cash used to settle withholding taxes on the vesting of nonvested restricted stock</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(2,127)</w:t>
            </w:r>
          </w:p>
        </w:tc>
      </w:tr>
      <w:tr>
        <w:trPr>
          <w:trHeight w:val="189"/>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(5,317)</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3"/>
        </w:trPr>
        <w:tc>
          <w:tcPr>
            <w:tcW w:w="6920" w:type="dxa"/>
            <w:vAlign w:val="bottom"/>
          </w:tcPr>
          <w:p>
            <w:pPr>
              <w:ind w:left="660"/>
              <w:spacing w:after="0" w:line="183" w:lineRule="exact"/>
              <w:rPr>
                <w:sz w:val="20"/>
                <w:szCs w:val="20"/>
                <w:color w:val="auto"/>
              </w:rPr>
            </w:pPr>
            <w:r>
              <w:rPr>
                <w:rFonts w:ascii="Arial" w:cs="Arial" w:eastAsia="Arial" w:hAnsi="Arial"/>
                <w:sz w:val="16"/>
                <w:szCs w:val="16"/>
                <w:color w:val="auto"/>
              </w:rPr>
              <w:t>Net cash used in financing activities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(783)</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(7,444)</w:t>
            </w:r>
          </w:p>
        </w:tc>
      </w:tr>
      <w:tr>
        <w:trPr>
          <w:trHeight w:val="196"/>
        </w:trPr>
        <w:tc>
          <w:tcPr>
            <w:tcW w:w="6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(decrease) increase in cash and cash equivalents</w:t>
            </w:r>
          </w:p>
        </w:tc>
        <w:tc>
          <w:tcPr>
            <w:tcW w:w="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(14,788)</w:t>
            </w:r>
          </w:p>
        </w:tc>
        <w:tc>
          <w:tcPr>
            <w:tcW w:w="2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11,869</w:t>
            </w:r>
          </w:p>
        </w:tc>
        <w:tc>
          <w:tcPr>
            <w:tcW w:w="40" w:type="dxa"/>
            <w:vAlign w:val="bottom"/>
            <w:shd w:val="clear" w:color="auto" w:fill="CCEEFF"/>
          </w:tcPr>
          <w:p>
            <w:pPr>
              <w:spacing w:after="0"/>
              <w:rPr>
                <w:sz w:val="17"/>
                <w:szCs w:val="17"/>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9"/>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Beginning of period</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103,495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49,788</w:t>
            </w:r>
          </w:p>
        </w:tc>
        <w:tc>
          <w:tcPr>
            <w:tcW w:w="40" w:type="dxa"/>
            <w:vAlign w:val="bottom"/>
            <w:tcBorders>
              <w:bottom w:val="single" w:sz="8" w:color="CCEEFF"/>
            </w:tcBorders>
            <w:shd w:val="clear" w:color="auto" w:fill="CCEEFF"/>
          </w:tcPr>
          <w:p>
            <w:pPr>
              <w:spacing w:after="0"/>
              <w:rPr>
                <w:sz w:val="16"/>
                <w:szCs w:val="16"/>
                <w:color w:val="auto"/>
              </w:rPr>
            </w:pPr>
          </w:p>
        </w:tc>
      </w:tr>
      <w:tr>
        <w:trPr>
          <w:trHeight w:val="183"/>
        </w:trPr>
        <w:tc>
          <w:tcPr>
            <w:tcW w:w="6920" w:type="dxa"/>
            <w:vAlign w:val="bottom"/>
          </w:tcPr>
          <w:p>
            <w:pPr>
              <w:ind w:left="220"/>
              <w:spacing w:after="0" w:line="183" w:lineRule="exact"/>
              <w:rPr>
                <w:sz w:val="20"/>
                <w:szCs w:val="20"/>
                <w:color w:val="auto"/>
              </w:rPr>
            </w:pPr>
            <w:r>
              <w:rPr>
                <w:rFonts w:ascii="Arial" w:cs="Arial" w:eastAsia="Arial" w:hAnsi="Arial"/>
                <w:sz w:val="16"/>
                <w:szCs w:val="16"/>
                <w:color w:val="auto"/>
              </w:rPr>
              <w:t>End of period</w:t>
            </w:r>
          </w:p>
        </w:tc>
        <w:tc>
          <w:tcPr>
            <w:tcW w:w="14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88,707</w:t>
            </w:r>
          </w:p>
        </w:tc>
        <w:tc>
          <w:tcPr>
            <w:tcW w:w="3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61,657</w:t>
            </w:r>
          </w:p>
        </w:tc>
        <w:tc>
          <w:tcPr>
            <w:tcW w:w="40" w:type="dxa"/>
            <w:vAlign w:val="bottom"/>
          </w:tcPr>
          <w:p>
            <w:pPr>
              <w:spacing w:after="0"/>
              <w:rPr>
                <w:sz w:val="15"/>
                <w:szCs w:val="15"/>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70"/>
        </w:trPr>
        <w:tc>
          <w:tcPr>
            <w:tcW w:w="69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03"/>
        </w:trPr>
        <w:tc>
          <w:tcPr>
            <w:tcW w:w="6920" w:type="dxa"/>
            <w:vAlign w:val="bottom"/>
          </w:tcPr>
          <w:p>
            <w:pPr>
              <w:spacing w:after="0"/>
              <w:rPr>
                <w:sz w:val="20"/>
                <w:szCs w:val="20"/>
                <w:color w:val="auto"/>
              </w:rPr>
            </w:pPr>
            <w:r>
              <w:rPr>
                <w:rFonts w:ascii="Arial" w:cs="Arial" w:eastAsia="Arial" w:hAnsi="Arial"/>
                <w:sz w:val="16"/>
                <w:szCs w:val="16"/>
                <w:color w:val="auto"/>
              </w:rPr>
              <w:t>Supplemental disclosures of cash flow information:</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6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Cash paid for interest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40" w:type="dxa"/>
            <w:vAlign w:val="bottom"/>
            <w:shd w:val="clear" w:color="auto" w:fill="CCEEFF"/>
          </w:tcPr>
          <w:p>
            <w:pPr>
              <w:spacing w:after="0"/>
              <w:rPr>
                <w:sz w:val="19"/>
                <w:szCs w:val="19"/>
                <w:color w:val="auto"/>
              </w:rPr>
            </w:pPr>
          </w:p>
        </w:tc>
      </w:tr>
      <w:tr>
        <w:trPr>
          <w:trHeight w:val="170"/>
        </w:trPr>
        <w:tc>
          <w:tcPr>
            <w:tcW w:w="6920" w:type="dxa"/>
            <w:vAlign w:val="bottom"/>
            <w:tcBorders>
              <w:top w:val="single" w:sz="8" w:color="CCEEFF"/>
            </w:tcBorders>
          </w:tcPr>
          <w:p>
            <w:pPr>
              <w:ind w:left="660"/>
              <w:spacing w:after="0" w:line="170" w:lineRule="exact"/>
              <w:rPr>
                <w:sz w:val="20"/>
                <w:szCs w:val="20"/>
                <w:color w:val="auto"/>
              </w:rPr>
            </w:pPr>
            <w:r>
              <w:rPr>
                <w:rFonts w:ascii="Arial" w:cs="Arial" w:eastAsia="Arial" w:hAnsi="Arial"/>
                <w:sz w:val="16"/>
                <w:szCs w:val="16"/>
                <w:color w:val="auto"/>
              </w:rPr>
              <w:t>Cash payments (refunds)of income taxes</w:t>
            </w:r>
          </w:p>
        </w:tc>
        <w:tc>
          <w:tcPr>
            <w:tcW w:w="20" w:type="dxa"/>
            <w:vAlign w:val="bottom"/>
            <w:tcBorders>
              <w:top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1,213</w:t>
            </w:r>
          </w:p>
        </w:tc>
        <w:tc>
          <w:tcPr>
            <w:tcW w:w="200" w:type="dxa"/>
            <w:vAlign w:val="bottom"/>
            <w:tcBorders>
              <w:top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(2)</w:t>
            </w:r>
          </w:p>
        </w:tc>
        <w:tc>
          <w:tcPr>
            <w:tcW w:w="40" w:type="dxa"/>
            <w:vAlign w:val="bottom"/>
            <w:tcBorders>
              <w:top w:val="single" w:sz="8" w:color="CCEEFF"/>
            </w:tcBorders>
          </w:tcPr>
          <w:p>
            <w:pPr>
              <w:spacing w:after="0"/>
              <w:rPr>
                <w:sz w:val="14"/>
                <w:szCs w:val="14"/>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70"/>
        </w:trPr>
        <w:tc>
          <w:tcPr>
            <w:tcW w:w="6920" w:type="dxa"/>
            <w:vAlign w:val="bottom"/>
            <w:shd w:val="clear" w:color="auto" w:fill="CCEEFF"/>
          </w:tcPr>
          <w:p>
            <w:pPr>
              <w:spacing w:after="0" w:line="170" w:lineRule="exact"/>
              <w:rPr>
                <w:sz w:val="20"/>
                <w:szCs w:val="20"/>
                <w:color w:val="auto"/>
              </w:rPr>
            </w:pPr>
            <w:r>
              <w:rPr>
                <w:rFonts w:ascii="Arial" w:cs="Arial" w:eastAsia="Arial" w:hAnsi="Arial"/>
                <w:sz w:val="16"/>
                <w:szCs w:val="16"/>
                <w:color w:val="auto"/>
              </w:rPr>
              <w:t>Supplemental disclosures of non-cash investing activities:</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9"/>
        </w:trPr>
        <w:tc>
          <w:tcPr>
            <w:tcW w:w="6920" w:type="dxa"/>
            <w:vAlign w:val="bottom"/>
          </w:tcPr>
          <w:p>
            <w:pPr>
              <w:ind w:left="660"/>
              <w:spacing w:after="0"/>
              <w:rPr>
                <w:sz w:val="20"/>
                <w:szCs w:val="20"/>
                <w:color w:val="auto"/>
              </w:rPr>
            </w:pPr>
            <w:r>
              <w:rPr>
                <w:rFonts w:ascii="Arial" w:cs="Arial" w:eastAsia="Arial" w:hAnsi="Arial"/>
                <w:sz w:val="16"/>
                <w:szCs w:val="16"/>
                <w:color w:val="auto"/>
              </w:rPr>
              <w:t>Accrual for purchases of property and equipment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1,031</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1,647</w:t>
            </w:r>
          </w:p>
        </w:tc>
        <w:tc>
          <w:tcPr>
            <w:tcW w:w="40" w:type="dxa"/>
            <w:vAlign w:val="bottom"/>
          </w:tcPr>
          <w:p>
            <w:pPr>
              <w:spacing w:after="0"/>
              <w:rPr>
                <w:sz w:val="16"/>
                <w:szCs w:val="16"/>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Citi Trends, Inc.</w:t>
      </w:r>
    </w:p>
    <w:p>
      <w:pPr>
        <w:spacing w:after="0" w:line="43"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15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jc w:val="right"/>
              <w:ind w:right="81"/>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Treasury Stock</w:t>
            </w:r>
          </w:p>
        </w:tc>
        <w:tc>
          <w:tcPr>
            <w:tcW w:w="780" w:type="dxa"/>
            <w:vAlign w:val="bottom"/>
          </w:tcPr>
          <w:p>
            <w:pPr>
              <w:spacing w:after="0"/>
              <w:rPr>
                <w:sz w:val="15"/>
                <w:szCs w:val="15"/>
                <w:color w:val="auto"/>
              </w:rPr>
            </w:pPr>
          </w:p>
        </w:tc>
      </w:tr>
      <w:tr>
        <w:trPr>
          <w:trHeight w:val="169"/>
        </w:trPr>
        <w:tc>
          <w:tcPr>
            <w:tcW w:w="340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140"/>
              <w:spacing w:after="0"/>
              <w:rPr>
                <w:sz w:val="20"/>
                <w:szCs w:val="20"/>
                <w:color w:val="auto"/>
              </w:rPr>
            </w:pPr>
            <w:r>
              <w:rPr>
                <w:rFonts w:ascii="Arial" w:cs="Arial" w:eastAsia="Arial" w:hAnsi="Arial"/>
                <w:sz w:val="14"/>
                <w:szCs w:val="14"/>
                <w:b w:val="1"/>
                <w:bCs w:val="1"/>
                <w:color w:val="auto"/>
              </w:rPr>
              <w:t>Total</w:t>
            </w:r>
          </w:p>
        </w:tc>
      </w:tr>
      <w:tr>
        <w:trPr>
          <w:trHeight w:val="183"/>
        </w:trPr>
        <w:tc>
          <w:tcPr>
            <w:tcW w:w="3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28, 2023</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16,158,494</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$ 102,445</w:t>
            </w:r>
          </w:p>
        </w:tc>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$ 331,050</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7,804,013</w:t>
            </w:r>
          </w:p>
        </w:tc>
        <w:tc>
          <w:tcPr>
            <w:tcW w:w="16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(267,211)$ 166,444</w:t>
            </w: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Vesting of nonvested shares</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Forfeiture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(9,647)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w:t>
            </w: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Net share settlement of nonvested shares</w:t>
            </w:r>
          </w:p>
        </w:tc>
        <w:tc>
          <w:tcPr>
            <w:tcW w:w="940" w:type="dxa"/>
            <w:vAlign w:val="bottom"/>
          </w:tcPr>
          <w:p>
            <w:pPr>
              <w:jc w:val="right"/>
              <w:spacing w:after="0"/>
              <w:rPr>
                <w:sz w:val="20"/>
                <w:szCs w:val="20"/>
                <w:color w:val="auto"/>
              </w:rPr>
            </w:pPr>
            <w:r>
              <w:rPr>
                <w:rFonts w:ascii="Arial" w:cs="Arial" w:eastAsia="Arial" w:hAnsi="Arial"/>
                <w:sz w:val="16"/>
                <w:szCs w:val="16"/>
                <w:color w:val="auto"/>
              </w:rPr>
              <w:t>(33,432)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(783)</w:t>
            </w: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(6,635)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w:t>
            </w:r>
          </w:p>
        </w:tc>
      </w:tr>
      <w:tr>
        <w:trPr>
          <w:trHeight w:val="229"/>
        </w:trPr>
        <w:tc>
          <w:tcPr>
            <w:tcW w:w="3400" w:type="dxa"/>
            <w:vAlign w:val="bottom"/>
          </w:tcPr>
          <w:p>
            <w:pPr>
              <w:spacing w:after="0"/>
              <w:rPr>
                <w:sz w:val="20"/>
                <w:szCs w:val="20"/>
                <w:color w:val="auto"/>
              </w:rPr>
            </w:pPr>
            <w:r>
              <w:rPr>
                <w:rFonts w:ascii="Arial" w:cs="Arial" w:eastAsia="Arial" w:hAnsi="Arial"/>
                <w:sz w:val="16"/>
                <w:szCs w:val="16"/>
                <w:color w:val="auto"/>
              </w:rPr>
              <w:t>Balances — April 29, 2023</w:t>
            </w:r>
          </w:p>
        </w:tc>
        <w:tc>
          <w:tcPr>
            <w:tcW w:w="940" w:type="dxa"/>
            <w:vAlign w:val="bottom"/>
          </w:tcPr>
          <w:p>
            <w:pPr>
              <w:jc w:val="right"/>
              <w:spacing w:after="0"/>
              <w:rPr>
                <w:sz w:val="20"/>
                <w:szCs w:val="20"/>
                <w:color w:val="auto"/>
              </w:rPr>
            </w:pPr>
            <w:r>
              <w:rPr>
                <w:rFonts w:ascii="Arial" w:cs="Arial" w:eastAsia="Arial" w:hAnsi="Arial"/>
                <w:sz w:val="16"/>
                <w:szCs w:val="16"/>
                <w:color w:val="auto"/>
              </w:rPr>
              <w:t>16,116,915</w:t>
            </w:r>
          </w:p>
        </w:tc>
        <w:tc>
          <w:tcPr>
            <w:tcW w:w="20" w:type="dxa"/>
            <w:vAlign w:val="bottom"/>
          </w:tcPr>
          <w:p>
            <w:pPr>
              <w:spacing w:after="0"/>
              <w:rPr>
                <w:sz w:val="19"/>
                <w:szCs w:val="19"/>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$ 102,598</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$ 324,415</w:t>
            </w:r>
          </w:p>
        </w:tc>
        <w:tc>
          <w:tcPr>
            <w:tcW w:w="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7,804,013</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(267,211)</w:t>
            </w:r>
            <w:r>
              <w:rPr>
                <w:rFonts w:ascii="Arial" w:cs="Arial" w:eastAsia="Arial" w:hAnsi="Arial"/>
                <w:sz w:val="16"/>
                <w:szCs w:val="16"/>
                <w:color w:val="auto"/>
              </w:rPr>
              <w:t>$ 159,962</w:t>
            </w:r>
          </w:p>
        </w:tc>
      </w:tr>
      <w:tr>
        <w:trPr>
          <w:trHeight w:val="169"/>
        </w:trPr>
        <w:tc>
          <w:tcPr>
            <w:tcW w:w="34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r>
      <w:tr>
        <w:trPr>
          <w:trHeight w:val="405"/>
        </w:trPr>
        <w:tc>
          <w:tcPr>
            <w:tcW w:w="3400" w:type="dxa"/>
            <w:vAlign w:val="bottom"/>
          </w:tcPr>
          <w:p>
            <w:pPr>
              <w:spacing w:after="0"/>
              <w:rPr>
                <w:sz w:val="24"/>
                <w:szCs w:val="24"/>
                <w:color w:val="auto"/>
              </w:rPr>
            </w:pPr>
          </w:p>
        </w:tc>
        <w:tc>
          <w:tcPr>
            <w:tcW w:w="156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24"/>
                <w:szCs w:val="24"/>
                <w:color w:val="auto"/>
              </w:rPr>
            </w:pPr>
          </w:p>
        </w:tc>
        <w:tc>
          <w:tcPr>
            <w:tcW w:w="800" w:type="dxa"/>
            <w:vAlign w:val="bottom"/>
          </w:tcPr>
          <w:p>
            <w:pPr>
              <w:jc w:val="right"/>
              <w:ind w:right="81"/>
              <w:spacing w:after="0"/>
              <w:rPr>
                <w:sz w:val="20"/>
                <w:szCs w:val="20"/>
                <w:color w:val="auto"/>
              </w:rPr>
            </w:pPr>
            <w:r>
              <w:rPr>
                <w:rFonts w:ascii="Arial" w:cs="Arial" w:eastAsia="Arial" w:hAnsi="Arial"/>
                <w:sz w:val="14"/>
                <w:szCs w:val="14"/>
                <w:b w:val="1"/>
                <w:bCs w:val="1"/>
                <w:color w:val="auto"/>
              </w:rPr>
              <w:t>Paid in</w:t>
            </w:r>
          </w:p>
        </w:tc>
        <w:tc>
          <w:tcPr>
            <w:tcW w:w="2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Retained</w:t>
            </w:r>
          </w:p>
        </w:tc>
        <w:tc>
          <w:tcPr>
            <w:tcW w:w="1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Treasury Stock</w:t>
            </w:r>
          </w:p>
        </w:tc>
        <w:tc>
          <w:tcPr>
            <w:tcW w:w="780" w:type="dxa"/>
            <w:vAlign w:val="bottom"/>
          </w:tcPr>
          <w:p>
            <w:pPr>
              <w:spacing w:after="0"/>
              <w:rPr>
                <w:sz w:val="24"/>
                <w:szCs w:val="24"/>
                <w:color w:val="auto"/>
              </w:rPr>
            </w:pPr>
          </w:p>
        </w:tc>
      </w:tr>
      <w:tr>
        <w:trPr>
          <w:trHeight w:val="169"/>
        </w:trPr>
        <w:tc>
          <w:tcPr>
            <w:tcW w:w="3400" w:type="dxa"/>
            <w:vAlign w:val="bottom"/>
          </w:tcPr>
          <w:p>
            <w:pPr>
              <w:spacing w:after="0"/>
              <w:rPr>
                <w:sz w:val="14"/>
                <w:szCs w:val="1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800" w:type="dxa"/>
            <w:vAlign w:val="bottom"/>
          </w:tcPr>
          <w:p>
            <w:pPr>
              <w:jc w:val="right"/>
              <w:ind w:right="81"/>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20" w:type="dxa"/>
            <w:vAlign w:val="bottom"/>
          </w:tcPr>
          <w:p>
            <w:pPr>
              <w:jc w:val="right"/>
              <w:ind w:right="81"/>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140"/>
              <w:spacing w:after="0"/>
              <w:rPr>
                <w:sz w:val="20"/>
                <w:szCs w:val="20"/>
                <w:color w:val="auto"/>
              </w:rPr>
            </w:pPr>
            <w:r>
              <w:rPr>
                <w:rFonts w:ascii="Arial" w:cs="Arial" w:eastAsia="Arial" w:hAnsi="Arial"/>
                <w:sz w:val="14"/>
                <w:szCs w:val="14"/>
                <w:b w:val="1"/>
                <w:bCs w:val="1"/>
                <w:color w:val="auto"/>
              </w:rPr>
              <w:t>Total</w:t>
            </w:r>
          </w:p>
        </w:tc>
      </w:tr>
      <w:tr>
        <w:trPr>
          <w:trHeight w:val="183"/>
        </w:trPr>
        <w:tc>
          <w:tcPr>
            <w:tcW w:w="3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Balances — January 29, 2022</w:t>
            </w:r>
          </w:p>
        </w:tc>
        <w:tc>
          <w:tcPr>
            <w:tcW w:w="9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16,090,365</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w:t>
            </w: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$ 101,037</w:t>
            </w:r>
          </w:p>
        </w:tc>
        <w:tc>
          <w:tcPr>
            <w:tcW w:w="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8"/>
              </w:rPr>
              <w:t>$ 272,158</w:t>
            </w:r>
          </w:p>
        </w:tc>
        <w:tc>
          <w:tcPr>
            <w:tcW w:w="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7,473,155</w:t>
            </w:r>
          </w:p>
        </w:tc>
        <w:tc>
          <w:tcPr>
            <w:tcW w:w="166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 (257,211)$ 116,143</w:t>
            </w: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Vesting of nonvested restricted stock units</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Issuance of nonvested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109,157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79"/>
        </w:trPr>
        <w:tc>
          <w:tcPr>
            <w:tcW w:w="3400" w:type="dxa"/>
            <w:vAlign w:val="bottom"/>
          </w:tcPr>
          <w:p>
            <w:pPr>
              <w:spacing w:after="0" w:line="179" w:lineRule="exact"/>
              <w:rPr>
                <w:sz w:val="20"/>
                <w:szCs w:val="20"/>
                <w:color w:val="auto"/>
              </w:rPr>
            </w:pPr>
            <w:r>
              <w:rPr>
                <w:rFonts w:ascii="Arial" w:cs="Arial" w:eastAsia="Arial" w:hAnsi="Arial"/>
                <w:sz w:val="16"/>
                <w:szCs w:val="16"/>
                <w:color w:val="auto"/>
              </w:rPr>
              <w:t>Issuance of common stock under incentive</w:t>
            </w: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9"/>
        </w:trPr>
        <w:tc>
          <w:tcPr>
            <w:tcW w:w="3400" w:type="dxa"/>
            <w:vAlign w:val="bottom"/>
          </w:tcPr>
          <w:p>
            <w:pPr>
              <w:spacing w:after="0"/>
              <w:rPr>
                <w:sz w:val="20"/>
                <w:szCs w:val="20"/>
                <w:color w:val="auto"/>
              </w:rPr>
            </w:pPr>
            <w:r>
              <w:rPr>
                <w:rFonts w:ascii="Arial" w:cs="Arial" w:eastAsia="Arial" w:hAnsi="Arial"/>
                <w:sz w:val="16"/>
                <w:szCs w:val="16"/>
                <w:color w:val="auto"/>
              </w:rPr>
              <w:t>plan, net of shares withheld for taxes</w:t>
            </w:r>
          </w:p>
        </w:tc>
        <w:tc>
          <w:tcPr>
            <w:tcW w:w="940" w:type="dxa"/>
            <w:vAlign w:val="bottom"/>
          </w:tcPr>
          <w:p>
            <w:pPr>
              <w:jc w:val="right"/>
              <w:spacing w:after="0"/>
              <w:rPr>
                <w:sz w:val="20"/>
                <w:szCs w:val="20"/>
                <w:color w:val="auto"/>
              </w:rPr>
            </w:pPr>
            <w:r>
              <w:rPr>
                <w:rFonts w:ascii="Arial" w:cs="Arial" w:eastAsia="Arial" w:hAnsi="Arial"/>
                <w:sz w:val="16"/>
                <w:szCs w:val="16"/>
                <w:color w:val="auto"/>
              </w:rPr>
              <w:t>15,977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Forfeiture of nonvested shares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(15,761)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2,277</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2,277</w:t>
            </w: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share settlement of nonvested shares</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(40,345)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w:t>
            </w:r>
          </w:p>
        </w:tc>
      </w:tr>
      <w:tr>
        <w:trPr>
          <w:trHeight w:val="189"/>
        </w:trPr>
        <w:tc>
          <w:tcPr>
            <w:tcW w:w="340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170,436</w:t>
            </w:r>
          </w:p>
        </w:tc>
        <w:tc>
          <w:tcPr>
            <w:tcW w:w="880" w:type="dxa"/>
            <w:vAlign w:val="bottom"/>
          </w:tcPr>
          <w:p>
            <w:pPr>
              <w:jc w:val="right"/>
              <w:spacing w:after="0"/>
              <w:rPr>
                <w:sz w:val="20"/>
                <w:szCs w:val="20"/>
                <w:color w:val="auto"/>
              </w:rPr>
            </w:pPr>
            <w:r>
              <w:rPr>
                <w:rFonts w:ascii="Arial" w:cs="Arial" w:eastAsia="Arial" w:hAnsi="Arial"/>
                <w:sz w:val="16"/>
                <w:szCs w:val="16"/>
                <w:color w:val="auto"/>
              </w:rPr>
              <w:t>(5,317)</w:t>
            </w:r>
          </w:p>
        </w:tc>
        <w:tc>
          <w:tcPr>
            <w:tcW w:w="780" w:type="dxa"/>
            <w:vAlign w:val="bottom"/>
          </w:tcPr>
          <w:p>
            <w:pPr>
              <w:jc w:val="right"/>
              <w:spacing w:after="0"/>
              <w:rPr>
                <w:sz w:val="20"/>
                <w:szCs w:val="20"/>
                <w:color w:val="auto"/>
              </w:rPr>
            </w:pPr>
            <w:r>
              <w:rPr>
                <w:rFonts w:ascii="Arial" w:cs="Arial" w:eastAsia="Arial" w:hAnsi="Arial"/>
                <w:sz w:val="16"/>
                <w:szCs w:val="16"/>
                <w:color w:val="auto"/>
              </w:rPr>
              <w:t>(5,317)</w:t>
            </w:r>
          </w:p>
        </w:tc>
      </w:tr>
      <w:tr>
        <w:trPr>
          <w:trHeight w:val="189"/>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30,203</w:t>
            </w: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30,203</w:t>
            </w:r>
          </w:p>
        </w:tc>
      </w:tr>
      <w:tr>
        <w:trPr>
          <w:trHeight w:val="183"/>
        </w:trPr>
        <w:tc>
          <w:tcPr>
            <w:tcW w:w="3400" w:type="dxa"/>
            <w:vAlign w:val="bottom"/>
          </w:tcPr>
          <w:p>
            <w:pPr>
              <w:spacing w:after="0" w:line="183" w:lineRule="exact"/>
              <w:rPr>
                <w:sz w:val="20"/>
                <w:szCs w:val="20"/>
                <w:color w:val="auto"/>
              </w:rPr>
            </w:pPr>
            <w:r>
              <w:rPr>
                <w:rFonts w:ascii="Arial" w:cs="Arial" w:eastAsia="Arial" w:hAnsi="Arial"/>
                <w:sz w:val="16"/>
                <w:szCs w:val="16"/>
                <w:color w:val="auto"/>
              </w:rPr>
              <w:t>Balances — April 30, 2022</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16,159,393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w:t>
            </w:r>
          </w:p>
        </w:tc>
        <w:tc>
          <w:tcPr>
            <w:tcW w:w="20" w:type="dxa"/>
            <w:vAlign w:val="bottom"/>
            <w:tcBorders>
              <w:top w:val="single" w:sz="8" w:color="auto"/>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$ 101,187</w:t>
            </w:r>
          </w:p>
        </w:tc>
        <w:tc>
          <w:tcPr>
            <w:tcW w:w="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8"/>
              </w:rPr>
              <w:t>$ 302,361</w:t>
            </w:r>
          </w:p>
        </w:tc>
        <w:tc>
          <w:tcPr>
            <w:tcW w:w="6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7,643,591</w:t>
            </w:r>
          </w:p>
        </w:tc>
        <w:tc>
          <w:tcPr>
            <w:tcW w:w="1660" w:type="dxa"/>
            <w:vAlign w:val="bottom"/>
            <w:tcBorders>
              <w:top w:val="single" w:sz="8" w:color="auto"/>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u w:val="single" w:color="auto"/>
                <w:color w:val="auto"/>
              </w:rPr>
              <w:t>(262,528)</w:t>
            </w:r>
            <w:r>
              <w:rPr>
                <w:rFonts w:ascii="Arial" w:cs="Arial" w:eastAsia="Arial" w:hAnsi="Arial"/>
                <w:sz w:val="16"/>
                <w:szCs w:val="16"/>
                <w:color w:val="auto"/>
              </w:rPr>
              <w:t>$ 141,179</w:t>
            </w:r>
          </w:p>
        </w:tc>
      </w:tr>
      <w:tr>
        <w:trPr>
          <w:trHeight w:val="20"/>
        </w:trPr>
        <w:tc>
          <w:tcPr>
            <w:tcW w:w="3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Citi Trends, Inc.</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Notes to the Condensed Consolidated Financial Statements (unaudited)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April 29, 2023</w:t>
      </w:r>
    </w:p>
    <w:p>
      <w:pPr>
        <w:spacing w:after="0" w:line="223" w:lineRule="exact"/>
        <w:rPr>
          <w:sz w:val="20"/>
          <w:szCs w:val="20"/>
          <w:color w:val="auto"/>
        </w:rPr>
      </w:pPr>
    </w:p>
    <w:p>
      <w:pPr>
        <w:ind w:left="180" w:hanging="175"/>
        <w:spacing w:after="0"/>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Basis of Presentation</w:t>
      </w:r>
    </w:p>
    <w:p>
      <w:pPr>
        <w:spacing w:after="0" w:line="3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Citi Trends, Inc. and its subsidiary (the “Company”) is a leading specialty value retailer of apparel, accessories and home trends for way less spend primarily for African American and multicultural families. As of April 29, 2023, the Company operated 608 stores in urban, suburban and rural markets in 33 states.</w:t>
      </w:r>
    </w:p>
    <w:p>
      <w:pPr>
        <w:spacing w:after="0" w:line="19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condensed consolidated financial statements are prepared in accordance with U.S. generally accepted accounting principles (“U.S. GAAP”) for interim reporting and are unaudited. In the opinion of management, the condensed consolidated financial statements reflect all adjustments, which are normal and recurring in nature, necessary for fair financial statement presentation. The condensed consolidated balance sheet as of January 28, 2023 is derived from the audited financial statements in the Company’s Annual Report on Form 10-K for the fiscal year ended January 28, 2023 (the “2022 Form 10-K”). These condensed consolidated financial statements should be read in conjunction with the audited consolidated financial statements and notes thereto included in the 2022 Form 10-K. Operating results for the first quarter of 2023 are not necessarily indicative of the results that may be expected for the fiscal year as a result of the seasonality of the business and the current economic uncertainty.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Fiscal Year</w:t>
      </w:r>
    </w:p>
    <w:p>
      <w:pPr>
        <w:spacing w:after="0" w:line="3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following contains references to fiscal years 2023 and 2022, which represent fiscal years ending or ended on February 3, 2024 and January 28, 2023, respectively. Fiscal 2023 has a 53-week accounting period, and fiscal 2022 had a 52-week accounting period.</w:t>
      </w:r>
    </w:p>
    <w:p>
      <w:pPr>
        <w:spacing w:after="0" w:line="196" w:lineRule="exact"/>
        <w:rPr>
          <w:sz w:val="20"/>
          <w:szCs w:val="20"/>
          <w:color w:val="auto"/>
        </w:rPr>
      </w:pPr>
    </w:p>
    <w:p>
      <w:pPr>
        <w:ind w:left="180" w:hanging="175"/>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 and Cash Equivalents/Concentration of Credit Risk</w:t>
      </w:r>
    </w:p>
    <w:p>
      <w:pPr>
        <w:spacing w:after="0" w:line="289"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For purposes of the condensed consolidated balance sheets and condensed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259" w:lineRule="exact"/>
        <w:rPr>
          <w:sz w:val="20"/>
          <w:szCs w:val="20"/>
          <w:color w:val="auto"/>
        </w:rPr>
      </w:pPr>
    </w:p>
    <w:p>
      <w:pPr>
        <w:ind w:left="180" w:hanging="175"/>
        <w:spacing w:after="0"/>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235"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20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dilutive effect of stock-based compensation arrangements is accounted for using the treasury stock method. The Company includes as assumed proceeds the amount of compensation cost attributed to future services and not yet recognized. For the first quarter of 2023 and 2022, there were 102,000 and 222,000 shares of nonvested restricted stock, respectively, excluded from the calculation of diluted earnings per share because of antidilution.</w:t>
      </w:r>
    </w:p>
    <w:p>
      <w:pPr>
        <w:spacing w:after="0" w:line="200"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following table provides a reconciliation of the weighted average number of common shares outstanding used to calculate basic earnings per share to the number of common shares and common stock equivalents outstanding used in calculating diluted earnings per share: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00" w:type="dxa"/>
            <w:vAlign w:val="bottom"/>
          </w:tcPr>
          <w:p>
            <w:pPr>
              <w:spacing w:after="0"/>
              <w:rPr>
                <w:sz w:val="17"/>
                <w:szCs w:val="17"/>
                <w:color w:val="auto"/>
              </w:rPr>
            </w:pPr>
          </w:p>
        </w:tc>
        <w:tc>
          <w:tcPr>
            <w:tcW w:w="2420" w:type="dxa"/>
            <w:vAlign w:val="bottom"/>
            <w:tcBorders>
              <w:bottom w:val="single" w:sz="8" w:color="auto"/>
            </w:tcBorders>
            <w:gridSpan w:val="3"/>
          </w:tcPr>
          <w:p>
            <w:pPr>
              <w:jc w:val="right"/>
              <w:ind w:right="362"/>
              <w:spacing w:after="0"/>
              <w:rPr>
                <w:sz w:val="20"/>
                <w:szCs w:val="20"/>
                <w:color w:val="auto"/>
              </w:rPr>
            </w:pPr>
            <w:r>
              <w:rPr>
                <w:rFonts w:ascii="Arial" w:cs="Arial" w:eastAsia="Arial" w:hAnsi="Arial"/>
                <w:sz w:val="14"/>
                <w:szCs w:val="14"/>
                <w:b w:val="1"/>
                <w:bCs w:val="1"/>
                <w:color w:val="auto"/>
              </w:rPr>
              <w:t>Thirteen Weeks Ended</w:t>
            </w:r>
          </w:p>
        </w:tc>
      </w:tr>
      <w:tr>
        <w:trPr>
          <w:trHeight w:val="183"/>
        </w:trPr>
        <w:tc>
          <w:tcPr>
            <w:tcW w:w="6700" w:type="dxa"/>
            <w:vAlign w:val="bottom"/>
          </w:tcPr>
          <w:p>
            <w:pPr>
              <w:spacing w:after="0"/>
              <w:rPr>
                <w:sz w:val="15"/>
                <w:szCs w:val="15"/>
                <w:color w:val="auto"/>
              </w:rPr>
            </w:pP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April 29, 2023</w:t>
            </w:r>
          </w:p>
        </w:tc>
        <w:tc>
          <w:tcPr>
            <w:tcW w:w="200" w:type="dxa"/>
            <w:vAlign w:val="bottom"/>
          </w:tcPr>
          <w:p>
            <w:pPr>
              <w:spacing w:after="0"/>
              <w:rPr>
                <w:sz w:val="15"/>
                <w:szCs w:val="15"/>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April 30, 2022</w:t>
            </w: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common shares outstanding</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8,182,231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8,407,284</w:t>
            </w:r>
          </w:p>
        </w:tc>
      </w:tr>
      <w:tr>
        <w:trPr>
          <w:trHeight w:val="203"/>
        </w:trPr>
        <w:tc>
          <w:tcPr>
            <w:tcW w:w="6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Incremental shares from assumed vesting of nonvested restricted stock</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number of common shares and common stock equivalents outstanding</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8,182,231</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8,407,284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ind w:left="180" w:hanging="175"/>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Revolving Credit Facility</w:t>
      </w:r>
    </w:p>
    <w:p>
      <w:pPr>
        <w:spacing w:after="0" w:line="23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October 2011, the Company entered into a five-year, $50 million credit facility with Bank of America. The facility was amended in August 2015 and May 2020 to extend the maturity dates. The facility was further amended in April 2021 to modify terms and extend the maturity date to April 15, 2026. In May 2023, the facility was amended to replace the London Interbank Offered Rate (“LIBOR”) with the Secured Overnight Financing Rate (“SOFR”). The amended facility provides a $75 million credit commitment and a $25 million uncommitted “accordion” feature that under certain circumstances could allow the Company to increase the size of the facility to $100 million. The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0.20% and permits the payment of cash dividends subject to certain limitations. Borrowings under the credit facility bear interest (a) for SOFR Loans, at a rate equal to the SOFR Rate plus a SOFR adjustment equal to 0.10% plus either 1.25%,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1.50% or 1.75%, or (b) for Base Rate Loans, at a rate equal to the highest of (i) the prime rate, (ii) the Federal Funds Rate plus</w:t>
      </w:r>
    </w:p>
    <w:p>
      <w:pPr>
        <w:spacing w:after="0" w:line="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0.5% or (iii) the Eurodollar Rate plus 1.0%, plus, in each case either 0.25%, 0.50% or 0.75%, based in any such case on the average daily availability for borrowings under the facility.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As of April 29, 2023, the Company had no borrowings under the credit facility and $0.6 million of letters of credit outstanding.</w:t>
      </w:r>
    </w:p>
    <w:p>
      <w:pPr>
        <w:spacing w:after="0" w:line="235" w:lineRule="exact"/>
        <w:rPr>
          <w:sz w:val="20"/>
          <w:szCs w:val="20"/>
          <w:color w:val="auto"/>
        </w:rPr>
      </w:pPr>
    </w:p>
    <w:p>
      <w:pPr>
        <w:ind w:left="180" w:hanging="175"/>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Income Taxes</w:t>
      </w:r>
    </w:p>
    <w:p>
      <w:pPr>
        <w:spacing w:after="0" w:line="235"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In assessing the realizability of deferred tax assets, management considers whether it is more likely than not that some portion or all of the deferred tax assets will not be realized. If there is a change in tax rates, the Company would recognize the impact of such change in income in the period that includes the enactment date.</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Company has historically used the annual effective tax rate method to calculate income taxes. For the first quarter of 2023, the Company used the discrete effective tax rate method to determine its tax expense based upon interim period results. The Company determined that since small changes in estimated ordinary income would result in significant changes in the estimated annual effective tax rate, the historical method would not provide a reliable estimate for the first quarter of 2023.</w:t>
      </w:r>
    </w:p>
    <w:p>
      <w:pPr>
        <w:spacing w:after="0" w:line="173" w:lineRule="exact"/>
        <w:rPr>
          <w:sz w:val="20"/>
          <w:szCs w:val="20"/>
          <w:color w:val="auto"/>
        </w:rPr>
      </w:pPr>
    </w:p>
    <w:p>
      <w:pPr>
        <w:ind w:left="180" w:hanging="175"/>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Commitments and Contingencies</w:t>
      </w:r>
    </w:p>
    <w:p>
      <w:pPr>
        <w:spacing w:after="0" w:line="23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landlords, employees or former employees. Once it becomes probable that the Company will incur costs in connection with a legal proceeding and such costs can be reasonably estimated, the Company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204" w:lineRule="exact"/>
        <w:rPr>
          <w:sz w:val="20"/>
          <w:szCs w:val="20"/>
          <w:color w:val="auto"/>
        </w:rPr>
      </w:pPr>
    </w:p>
    <w:p>
      <w:pPr>
        <w:ind w:left="180" w:hanging="175"/>
        <w:spacing w:after="0"/>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Stock Repurchases</w:t>
      </w:r>
    </w:p>
    <w:p>
      <w:pPr>
        <w:spacing w:after="0" w:line="235" w:lineRule="exact"/>
        <w:rPr>
          <w:sz w:val="20"/>
          <w:szCs w:val="20"/>
          <w:color w:val="auto"/>
        </w:rPr>
      </w:pPr>
    </w:p>
    <w:p>
      <w:pPr>
        <w:ind w:right="520"/>
        <w:spacing w:after="0" w:line="261" w:lineRule="auto"/>
        <w:rPr>
          <w:sz w:val="20"/>
          <w:szCs w:val="20"/>
          <w:color w:val="auto"/>
        </w:rPr>
      </w:pPr>
      <w:r>
        <w:rPr>
          <w:rFonts w:ascii="Arial" w:cs="Arial" w:eastAsia="Arial" w:hAnsi="Arial"/>
          <w:sz w:val="16"/>
          <w:szCs w:val="16"/>
          <w:color w:val="auto"/>
        </w:rPr>
        <w:t>The Company periodically repurchases shares of its common stock under board-authorized repurchase programs. Such repurchases may be made in the open market, through block trades or through other negotiated transactions. Share repurchases were as follows (in thousands, except per share data):</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180" w:type="dxa"/>
            <w:vAlign w:val="bottom"/>
          </w:tcPr>
          <w:p>
            <w:pPr>
              <w:spacing w:after="0"/>
              <w:rPr>
                <w:sz w:val="15"/>
                <w:szCs w:val="15"/>
                <w:color w:val="auto"/>
              </w:rPr>
            </w:pPr>
          </w:p>
        </w:tc>
        <w:tc>
          <w:tcPr>
            <w:tcW w:w="2940" w:type="dxa"/>
            <w:vAlign w:val="bottom"/>
            <w:tcBorders>
              <w:bottom w:val="single" w:sz="8" w:color="auto"/>
            </w:tcBorders>
            <w:gridSpan w:val="5"/>
          </w:tcPr>
          <w:p>
            <w:pPr>
              <w:jc w:val="right"/>
              <w:ind w:right="621"/>
              <w:spacing w:after="0"/>
              <w:rPr>
                <w:sz w:val="20"/>
                <w:szCs w:val="20"/>
                <w:color w:val="auto"/>
              </w:rPr>
            </w:pPr>
            <w:r>
              <w:rPr>
                <w:rFonts w:ascii="Arial" w:cs="Arial" w:eastAsia="Arial" w:hAnsi="Arial"/>
                <w:sz w:val="14"/>
                <w:szCs w:val="14"/>
                <w:b w:val="1"/>
                <w:bCs w:val="1"/>
                <w:color w:val="auto"/>
              </w:rPr>
              <w:t>Thirteen Weeks Ended</w:t>
            </w:r>
          </w:p>
        </w:tc>
      </w:tr>
      <w:tr>
        <w:trPr>
          <w:trHeight w:val="169"/>
        </w:trPr>
        <w:tc>
          <w:tcPr>
            <w:tcW w:w="618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29, 2023</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April 30, 2022</w:t>
            </w:r>
          </w:p>
        </w:tc>
      </w:tr>
      <w:tr>
        <w:trPr>
          <w:trHeight w:val="183"/>
        </w:trPr>
        <w:tc>
          <w:tcPr>
            <w:tcW w:w="6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number of shares purchased</w:t>
            </w: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170</w:t>
            </w:r>
          </w:p>
        </w:tc>
      </w:tr>
      <w:tr>
        <w:trPr>
          <w:trHeight w:val="189"/>
        </w:trPr>
        <w:tc>
          <w:tcPr>
            <w:tcW w:w="6180" w:type="dxa"/>
            <w:vAlign w:val="bottom"/>
          </w:tcPr>
          <w:p>
            <w:pPr>
              <w:spacing w:after="0"/>
              <w:rPr>
                <w:sz w:val="20"/>
                <w:szCs w:val="20"/>
                <w:color w:val="auto"/>
              </w:rPr>
            </w:pPr>
            <w:r>
              <w:rPr>
                <w:rFonts w:ascii="Arial" w:cs="Arial" w:eastAsia="Arial" w:hAnsi="Arial"/>
                <w:sz w:val="16"/>
                <w:szCs w:val="16"/>
                <w:color w:val="auto"/>
              </w:rPr>
              <w:t>Average price paid per share (including commissions)</w:t>
            </w:r>
          </w:p>
        </w:tc>
        <w:tc>
          <w:tcPr>
            <w:tcW w:w="1160" w:type="dxa"/>
            <w:vAlign w:val="bottom"/>
          </w:tcPr>
          <w:p>
            <w:pPr>
              <w:jc w:val="right"/>
              <w:ind w:right="1006"/>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31.20</w:t>
            </w:r>
          </w:p>
        </w:tc>
      </w:tr>
      <w:tr>
        <w:trPr>
          <w:trHeight w:val="189"/>
        </w:trPr>
        <w:tc>
          <w:tcPr>
            <w:tcW w:w="6180" w:type="dxa"/>
            <w:vAlign w:val="bottom"/>
            <w:shd w:val="clear" w:color="auto" w:fill="CCEEFF"/>
          </w:tcPr>
          <w:p>
            <w:pPr>
              <w:spacing w:after="0"/>
              <w:rPr>
                <w:sz w:val="20"/>
                <w:szCs w:val="20"/>
                <w:color w:val="auto"/>
              </w:rPr>
            </w:pPr>
            <w:r>
              <w:rPr>
                <w:rFonts w:ascii="Arial" w:cs="Arial" w:eastAsia="Arial" w:hAnsi="Arial"/>
                <w:sz w:val="16"/>
                <w:szCs w:val="16"/>
                <w:color w:val="auto"/>
              </w:rPr>
              <w:t>Total investment</w:t>
            </w:r>
          </w:p>
        </w:tc>
        <w:tc>
          <w:tcPr>
            <w:tcW w:w="1160" w:type="dxa"/>
            <w:vAlign w:val="bottom"/>
            <w:shd w:val="clear" w:color="auto" w:fill="CCEEFF"/>
          </w:tcPr>
          <w:p>
            <w:pPr>
              <w:jc w:val="right"/>
              <w:ind w:right="100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5,317</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At April 29, 2023, $50.0 million remained available under the Company’s stock repurchase authorization.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left="180" w:hanging="175"/>
        <w:spacing w:after="0"/>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Revenue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3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Company’s primary source of revenue is derived from the sale of clothing and accessories to its customers with the Company’s performance obligations satisfied immediately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Returns</w:t>
      </w:r>
    </w:p>
    <w:p>
      <w:pPr>
        <w:spacing w:after="0" w:line="27"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The Company allows customers to return merchandise for up to 30 days after the date of sale. Expected refunds to customers are recorded based on estimated margin using historical return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Disaggregation of Revenue</w:t>
      </w:r>
    </w:p>
    <w:p>
      <w:pPr>
        <w:spacing w:after="0" w:line="36"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Company’s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w:t>
      </w:r>
    </w:p>
    <w:p>
      <w:pPr>
        <w:spacing w:after="0" w:line="187"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In the following table, the Company’s revenue from contracts with customers is disaggregated by “CITI” or major merchandise category. The percentage of net sales for each CITI with the merchandise assortment was approximately:</w:t>
      </w: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175"/>
        </w:trPr>
        <w:tc>
          <w:tcPr>
            <w:tcW w:w="5080" w:type="dxa"/>
            <w:vAlign w:val="bottom"/>
          </w:tcPr>
          <w:p>
            <w:pPr>
              <w:spacing w:after="0"/>
              <w:rPr>
                <w:sz w:val="15"/>
                <w:szCs w:val="15"/>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240" w:type="dxa"/>
            <w:vAlign w:val="bottom"/>
            <w:tcBorders>
              <w:bottom w:val="single" w:sz="8" w:color="auto"/>
            </w:tcBorders>
          </w:tcPr>
          <w:p>
            <w:pPr>
              <w:spacing w:after="0"/>
              <w:rPr>
                <w:sz w:val="15"/>
                <w:szCs w:val="15"/>
                <w:color w:val="auto"/>
              </w:rPr>
            </w:pPr>
          </w:p>
        </w:tc>
      </w:tr>
      <w:tr>
        <w:trPr>
          <w:trHeight w:val="142"/>
        </w:trPr>
        <w:tc>
          <w:tcPr>
            <w:tcW w:w="5080" w:type="dxa"/>
            <w:vAlign w:val="bottom"/>
          </w:tcPr>
          <w:p>
            <w:pPr>
              <w:spacing w:after="0"/>
              <w:rPr>
                <w:sz w:val="12"/>
                <w:szCs w:val="12"/>
                <w:color w:val="auto"/>
              </w:rPr>
            </w:pPr>
          </w:p>
        </w:tc>
        <w:tc>
          <w:tcPr>
            <w:tcW w:w="920" w:type="dxa"/>
            <w:vAlign w:val="bottom"/>
            <w:gridSpan w:val="2"/>
          </w:tcPr>
          <w:p>
            <w:pPr>
              <w:jc w:val="right"/>
              <w:ind w:right="99"/>
              <w:spacing w:after="0" w:line="143" w:lineRule="exact"/>
              <w:rPr>
                <w:sz w:val="20"/>
                <w:szCs w:val="20"/>
                <w:color w:val="auto"/>
              </w:rPr>
            </w:pPr>
            <w:r>
              <w:rPr>
                <w:rFonts w:ascii="Arial" w:cs="Arial" w:eastAsia="Arial" w:hAnsi="Arial"/>
                <w:sz w:val="14"/>
                <w:szCs w:val="14"/>
                <w:b w:val="1"/>
                <w:bCs w:val="1"/>
                <w:color w:val="auto"/>
              </w:rPr>
              <w:t>April 29,</w:t>
            </w:r>
          </w:p>
        </w:tc>
        <w:tc>
          <w:tcPr>
            <w:tcW w:w="240" w:type="dxa"/>
            <w:vAlign w:val="bottom"/>
          </w:tcPr>
          <w:p>
            <w:pPr>
              <w:spacing w:after="0"/>
              <w:rPr>
                <w:sz w:val="12"/>
                <w:szCs w:val="12"/>
                <w:color w:val="auto"/>
              </w:rPr>
            </w:pPr>
          </w:p>
        </w:tc>
        <w:tc>
          <w:tcPr>
            <w:tcW w:w="920" w:type="dxa"/>
            <w:vAlign w:val="bottom"/>
            <w:gridSpan w:val="2"/>
          </w:tcPr>
          <w:p>
            <w:pPr>
              <w:jc w:val="right"/>
              <w:ind w:right="99"/>
              <w:spacing w:after="0" w:line="143" w:lineRule="exact"/>
              <w:rPr>
                <w:sz w:val="20"/>
                <w:szCs w:val="20"/>
                <w:color w:val="auto"/>
              </w:rPr>
            </w:pPr>
            <w:r>
              <w:rPr>
                <w:rFonts w:ascii="Arial" w:cs="Arial" w:eastAsia="Arial" w:hAnsi="Arial"/>
                <w:sz w:val="14"/>
                <w:szCs w:val="14"/>
                <w:b w:val="1"/>
                <w:bCs w:val="1"/>
                <w:color w:val="auto"/>
              </w:rPr>
              <w:t>April 30,</w:t>
            </w:r>
          </w:p>
        </w:tc>
      </w:tr>
      <w:tr>
        <w:trPr>
          <w:trHeight w:val="175"/>
        </w:trPr>
        <w:tc>
          <w:tcPr>
            <w:tcW w:w="5080" w:type="dxa"/>
            <w:vAlign w:val="bottom"/>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r>
      <w:tr>
        <w:trPr>
          <w:trHeight w:val="183"/>
        </w:trPr>
        <w:tc>
          <w:tcPr>
            <w:tcW w:w="5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Ladies</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29</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
              <w:spacing w:after="0" w:line="183" w:lineRule="exact"/>
              <w:rPr>
                <w:sz w:val="20"/>
                <w:szCs w:val="20"/>
                <w:color w:val="auto"/>
              </w:rPr>
            </w:pPr>
            <w:r>
              <w:rPr>
                <w:rFonts w:ascii="Arial" w:cs="Arial" w:eastAsia="Arial" w:hAnsi="Arial"/>
                <w:sz w:val="16"/>
                <w:szCs w:val="16"/>
                <w:color w:val="auto"/>
              </w:rPr>
              <w:t>28</w:t>
            </w:r>
          </w:p>
        </w:tc>
        <w:tc>
          <w:tcPr>
            <w:tcW w:w="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7"/>
                <w:szCs w:val="17"/>
                <w:color w:val="auto"/>
              </w:rPr>
              <w:t>Kids</w:t>
            </w: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
              <w:spacing w:after="0"/>
              <w:rPr>
                <w:sz w:val="20"/>
                <w:szCs w:val="20"/>
                <w:color w:val="auto"/>
              </w:rPr>
            </w:pPr>
            <w:r>
              <w:rPr>
                <w:rFonts w:ascii="Arial" w:cs="Arial" w:eastAsia="Arial" w:hAnsi="Arial"/>
                <w:sz w:val="16"/>
                <w:szCs w:val="16"/>
                <w:color w:val="auto"/>
              </w:rPr>
              <w:t>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Accessories &amp; Beauty</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7"/>
                <w:szCs w:val="17"/>
                <w:color w:val="auto"/>
              </w:rPr>
              <w:t>Mens</w:t>
            </w:r>
          </w:p>
        </w:tc>
        <w:tc>
          <w:tcPr>
            <w:tcW w:w="66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5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Home &amp; Lifestyle</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5080" w:type="dxa"/>
            <w:vAlign w:val="bottom"/>
          </w:tcPr>
          <w:p>
            <w:pPr>
              <w:spacing w:after="0"/>
              <w:rPr>
                <w:sz w:val="20"/>
                <w:szCs w:val="20"/>
                <w:color w:val="auto"/>
              </w:rPr>
            </w:pPr>
            <w:r>
              <w:rPr>
                <w:rFonts w:ascii="Arial" w:cs="Arial" w:eastAsia="Arial" w:hAnsi="Arial"/>
                <w:sz w:val="17"/>
                <w:szCs w:val="17"/>
                <w:color w:val="auto"/>
              </w:rPr>
              <w:t>Footwear</w:t>
            </w: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
              <w:spacing w:after="0"/>
              <w:rPr>
                <w:sz w:val="20"/>
                <w:szCs w:val="20"/>
                <w:color w:val="auto"/>
              </w:rPr>
            </w:pPr>
            <w:r>
              <w:rPr>
                <w:rFonts w:ascii="Arial" w:cs="Arial" w:eastAsia="Arial" w:hAnsi="Arial"/>
                <w:sz w:val="16"/>
                <w:szCs w:val="16"/>
                <w:color w:val="auto"/>
              </w:rPr>
              <w:t>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19" w:lineRule="exact"/>
        <w:rPr>
          <w:sz w:val="20"/>
          <w:szCs w:val="20"/>
          <w:color w:val="auto"/>
        </w:rPr>
      </w:pPr>
    </w:p>
    <w:p>
      <w:pPr>
        <w:ind w:left="180" w:hanging="175"/>
        <w:spacing w:after="0"/>
        <w:tabs>
          <w:tab w:leader="none" w:pos="18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Leases</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Company leases its retail store locations, distribution centers, and certain office space and equipment. Leases for store locations are typically for a term of five years with options to extend for one or more five-year periods. In April 2022, the Company completed a sale-leaseback of its distribution center in Darlington, South Carolina that resulted in a gain of $34.9 million and a 20-year lease term with the option to extend for six additional periods of five years each. In September 2022, the Company completed a sale-leaseback of its distribution center in Roland, Oklahoma that resulted in a gain of $29.2 million and a 15-year lease term with the option to extend for six additional periods of five years each.</w:t>
      </w:r>
    </w:p>
    <w:p>
      <w:pPr>
        <w:spacing w:after="0" w:line="20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Company analyzes all leases at inception to determine if a right-of-use asset and lease liability should be recognized. Leases with an initial term of 12 months or less and leases with mutual termination clauses are not included on the condensed consolidated balance sheets. The lease liability is measured at the present value of future lease payments as of the lease commencement date.</w:t>
      </w:r>
    </w:p>
    <w:p>
      <w:pPr>
        <w:spacing w:after="0" w:line="20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Total lease cost is comprised of operating lease costs, short-term lease costs, and variable lease costs, which include rent paid as a percentage of sales, common area maintenance, real estate taxes and insurance for the Company’s real estate leases. Lease costs consisted of the following (in thousands):</w:t>
      </w:r>
    </w:p>
    <w:tbl>
      <w:tblPr>
        <w:tblLayout w:type="fixed"/>
        <w:tblInd w:w="920" w:type="dxa"/>
        <w:tblCellMar>
          <w:top w:w="0" w:type="dxa"/>
          <w:left w:w="0" w:type="dxa"/>
          <w:bottom w:w="0" w:type="dxa"/>
          <w:right w:w="0" w:type="dxa"/>
        </w:tblCellMar>
      </w:tblPr>
      <w:tr>
        <w:trPr>
          <w:trHeight w:val="168"/>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Thirteen Weeks Ended</w:t>
            </w:r>
          </w:p>
        </w:tc>
      </w:tr>
      <w:tr>
        <w:trPr>
          <w:trHeight w:val="155"/>
        </w:trPr>
        <w:tc>
          <w:tcPr>
            <w:tcW w:w="4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rPr>
              <w:t>April 29, 2023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1"/>
              <w:spacing w:after="0" w:line="155" w:lineRule="exact"/>
              <w:rPr>
                <w:sz w:val="20"/>
                <w:szCs w:val="20"/>
                <w:color w:val="auto"/>
              </w:rPr>
            </w:pPr>
            <w:r>
              <w:rPr>
                <w:rFonts w:ascii="Arial" w:cs="Arial" w:eastAsia="Arial" w:hAnsi="Arial"/>
                <w:sz w:val="14"/>
                <w:szCs w:val="14"/>
                <w:b w:val="1"/>
                <w:bCs w:val="1"/>
                <w:color w:val="auto"/>
              </w:rPr>
              <w:t>April 30, 2022</w:t>
            </w:r>
          </w:p>
        </w:tc>
      </w:tr>
      <w:tr>
        <w:trPr>
          <w:trHeight w:val="183"/>
        </w:trPr>
        <w:tc>
          <w:tcPr>
            <w:tcW w:w="46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15,791</w:t>
            </w:r>
          </w:p>
        </w:tc>
        <w:tc>
          <w:tcPr>
            <w:tcW w:w="32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13,861</w:t>
            </w:r>
          </w:p>
        </w:tc>
      </w:tr>
      <w:tr>
        <w:trPr>
          <w:trHeight w:val="189"/>
        </w:trPr>
        <w:tc>
          <w:tcPr>
            <w:tcW w:w="4680" w:type="dxa"/>
            <w:vAlign w:val="bottom"/>
          </w:tcPr>
          <w:p>
            <w:pPr>
              <w:spacing w:after="0"/>
              <w:rPr>
                <w:sz w:val="20"/>
                <w:szCs w:val="20"/>
                <w:color w:val="auto"/>
              </w:rPr>
            </w:pPr>
            <w:r>
              <w:rPr>
                <w:rFonts w:ascii="Arial" w:cs="Arial" w:eastAsia="Arial" w:hAnsi="Arial"/>
                <w:sz w:val="16"/>
                <w:szCs w:val="16"/>
                <w:color w:val="auto"/>
              </w:rPr>
              <w:t>Variable lease cost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2,860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2,333</w:t>
            </w:r>
          </w:p>
        </w:tc>
      </w:tr>
      <w:tr>
        <w:trPr>
          <w:trHeight w:val="189"/>
        </w:trPr>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 term lease cost</w:t>
            </w:r>
          </w:p>
        </w:tc>
        <w:tc>
          <w:tcPr>
            <w:tcW w:w="1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r>
      <w:tr>
        <w:trPr>
          <w:trHeight w:val="183"/>
        </w:trPr>
        <w:tc>
          <w:tcPr>
            <w:tcW w:w="4680" w:type="dxa"/>
            <w:vAlign w:val="bottom"/>
          </w:tcPr>
          <w:p>
            <w:pPr>
              <w:spacing w:after="0" w:line="183" w:lineRule="exact"/>
              <w:rPr>
                <w:sz w:val="20"/>
                <w:szCs w:val="20"/>
                <w:color w:val="auto"/>
              </w:rPr>
            </w:pPr>
            <w:r>
              <w:rPr>
                <w:rFonts w:ascii="Arial" w:cs="Arial" w:eastAsia="Arial" w:hAnsi="Arial"/>
                <w:sz w:val="16"/>
                <w:szCs w:val="16"/>
                <w:color w:val="auto"/>
              </w:rPr>
              <w:t>Total lease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line="183" w:lineRule="exact"/>
              <w:rPr>
                <w:sz w:val="20"/>
                <w:szCs w:val="20"/>
                <w:color w:val="auto"/>
              </w:rPr>
            </w:pPr>
            <w:r>
              <w:rPr>
                <w:rFonts w:ascii="Arial" w:cs="Arial" w:eastAsia="Arial" w:hAnsi="Arial"/>
                <w:sz w:val="16"/>
                <w:szCs w:val="16"/>
                <w:color w:val="auto"/>
              </w:rPr>
              <w:t>19,044</w:t>
            </w:r>
          </w:p>
        </w:tc>
        <w:tc>
          <w:tcPr>
            <w:tcW w:w="3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6"/>
                <w:szCs w:val="16"/>
                <w:color w:val="auto"/>
              </w:rPr>
              <w:t>16,540</w:t>
            </w:r>
          </w:p>
        </w:tc>
      </w:tr>
      <w:tr>
        <w:trPr>
          <w:trHeight w:val="20"/>
        </w:trPr>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as of April 29, 2023 are as follows (in thousands):</w:t>
      </w:r>
    </w:p>
    <w:p>
      <w:pPr>
        <w:spacing w:after="0" w:line="96" w:lineRule="exact"/>
        <w:rPr>
          <w:sz w:val="20"/>
          <w:szCs w:val="20"/>
          <w:color w:val="auto"/>
        </w:rPr>
      </w:pPr>
    </w:p>
    <w:tbl>
      <w:tblPr>
        <w:tblLayout w:type="fixed"/>
        <w:tblInd w:w="680" w:type="dxa"/>
        <w:tblCellMar>
          <w:top w:w="0" w:type="dxa"/>
          <w:left w:w="0" w:type="dxa"/>
          <w:bottom w:w="0" w:type="dxa"/>
          <w:right w:w="0" w:type="dxa"/>
        </w:tblCellMar>
      </w:tblPr>
      <w:tr>
        <w:trPr>
          <w:trHeight w:val="175"/>
        </w:trPr>
        <w:tc>
          <w:tcPr>
            <w:tcW w:w="5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Lease Costs</w:t>
            </w:r>
          </w:p>
        </w:tc>
        <w:tc>
          <w:tcPr>
            <w:tcW w:w="440" w:type="dxa"/>
            <w:vAlign w:val="bottom"/>
            <w:tcBorders>
              <w:bottom w:val="single" w:sz="8" w:color="CCEEFF"/>
            </w:tcBorders>
          </w:tcPr>
          <w:p>
            <w:pPr>
              <w:spacing w:after="0"/>
              <w:rPr>
                <w:sz w:val="15"/>
                <w:szCs w:val="15"/>
                <w:color w:val="auto"/>
              </w:rPr>
            </w:pPr>
          </w:p>
        </w:tc>
      </w:tr>
      <w:tr>
        <w:trPr>
          <w:trHeight w:val="183"/>
        </w:trPr>
        <w:tc>
          <w:tcPr>
            <w:tcW w:w="55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Remainder of 2023</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43,436</w:t>
            </w:r>
          </w:p>
        </w:tc>
        <w:tc>
          <w:tcPr>
            <w:tcW w:w="440" w:type="dxa"/>
            <w:vAlign w:val="bottom"/>
            <w:shd w:val="clear" w:color="auto" w:fill="CCEEFF"/>
          </w:tcPr>
          <w:p>
            <w:pPr>
              <w:spacing w:after="0"/>
              <w:rPr>
                <w:sz w:val="15"/>
                <w:szCs w:val="15"/>
                <w:color w:val="auto"/>
              </w:rPr>
            </w:pPr>
          </w:p>
        </w:tc>
      </w:tr>
      <w:tr>
        <w:trPr>
          <w:trHeight w:val="189"/>
        </w:trPr>
        <w:tc>
          <w:tcPr>
            <w:tcW w:w="5580" w:type="dxa"/>
            <w:vAlign w:val="bottom"/>
          </w:tcPr>
          <w:p>
            <w:pPr>
              <w:spacing w:after="0"/>
              <w:rPr>
                <w:sz w:val="20"/>
                <w:szCs w:val="20"/>
                <w:color w:val="auto"/>
              </w:rPr>
            </w:pPr>
            <w:r>
              <w:rPr>
                <w:rFonts w:ascii="Arial" w:cs="Arial" w:eastAsia="Arial" w:hAnsi="Arial"/>
                <w:sz w:val="16"/>
                <w:szCs w:val="16"/>
                <w:color w:val="auto"/>
              </w:rPr>
              <w:t>2024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58,476</w:t>
            </w:r>
          </w:p>
        </w:tc>
        <w:tc>
          <w:tcPr>
            <w:tcW w:w="440" w:type="dxa"/>
            <w:vAlign w:val="bottom"/>
          </w:tcPr>
          <w:p>
            <w:pPr>
              <w:spacing w:after="0"/>
              <w:rPr>
                <w:sz w:val="16"/>
                <w:szCs w:val="16"/>
                <w:color w:val="auto"/>
              </w:rPr>
            </w:pPr>
          </w:p>
        </w:tc>
      </w:tr>
      <w:tr>
        <w:trPr>
          <w:trHeight w:val="189"/>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48,020</w:t>
            </w:r>
          </w:p>
        </w:tc>
        <w:tc>
          <w:tcPr>
            <w:tcW w:w="440" w:type="dxa"/>
            <w:vAlign w:val="bottom"/>
            <w:shd w:val="clear" w:color="auto" w:fill="CCEEFF"/>
          </w:tcPr>
          <w:p>
            <w:pPr>
              <w:spacing w:after="0"/>
              <w:rPr>
                <w:sz w:val="16"/>
                <w:szCs w:val="16"/>
                <w:color w:val="auto"/>
              </w:rPr>
            </w:pPr>
          </w:p>
        </w:tc>
      </w:tr>
      <w:tr>
        <w:trPr>
          <w:trHeight w:val="189"/>
        </w:trPr>
        <w:tc>
          <w:tcPr>
            <w:tcW w:w="5580" w:type="dxa"/>
            <w:vAlign w:val="bottom"/>
          </w:tcPr>
          <w:p>
            <w:pPr>
              <w:spacing w:after="0"/>
              <w:rPr>
                <w:sz w:val="20"/>
                <w:szCs w:val="20"/>
                <w:color w:val="auto"/>
              </w:rPr>
            </w:pPr>
            <w:r>
              <w:rPr>
                <w:rFonts w:ascii="Arial" w:cs="Arial" w:eastAsia="Arial" w:hAnsi="Arial"/>
                <w:sz w:val="16"/>
                <w:szCs w:val="16"/>
                <w:color w:val="auto"/>
              </w:rPr>
              <w:t>2026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37,240</w:t>
            </w:r>
          </w:p>
        </w:tc>
        <w:tc>
          <w:tcPr>
            <w:tcW w:w="440" w:type="dxa"/>
            <w:vAlign w:val="bottom"/>
          </w:tcPr>
          <w:p>
            <w:pPr>
              <w:spacing w:after="0"/>
              <w:rPr>
                <w:sz w:val="16"/>
                <w:szCs w:val="16"/>
                <w:color w:val="auto"/>
              </w:rPr>
            </w:pPr>
          </w:p>
        </w:tc>
      </w:tr>
      <w:tr>
        <w:trPr>
          <w:trHeight w:val="189"/>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27,162</w:t>
            </w:r>
          </w:p>
        </w:tc>
        <w:tc>
          <w:tcPr>
            <w:tcW w:w="440" w:type="dxa"/>
            <w:vAlign w:val="bottom"/>
            <w:shd w:val="clear" w:color="auto" w:fill="CCEEFF"/>
          </w:tcPr>
          <w:p>
            <w:pPr>
              <w:spacing w:after="0"/>
              <w:rPr>
                <w:sz w:val="16"/>
                <w:szCs w:val="16"/>
                <w:color w:val="auto"/>
              </w:rPr>
            </w:pPr>
          </w:p>
        </w:tc>
      </w:tr>
      <w:tr>
        <w:trPr>
          <w:trHeight w:val="189"/>
        </w:trPr>
        <w:tc>
          <w:tcPr>
            <w:tcW w:w="55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120,839</w:t>
            </w:r>
          </w:p>
        </w:tc>
        <w:tc>
          <w:tcPr>
            <w:tcW w:w="440" w:type="dxa"/>
            <w:vAlign w:val="bottom"/>
            <w:tcBorders>
              <w:bottom w:val="single" w:sz="8" w:color="CCEEFF"/>
            </w:tcBorders>
          </w:tcPr>
          <w:p>
            <w:pPr>
              <w:spacing w:after="0"/>
              <w:rPr>
                <w:sz w:val="16"/>
                <w:szCs w:val="16"/>
                <w:color w:val="auto"/>
              </w:rPr>
            </w:pPr>
          </w:p>
        </w:tc>
      </w:tr>
      <w:tr>
        <w:trPr>
          <w:trHeight w:val="183"/>
        </w:trPr>
        <w:tc>
          <w:tcPr>
            <w:tcW w:w="55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future minimum lease payments</w:t>
            </w: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335,173</w:t>
            </w:r>
          </w:p>
        </w:tc>
        <w:tc>
          <w:tcPr>
            <w:tcW w:w="440" w:type="dxa"/>
            <w:vAlign w:val="bottom"/>
            <w:shd w:val="clear" w:color="auto" w:fill="CCEEFF"/>
          </w:tcPr>
          <w:p>
            <w:pPr>
              <w:spacing w:after="0"/>
              <w:rPr>
                <w:sz w:val="15"/>
                <w:szCs w:val="15"/>
                <w:color w:val="auto"/>
              </w:rPr>
            </w:pPr>
          </w:p>
        </w:tc>
      </w:tr>
      <w:tr>
        <w:trPr>
          <w:trHeight w:val="189"/>
        </w:trPr>
        <w:tc>
          <w:tcPr>
            <w:tcW w:w="5580" w:type="dxa"/>
            <w:vAlign w:val="bottom"/>
          </w:tcPr>
          <w:p>
            <w:pPr>
              <w:spacing w:after="0"/>
              <w:rPr>
                <w:sz w:val="20"/>
                <w:szCs w:val="20"/>
                <w:color w:val="auto"/>
              </w:rPr>
            </w:pPr>
            <w:r>
              <w:rPr>
                <w:rFonts w:ascii="Arial" w:cs="Arial" w:eastAsia="Arial" w:hAnsi="Arial"/>
                <w:sz w:val="16"/>
                <w:szCs w:val="16"/>
                <w:color w:val="auto"/>
              </w:rPr>
              <w:t>Less: imputed interest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157"/>
              <w:spacing w:after="0"/>
              <w:rPr>
                <w:sz w:val="20"/>
                <w:szCs w:val="20"/>
                <w:color w:val="auto"/>
              </w:rPr>
            </w:pPr>
            <w:r>
              <w:rPr>
                <w:rFonts w:ascii="Arial" w:cs="Arial" w:eastAsia="Arial" w:hAnsi="Arial"/>
                <w:sz w:val="16"/>
                <w:szCs w:val="16"/>
                <w:color w:val="auto"/>
              </w:rPr>
              <w:t xml:space="preserve">(77,799) </w:t>
            </w:r>
            <w:r>
              <w:rPr>
                <w:rFonts w:ascii="Arial" w:cs="Arial" w:eastAsia="Arial" w:hAnsi="Arial"/>
                <w:sz w:val="12"/>
                <w:szCs w:val="12"/>
                <w:color w:val="auto"/>
              </w:rPr>
              <w:t>(1)</w:t>
            </w:r>
          </w:p>
        </w:tc>
      </w:tr>
      <w:tr>
        <w:trPr>
          <w:trHeight w:val="183"/>
        </w:trPr>
        <w:tc>
          <w:tcPr>
            <w:tcW w:w="558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present value of lease liabilities</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257,374</w:t>
            </w:r>
          </w:p>
        </w:tc>
        <w:tc>
          <w:tcPr>
            <w:tcW w:w="440" w:type="dxa"/>
            <w:vAlign w:val="bottom"/>
            <w:tcBorders>
              <w:top w:val="single" w:sz="8" w:color="CCEEFF"/>
              <w:bottom w:val="single" w:sz="8" w:color="CCEEFF"/>
            </w:tcBorders>
            <w:shd w:val="clear" w:color="auto" w:fill="CCEEFF"/>
          </w:tcPr>
          <w:p>
            <w:pPr>
              <w:jc w:val="right"/>
              <w:ind w:right="157"/>
              <w:spacing w:after="0"/>
              <w:rPr>
                <w:sz w:val="20"/>
                <w:szCs w:val="20"/>
                <w:color w:val="auto"/>
              </w:rPr>
            </w:pPr>
            <w:r>
              <w:rPr>
                <w:rFonts w:ascii="Arial" w:cs="Arial" w:eastAsia="Arial" w:hAnsi="Arial"/>
                <w:sz w:val="13"/>
                <w:szCs w:val="13"/>
                <w:color w:val="auto"/>
              </w:rPr>
              <w:t>(2)</w:t>
            </w:r>
          </w:p>
        </w:tc>
      </w:tr>
      <w:tr>
        <w:trPr>
          <w:trHeight w:val="20"/>
        </w:trPr>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70" w:lineRule="exact"/>
        <w:rPr>
          <w:sz w:val="20"/>
          <w:szCs w:val="20"/>
          <w:color w:val="auto"/>
        </w:rPr>
      </w:pPr>
    </w:p>
    <w:p>
      <w:pPr>
        <w:ind w:left="1140" w:hanging="331"/>
        <w:spacing w:after="0"/>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Calculated using the discount rate for each lease.</w:t>
      </w:r>
    </w:p>
    <w:p>
      <w:pPr>
        <w:spacing w:after="0" w:line="28" w:lineRule="exact"/>
        <w:rPr>
          <w:rFonts w:ascii="Arial" w:cs="Arial" w:eastAsia="Arial" w:hAnsi="Arial"/>
          <w:sz w:val="14"/>
          <w:szCs w:val="14"/>
          <w:color w:val="auto"/>
        </w:rPr>
      </w:pPr>
    </w:p>
    <w:p>
      <w:pPr>
        <w:ind w:left="1140" w:hanging="331"/>
        <w:spacing w:after="0"/>
        <w:tabs>
          <w:tab w:leader="none" w:pos="11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and long-term portions of operating lease liabilities.</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83"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Supplemental cash flows and other information related to operating leases are as follows (in thousands, except for weighted average amounts):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4"/>
          </w:tcPr>
          <w:p>
            <w:pPr>
              <w:jc w:val="right"/>
              <w:ind w:right="781"/>
              <w:spacing w:after="0"/>
              <w:rPr>
                <w:sz w:val="20"/>
                <w:szCs w:val="20"/>
                <w:color w:val="auto"/>
              </w:rPr>
            </w:pPr>
            <w:r>
              <w:rPr>
                <w:rFonts w:ascii="Arial" w:cs="Arial" w:eastAsia="Arial" w:hAnsi="Arial"/>
                <w:sz w:val="14"/>
                <w:szCs w:val="14"/>
                <w:b w:val="1"/>
                <w:bCs w:val="1"/>
                <w:color w:val="auto"/>
              </w:rPr>
              <w:t>Thirteen Weeks Ended</w:t>
            </w:r>
          </w:p>
        </w:tc>
      </w:tr>
      <w:tr>
        <w:trPr>
          <w:trHeight w:val="156"/>
        </w:trPr>
        <w:tc>
          <w:tcPr>
            <w:tcW w:w="5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April 29, 2023</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01"/>
              <w:spacing w:after="0" w:line="155" w:lineRule="exact"/>
              <w:rPr>
                <w:sz w:val="20"/>
                <w:szCs w:val="20"/>
                <w:color w:val="auto"/>
              </w:rPr>
            </w:pPr>
            <w:r>
              <w:rPr>
                <w:rFonts w:ascii="Arial" w:cs="Arial" w:eastAsia="Arial" w:hAnsi="Arial"/>
                <w:sz w:val="14"/>
                <w:szCs w:val="14"/>
                <w:b w:val="1"/>
                <w:bCs w:val="1"/>
                <w:color w:val="auto"/>
              </w:rPr>
              <w:t>April 30, 2022</w:t>
            </w:r>
          </w:p>
        </w:tc>
      </w:tr>
      <w:tr>
        <w:trPr>
          <w:trHeight w:val="183"/>
        </w:trPr>
        <w:tc>
          <w:tcPr>
            <w:tcW w:w="56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Cash paid for operating leases</w:t>
            </w:r>
          </w:p>
        </w:tc>
        <w:tc>
          <w:tcPr>
            <w:tcW w:w="44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20,820</w:t>
            </w:r>
          </w:p>
        </w:tc>
        <w:tc>
          <w:tcPr>
            <w:tcW w:w="460" w:type="dxa"/>
            <w:vAlign w:val="bottom"/>
            <w:gridSpan w:val="2"/>
            <w:shd w:val="clear" w:color="auto" w:fill="CCEEFF"/>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14,557</w:t>
            </w: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Right of use assets obtained in exchange for new operating lease liabilities</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8,195</w:t>
            </w:r>
          </w:p>
        </w:tc>
        <w:tc>
          <w:tcPr>
            <w:tcW w:w="4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52,327</w:t>
            </w:r>
          </w:p>
        </w:tc>
      </w:tr>
      <w:tr>
        <w:trPr>
          <w:trHeight w:val="189"/>
        </w:trPr>
        <w:tc>
          <w:tcPr>
            <w:tcW w:w="5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189"/>
        </w:trPr>
        <w:tc>
          <w:tcPr>
            <w:tcW w:w="5600" w:type="dxa"/>
            <w:vAlign w:val="bottom"/>
          </w:tcPr>
          <w:p>
            <w:pPr>
              <w:spacing w:after="0"/>
              <w:rPr>
                <w:sz w:val="20"/>
                <w:szCs w:val="20"/>
                <w:color w:val="auto"/>
              </w:rPr>
            </w:pPr>
            <w:r>
              <w:rPr>
                <w:rFonts w:ascii="Arial" w:cs="Arial" w:eastAsia="Arial" w:hAnsi="Arial"/>
                <w:sz w:val="16"/>
                <w:szCs w:val="16"/>
                <w:color w:val="auto"/>
              </w:rPr>
              <w:t>Weighted average remaining lease term (years) - operating leases</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7.37</w:t>
            </w:r>
          </w:p>
        </w:tc>
      </w:tr>
      <w:tr>
        <w:trPr>
          <w:trHeight w:val="189"/>
        </w:trPr>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discount rate - operating leases</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Except for specific historical information, many of the matters discussed in this Form 10-Q may express or imply projections of revenues or expenditures, statements of plans and objectives for future operations, growth or initiatives, statements of future economic performance, capital allocation expectations or statements regarding the outcome or impact of pending or threatened litigation. These, and similar statements, are forward-looking statements concerning matters that involve risks, uncertainties and other factors that may cause the actual performance of the Company to differ materially from those expressed or implied by these statements. All forward-looking information should be evaluated in the context of these risks, uncertainties and other factors. The words “believe,” “anticipate,” “project,” “plan,” “expect,” “estimate,” “objective,” “forecast,” “goal,” “intend,” “could,” “will likely result,” or “will continue” and similar words and expressions generally identify forward-looking statements, although not all forward-looking statements contain such language. The Company believes the assumptions underlying these forward-looking statements are reasonable; however, any of the assumptions could be inaccurate, and therefore, actual results may differ materially from those projected in the forward-looking statements.</w:t>
      </w:r>
    </w:p>
    <w:p>
      <w:pPr>
        <w:spacing w:after="0" w:line="20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factors that may result in actual results differing from such forward-looking information include, but are not limited to: uncertainties relating to general economic conditions, including inflation, energy and fuel costs, unemployment levels, and any deterioration whether caused by acts of war, terrorism, political or social unrest (including any resulting store closures, damage or loss of inventory) or other factors; changes in market interest rates and market levels of wages; natural disasters such as hurricanes; uncertainty and economic impact of pandemics, epidemics or other public health emergencies such as the ongoing COVID-19 pandemic; transportation and distribution delays or interruptions; changes in freight rates; the Company’s ability to attract and retain workers; the Company’s ability to negotiate effectively the cost and purchase of merchandise; inventory risks due to shifts in market demand; the Company’s ability to gauge fashion trends and changing consumer preferences; changes in consumer confidence and consumer spending patterns; competition within the industry; competition in our markets; the duration and extent of any economic stimulus programs; changes in product mix; interruptions in suppliers’ businesses; the ongoing assessment and impact of the cyber disruption we identified on January 14, 2023, including legal, reputational, financial and contractual risks resulting from the disruption, and other risks related to cybersecurity, data privacy and intellectual property; the results of pending or threatened litigation; temporary changes in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demand due to weather patterns; seasonality of the Company’s business; delays associated with building, opening, remodeling and operating new stores; delays associated with building, opening or expanding new or existing distribution centers; and other factors described in the section titled “Item 1A. Risk Factors” and elsewhere in the Company’s Annual Report on Form 10-K for the fiscal year ended January 28, 2023 and in Part II, “Item 1A. Risk Factors” and elsewhere in the Company’s Quarterly Reports on Form 10-Q and any amendments thereto and in the other documents the Company files with the SEC, including reports on Form 8-K.</w:t>
      </w:r>
    </w:p>
    <w:p>
      <w:pPr>
        <w:spacing w:after="0" w:line="20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Readers are cautioned not to place undue reliance on these forward-looking statements, which speak only as of the date of this Form 10-Q. Except as may be required by law, the Company undertakes no obligation to update or revise publicly any forward-looking statements contained herein to reflect events or circumstances occurring after the date of this Form 10-Q or to reflect the occurrence of unanticipated events. Readers are advised, however, to read any further disclosures the Company may make on related subjects in its public disclosures or documents filed with the SEC, including reports on Form 8-K.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4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are a leading specialty value retailer of apparel, accessories and home trends for way less spend primarily for African American and multicultural families. Our high-quality and trend-right merchandise offerings at everyday low prices are designed to appeal to the fashion and trend preferences of value-conscious customers. As of April 29, 2023, we operated 608 stores in urban, suburban and rural markets in 33 states.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Uncertainties and Challenges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Economic Conditions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expect that our operations in the short-term will continue to be influenced by general economic conditions, including the recent inflationary pressures, which are particularly impactful to the communities we serve. Given the macro-economic environment, we expect low-income families to remain under pressure through the majority of fiscal 2023. In addition, we continue to monitor the impacts on our business of unemployment levels, wage inflation, interest rates, inflation rates, housing costs, energy costs, consumer confidence, consumer perception of economic conditions and costs to source our merchandise.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Supply Chain Disruptions</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While the supply chain disruptions that began in the second half of fiscal 2021 have largely mitigated as of the date of this report, these disruptions resulted in decreased capacity and increased costs. These pressures persisted through the majority of fiscal 2022. In response, we took various actions, including ordering merchandise earlier, leveraging our packaway merchandise stock and expanding the vendor direct-to-store shipping program that we initiated in fiscal 2020.</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and Weather Patterns</w:t>
      </w:r>
    </w:p>
    <w:p>
      <w:pPr>
        <w:spacing w:after="0" w:line="162"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nature of our business is seasonal. Historically, sales in the first and fourth quarters have been higher than sales achieved in the second and third quarters of the fiscal year. In addition, sales of clothing are directly impacted by the timing of the seasons to which the clothing relates. While we have expanded our product offerings to become a one-stop-shop, traffic to our stores is still influenced by weather patterns to some extent.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 Disruption</w:t>
      </w:r>
    </w:p>
    <w:p>
      <w:pPr>
        <w:spacing w:after="0" w:line="16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January 2023, we experienced a disruption of our back office and distribution center IT systems, which was due to what is known as Hive ransomware. In connection with this incident, third party consultants and forensic experts were engaged to assist with the restoration and remediation of the Company’s systems and, with the assistance of law enforcement, to investigate the incident. We do not retain sensitive customer data on our systems. The impact of this disruption is not expected to be material to our full year fiscal 2023 financial results.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In the first quarter of fiscal 2023, cyber disruption related costs net of an expected insurance receivable totaled $1.6 million,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comprised of incremental inventory processing costs, third-party consulting services and legal counsel. In fiscal 2022, cyber</w:t>
      </w:r>
    </w:p>
    <w:p>
      <w:pPr>
        <w:spacing w:after="0" w:line="5"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disruption related costs incurred totaled $0.1 million, primarily comprised of third-party consulting services and legal counsel. We do have cyber insurance, and we are working diligently with our insurance carriers on claims to recover costs incurred. We anticipate that our financial costs related to the cyber disruption will ultimately be covered by insurance, subject to a retention. We expect to incur ongoing costs related to the cyber disruption, including costs to enhance data security, and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520"/>
        <w:spacing w:after="0" w:line="276" w:lineRule="auto"/>
        <w:rPr>
          <w:sz w:val="20"/>
          <w:szCs w:val="20"/>
          <w:color w:val="auto"/>
        </w:rPr>
      </w:pPr>
      <w:r>
        <w:rPr>
          <w:rFonts w:ascii="Arial" w:cs="Arial" w:eastAsia="Arial" w:hAnsi="Arial"/>
          <w:sz w:val="16"/>
          <w:szCs w:val="16"/>
          <w:color w:val="auto"/>
        </w:rPr>
        <w:t>plan to take further steps to prevent unauthorized access to, or manipulation of, our systems and data. We are unable to estimate the ultimate direct and indirect financial impacts of this cyber disruption.</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w:t>
      </w:r>
    </w:p>
    <w:p>
      <w:pPr>
        <w:spacing w:after="0" w:line="20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following discussion contains references to fiscal years 2023 and 2022, which represent fiscal years ending or ended on February 3, 2024 and January 28, 2023, respectively. Fiscal 2023 has a 53-week accounting period and fiscal 2022 had a 52-week accounting period. This discussion and analysis should be read with the unaudited condensed consolidated financial statements and the notes thereto contained in Part 1, Item 1 of this report.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29" w:lineRule="exact"/>
        <w:rPr>
          <w:sz w:val="20"/>
          <w:szCs w:val="20"/>
          <w:color w:val="auto"/>
        </w:rPr>
      </w:pPr>
    </w:p>
    <w:p>
      <w:pPr>
        <w:jc w:val="both"/>
        <w:ind w:right="140"/>
        <w:spacing w:after="0" w:line="256" w:lineRule="auto"/>
        <w:rPr>
          <w:sz w:val="20"/>
          <w:szCs w:val="20"/>
          <w:color w:val="auto"/>
        </w:rPr>
      </w:pPr>
      <w:r>
        <w:rPr>
          <w:rFonts w:ascii="Arial" w:cs="Arial" w:eastAsia="Arial" w:hAnsi="Arial"/>
          <w:sz w:val="16"/>
          <w:szCs w:val="16"/>
          <w:color w:val="auto"/>
        </w:rPr>
        <w:t>The following discussion of the Company’s financial performance is based on the unaudited condensed consolidated financial statements set forth herein. Expenses and, to a greater extent, operating income, vary by quarter. Results of a period shorter than a full year may not be indicative of results expected for the entire year as a result of the seasonality of our business and the current economic uncertainty.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Operating Statistics</w:t>
      </w:r>
    </w:p>
    <w:p>
      <w:pPr>
        <w:spacing w:after="0" w:line="24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opened for an entire fiscal year. Therefore, a store will not be considered a comparable store until its 13th month of operation at the earliest or until its 24th month at the latest. As an example, stores opened in fiscal 2022 and fiscal 2023 are not considered comparable stores in fiscal 2023. Relocated and expanded stores are included in the comparable store sales results. Stores that are closed permanently or for an extended period are excluded from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 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Thirteen Weeks Ended April 29, 2023 and April 30, 2022</w:t>
      </w:r>
    </w:p>
    <w:p>
      <w:pPr>
        <w:spacing w:after="0" w:line="239"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decreased $28.5 million, or 13.7%, to $179.7 million in the first quarter of 2023 from $208.2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quarter of 2022. The decrease in sales was due to a 14.1% decrease in comparable store sales driven by continued inflationary pressures in the first quarter of 2023 that are particularly impactful to our core customers, combined with lower tax refunds this year compared to last year.</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i w:val="1"/>
          <w:iCs w:val="1"/>
          <w:color w:val="auto"/>
        </w:rPr>
        <w:t xml:space="preserve">Cost of Sales (exclusive of depreciation). </w:t>
      </w:r>
      <w:r>
        <w:rPr>
          <w:rFonts w:ascii="Arial" w:cs="Arial" w:eastAsia="Arial" w:hAnsi="Arial"/>
          <w:sz w:val="16"/>
          <w:szCs w:val="16"/>
          <w:color w:val="auto"/>
        </w:rPr>
        <w:t>Cost of sales (exclusive of depreciation) decreased $13.3 million, or 10.5%, to $113.7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2023 from $127.0 million in the first quarter of 2022. Cost of sales as a percentage of sales increased to 63.3% in the first quarter of 2023 from 61.0% in the first quarter of 2022. The change of 230 basis points was due to an increase of 150 basis points in freight costs (partially due to the cyber disruption) along with a decrease of 70 basis points in the core merchandise margin (initial mark-up, net of markdowns) driven by higher markdowns and an increase of 10 basis points in shrink expense.</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$0.2 million, or 0.3%,</w:t>
      </w:r>
      <w:r>
        <w:rPr>
          <w:rFonts w:ascii="Arial" w:cs="Arial" w:eastAsia="Arial" w:hAnsi="Arial"/>
          <w:sz w:val="16"/>
          <w:szCs w:val="16"/>
          <w:i w:val="1"/>
          <w:iCs w:val="1"/>
          <w:color w:val="auto"/>
        </w:rPr>
        <w:t xml:space="preserve"> </w:t>
      </w:r>
      <w:r>
        <w:rPr>
          <w:rFonts w:ascii="Arial" w:cs="Arial" w:eastAsia="Arial" w:hAnsi="Arial"/>
          <w:sz w:val="16"/>
          <w:szCs w:val="16"/>
          <w:color w:val="auto"/>
        </w:rPr>
        <w:t>to $70.8 million in the first quarter of 2023 from $71.0 million in the first quarter of 2022. The decrease was due to a $2.6 million decrease in payroll expenses and a $0.9 million decrease in professional fees, partially offset by a $2.5 million increase in rent expense and an incremental $1.0 million of costs related to the cyber disruption. As a percentage of sales, selling, general and administrative expenses increased to 39.4% in the first quarter of 2023 from 34.1%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expense decreased $0.7 million, or 14.0%, to $4.7 million in the first quarter of 2023 from $5.4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first quarter of 2022.</w:t>
      </w:r>
    </w:p>
    <w:p>
      <w:pPr>
        <w:spacing w:after="0" w:line="177"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i w:val="1"/>
          <w:iCs w:val="1"/>
          <w:color w:val="auto"/>
        </w:rPr>
        <w:t xml:space="preserve">Gain on Sale-leaseback. </w:t>
      </w:r>
      <w:r>
        <w:rPr>
          <w:rFonts w:ascii="Arial" w:cs="Arial" w:eastAsia="Arial" w:hAnsi="Arial"/>
          <w:sz w:val="16"/>
          <w:szCs w:val="16"/>
          <w:color w:val="auto"/>
        </w:rPr>
        <w:t>In the first quarter of 2022, we completed a sale-leaseback transaction for our distribution center in</w:t>
      </w:r>
      <w:r>
        <w:rPr>
          <w:rFonts w:ascii="Arial" w:cs="Arial" w:eastAsia="Arial" w:hAnsi="Arial"/>
          <w:sz w:val="16"/>
          <w:szCs w:val="16"/>
          <w:i w:val="1"/>
          <w:iCs w:val="1"/>
          <w:color w:val="auto"/>
        </w:rPr>
        <w:t xml:space="preserve"> </w:t>
      </w:r>
      <w:r>
        <w:rPr>
          <w:rFonts w:ascii="Arial" w:cs="Arial" w:eastAsia="Arial" w:hAnsi="Arial"/>
          <w:sz w:val="16"/>
          <w:szCs w:val="16"/>
          <w:color w:val="auto"/>
        </w:rPr>
        <w:t>Darlington, South Carolina that resulted in a $34.9 million gain.</w:t>
      </w:r>
    </w:p>
    <w:p>
      <w:pPr>
        <w:spacing w:after="0" w:line="177"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i w:val="1"/>
          <w:iCs w:val="1"/>
          <w:color w:val="auto"/>
        </w:rPr>
        <w:t xml:space="preserve">Income Tax Benefit/Expense. </w:t>
      </w:r>
      <w:r>
        <w:rPr>
          <w:rFonts w:ascii="Arial" w:cs="Arial" w:eastAsia="Arial" w:hAnsi="Arial"/>
          <w:sz w:val="16"/>
          <w:szCs w:val="16"/>
          <w:color w:val="auto"/>
        </w:rPr>
        <w:t>Income tax benefit was $1.9 million in the first quarter of 2023 compared to income tax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of $9.4 million in the first quarter of 2022. The difference is attributable to a pretax loss in the first quarter of this year compared to pretax income in the first quarter of last year that included the gain on sale-leaseback. For the first quarter of 2023, we used the discrete effective tax rate method to determine income tax expense based upon interim period results.</w:t>
      </w:r>
    </w:p>
    <w:p>
      <w:pPr>
        <w:spacing w:after="0" w:line="194"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i w:val="1"/>
          <w:iCs w:val="1"/>
          <w:color w:val="auto"/>
        </w:rPr>
        <w:t xml:space="preserve">Net Loss/Income. </w:t>
      </w:r>
      <w:r>
        <w:rPr>
          <w:rFonts w:ascii="Arial" w:cs="Arial" w:eastAsia="Arial" w:hAnsi="Arial"/>
          <w:sz w:val="16"/>
          <w:szCs w:val="16"/>
          <w:color w:val="auto"/>
        </w:rPr>
        <w:t>Net loss was $6.6 million in the first quarter of 2023 compared to net income of $30.2 million in the first</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of 2022 due to the factors discussed above.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Allocation</w:t>
      </w:r>
    </w:p>
    <w:p>
      <w:pPr>
        <w:spacing w:after="0" w:line="162" w:lineRule="exact"/>
        <w:rPr>
          <w:sz w:val="20"/>
          <w:szCs w:val="20"/>
          <w:color w:val="auto"/>
        </w:rPr>
      </w:pPr>
    </w:p>
    <w:p>
      <w:pPr>
        <w:jc w:val="both"/>
        <w:ind w:right="160"/>
        <w:spacing w:after="0" w:line="256" w:lineRule="auto"/>
        <w:rPr>
          <w:sz w:val="20"/>
          <w:szCs w:val="20"/>
          <w:color w:val="auto"/>
        </w:rPr>
      </w:pPr>
      <w:r>
        <w:rPr>
          <w:rFonts w:ascii="Arial" w:cs="Arial" w:eastAsia="Arial" w:hAnsi="Arial"/>
          <w:sz w:val="16"/>
          <w:szCs w:val="16"/>
          <w:color w:val="auto"/>
        </w:rPr>
        <w:t>Our capital allocation strategy is to maintain adequate liquidity to prioritize investments in opportunities to profitably grow our business and maintain current operations, then to return excess cash to shareholders through our repurchase programs. Our quarter-end cash and cash equivalents balance was $88.7 million compared to $61.7 million at the end of the first quarter of 2022. Until required for other purposes, we maintain cash and cash equivalents in deposit or money market accounts.</w:t>
      </w:r>
    </w:p>
    <w:p>
      <w:pPr>
        <w:spacing w:after="0" w:line="10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Our principal sources of liquidity consist of: (i) cash and cash equivalents on hand; (ii) short-term trade credit arising from customary payment terms and trade practices with our vendors; (iii) cash generated from operations on an ongoing basis; and (iv) a revolving credit facility with a $75 million credit commitment.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16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quarter-end inventory balance was $114.3 million, compared with $129.7 million at the end of the first quarter of 2022. The decrease was primarily due to a planned reduction in our packaway inventory, partially offset by a strategic increase in our average in-store inventory.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 Expenditures</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Capital expenditures in the first quarter of 2023 were $1.0 million, a decrease of $7.0 million from the first quarter of 2022 as we pared back our investments in new stores and remodels. We anticipate capital expenditures in fiscal 2023 in the range of $15 to $20 million, primarily for opening five new stores and remodeling ten to twenty stores, combined with ongoing investments in our systems.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w:t>
      </w:r>
    </w:p>
    <w:p>
      <w:pPr>
        <w:spacing w:after="0" w:line="148" w:lineRule="exact"/>
        <w:rPr>
          <w:sz w:val="20"/>
          <w:szCs w:val="20"/>
          <w:color w:val="auto"/>
        </w:rPr>
      </w:pPr>
    </w:p>
    <w:p>
      <w:pPr>
        <w:jc w:val="both"/>
        <w:ind w:right="600"/>
        <w:spacing w:after="0" w:line="261" w:lineRule="auto"/>
        <w:rPr>
          <w:sz w:val="20"/>
          <w:szCs w:val="20"/>
          <w:color w:val="auto"/>
        </w:rPr>
      </w:pPr>
      <w:r>
        <w:rPr>
          <w:rFonts w:ascii="Arial" w:cs="Arial" w:eastAsia="Arial" w:hAnsi="Arial"/>
          <w:sz w:val="16"/>
          <w:szCs w:val="16"/>
          <w:color w:val="auto"/>
        </w:rPr>
        <w:t>We did not repurchase any shares of our common stock in the first quarter of 2023. During the first quarter of 2022, we returned $5.3 million to shareholders through share repurchases. See Part II of this Report and Note 7 to the Financial Statements for more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Facility</w:t>
      </w:r>
    </w:p>
    <w:p>
      <w:pPr>
        <w:spacing w:after="0" w:line="162"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We have a revolving credit facility that matures in April 2026 and provides a $75 million credit commitment and a $25 million uncommitted “accordion” feature. Additional details of the credit facility are in Note 4 to the Financial Statements. At the end of the first quarter of 2023, we had no borrowings under the credit facility and $0.6 million in letters of credit outstanding.</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Cash Flows From Operating Activities</w:t>
      </w:r>
      <w:r>
        <w:rPr>
          <w:rFonts w:ascii="Arial" w:cs="Arial" w:eastAsia="Arial" w:hAnsi="Arial"/>
          <w:sz w:val="16"/>
          <w:szCs w:val="16"/>
          <w:color w:val="auto"/>
        </w:rPr>
        <w:t>. Net cash used in operating activities was $13.1 million in the first quarter of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cash used of $18.9 million in the first quarter of 2022. Sources of cash in the first quarter of 2023 resulted from a net loss adjusted for non-cash expenses totaling $10.5 million (compared to net income adjusted for non-cash items of $14.9 million in the first quarter of 2022) and an increase of $9.2 million in accounts payable (compared to a decrease of $11.3 million in the first quarter of 2022).</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7" w:right="141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0"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Significant uses of cash during the first quarter of 2023 included (1) a $20.0 million decrease in accrued expenses and other long-term liabilities (compared to a decrease of $11.1 million in the first quarter of 2022) due primarily to payments of operating lease liabilities; and (2) an increase of $8.5 million in inventory (compared to an increase of $6.5 million in the first quarter of 2022).</w:t>
      </w:r>
    </w:p>
    <w:p>
      <w:pPr>
        <w:spacing w:after="0" w:line="196"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Cash Flows From Investing Activities. </w:t>
      </w:r>
      <w:r>
        <w:rPr>
          <w:rFonts w:ascii="Arial" w:cs="Arial" w:eastAsia="Arial" w:hAnsi="Arial"/>
          <w:sz w:val="16"/>
          <w:szCs w:val="16"/>
          <w:color w:val="auto"/>
        </w:rPr>
        <w:t>Cash used by investing activities was $1.0 million in the first quarter of 2023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of $38.2 million in the first quarter of 2022. Cash used in the first quarter of 2023 consisted of purchases of property and equipment. Cash provided in the first quarter of 2022 consisted of $45.5 million net proceeds from the sale-leaseback transaction, partially offset by $8.0 million of purchases of property and equipment.</w:t>
      </w:r>
    </w:p>
    <w:p>
      <w:pPr>
        <w:spacing w:after="0" w:line="194"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i w:val="1"/>
          <w:iCs w:val="1"/>
          <w:color w:val="auto"/>
        </w:rPr>
        <w:t xml:space="preserve">Cash Flows From Financing Activities. </w:t>
      </w:r>
      <w:r>
        <w:rPr>
          <w:rFonts w:ascii="Arial" w:cs="Arial" w:eastAsia="Arial" w:hAnsi="Arial"/>
          <w:sz w:val="16"/>
          <w:szCs w:val="16"/>
          <w:color w:val="auto"/>
        </w:rPr>
        <w:t>Cash used in financing activities was $0.8 million in the first quarter of 2023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$7.4 million in the first quarter of 2022. Cash used in the first quarter of this year consisted of $0.8 million to settle withholding taxes on the vesting of restricted stock (compared to $2.1 million in the first quarter of last year). Cash used in the first quarter of 2022 included $5.3 million for share repurchases.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Requirements and Commitments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cash requirements consist of (1) inventory purchases; (2) capital expenditures to invest in our infrastructure; and</w:t>
      </w:r>
    </w:p>
    <w:p>
      <w:pPr>
        <w:spacing w:after="0" w:line="17" w:lineRule="exact"/>
        <w:rPr>
          <w:sz w:val="20"/>
          <w:szCs w:val="20"/>
          <w:color w:val="auto"/>
        </w:rPr>
      </w:pPr>
    </w:p>
    <w:p>
      <w:pPr>
        <w:ind w:right="40" w:firstLine="5"/>
        <w:spacing w:after="0" w:line="250" w:lineRule="auto"/>
        <w:tabs>
          <w:tab w:leader="none" w:pos="2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operational needs, including salaries, occupancy costs, taxes and other operating costs. We may also use cash to fund any share repurchases, make any required debt payments and satisfy other contractual obligations. Historically, we have met these cash requirements using cash flow from operations and short-term trade credit. As of April 29, 2023, our contractual commitments for operating leases totaled $257.4 million (with $43.4 million due within 12 months). See Note 9 to the Financial Statements for more information regarding lease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43"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preparation of our condensed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205" w:lineRule="exact"/>
        <w:rPr>
          <w:sz w:val="20"/>
          <w:szCs w:val="20"/>
          <w:color w:val="auto"/>
        </w:rPr>
      </w:pPr>
    </w:p>
    <w:p>
      <w:pPr>
        <w:ind w:right="280"/>
        <w:spacing w:after="0" w:line="276" w:lineRule="auto"/>
        <w:rPr>
          <w:sz w:val="20"/>
          <w:szCs w:val="20"/>
          <w:color w:val="auto"/>
        </w:rPr>
      </w:pPr>
      <w:r>
        <w:rPr>
          <w:rFonts w:ascii="Arial" w:cs="Arial" w:eastAsia="Arial" w:hAnsi="Arial"/>
          <w:sz w:val="16"/>
          <w:szCs w:val="16"/>
          <w:color w:val="auto"/>
        </w:rPr>
        <w:t>There have been no material changes to the Critical Accounting Policies outlined in our Annual Report on Form 10-K for the fiscal year ended January 28, 2023.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43" w:lineRule="exact"/>
        <w:rPr>
          <w:sz w:val="20"/>
          <w:szCs w:val="20"/>
          <w:color w:val="auto"/>
        </w:rPr>
      </w:pPr>
    </w:p>
    <w:p>
      <w:pPr>
        <w:ind w:right="500"/>
        <w:spacing w:after="0" w:line="276" w:lineRule="auto"/>
        <w:rPr>
          <w:sz w:val="20"/>
          <w:szCs w:val="20"/>
          <w:color w:val="auto"/>
        </w:rPr>
      </w:pPr>
      <w:r>
        <w:rPr>
          <w:rFonts w:ascii="Arial" w:cs="Arial" w:eastAsia="Arial" w:hAnsi="Arial"/>
          <w:sz w:val="16"/>
          <w:szCs w:val="16"/>
          <w:color w:val="auto"/>
        </w:rPr>
        <w:t>There have been no material changes in our market risk during the thirteen weeks ended April 29, 2023 compared to the disclosures in Part II, Item 7A of our Annual Report on Form 10-K for the fiscal year ended January 28, 2023.</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carried out an evaluation under the supervision and with the participation of management, including the principal executive officer and the principal financial officer, of the effectiveness of the design and operation of our disclosure controls and procedures as of April 29, 2023 pursuant to Rules 13a-15 and 15d-15 of the Exchange Act. Based on that evaluation, the principal executive officer and the principal financial officer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20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our internal control over financial reporting that occurred during the fiscal quarter ended</w:t>
      </w:r>
    </w:p>
    <w:p>
      <w:pPr>
        <w:spacing w:after="0" w:line="17"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April 29, 2023 that have materially affected, or are reasonably likely to materially affect, our internal control over financial reporting.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43" w:lineRule="exact"/>
        <w:rPr>
          <w:sz w:val="20"/>
          <w:szCs w:val="20"/>
          <w:color w:val="auto"/>
        </w:rPr>
      </w:pPr>
    </w:p>
    <w:p>
      <w:pPr>
        <w:ind w:right="39"/>
        <w:spacing w:after="0" w:line="252" w:lineRule="auto"/>
        <w:rPr>
          <w:sz w:val="20"/>
          <w:szCs w:val="20"/>
          <w:color w:val="auto"/>
        </w:rPr>
      </w:pPr>
      <w:r>
        <w:rPr>
          <w:rFonts w:ascii="Arial" w:cs="Arial" w:eastAsia="Arial" w:hAnsi="Arial"/>
          <w:sz w:val="16"/>
          <w:szCs w:val="16"/>
          <w:color w:val="auto"/>
        </w:rPr>
        <w:t>We are from time to time involved in various legal proceedings incidental to the conduct of our business, including claims by customers, landlords,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43" w:lineRule="exact"/>
        <w:rPr>
          <w:sz w:val="20"/>
          <w:szCs w:val="20"/>
          <w:color w:val="auto"/>
        </w:rPr>
      </w:pPr>
    </w:p>
    <w:p>
      <w:pPr>
        <w:ind w:right="479"/>
        <w:spacing w:after="0" w:line="276" w:lineRule="auto"/>
        <w:rPr>
          <w:sz w:val="20"/>
          <w:szCs w:val="20"/>
          <w:color w:val="auto"/>
        </w:rPr>
      </w:pPr>
      <w:r>
        <w:rPr>
          <w:rFonts w:ascii="Arial" w:cs="Arial" w:eastAsia="Arial" w:hAnsi="Arial"/>
          <w:sz w:val="16"/>
          <w:szCs w:val="16"/>
          <w:color w:val="auto"/>
        </w:rPr>
        <w:t>There have been no material changes to the Risk Factors described under the section “Item 1A. RISK FACTORS” in our Annual Report on Form 10-K for the fiscal year ended January 28, 2023.</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Information on Share Repurchases</w:t>
      </w:r>
    </w:p>
    <w:p>
      <w:pPr>
        <w:spacing w:after="0" w:line="239" w:lineRule="exact"/>
        <w:rPr>
          <w:sz w:val="20"/>
          <w:szCs w:val="20"/>
          <w:color w:val="auto"/>
        </w:rPr>
      </w:pPr>
    </w:p>
    <w:p>
      <w:pPr>
        <w:ind w:right="259"/>
        <w:spacing w:after="0" w:line="276" w:lineRule="auto"/>
        <w:rPr>
          <w:sz w:val="20"/>
          <w:szCs w:val="20"/>
          <w:color w:val="auto"/>
        </w:rPr>
      </w:pPr>
      <w:r>
        <w:rPr>
          <w:rFonts w:ascii="Arial" w:cs="Arial" w:eastAsia="Arial" w:hAnsi="Arial"/>
          <w:sz w:val="16"/>
          <w:szCs w:val="16"/>
          <w:color w:val="auto"/>
        </w:rPr>
        <w:t>The Company did not repurchase any shares in the first quarter of 2023. At April 29, 2023, $50.0 million remained available under the Company’s stock repurchase authorization.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517"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980" w:type="dxa"/>
            <w:vAlign w:val="bottom"/>
          </w:tcPr>
          <w:p>
            <w:pPr>
              <w:spacing w:after="0"/>
              <w:rPr>
                <w:sz w:val="20"/>
                <w:szCs w:val="20"/>
                <w:color w:val="auto"/>
              </w:rPr>
            </w:pPr>
            <w:r>
              <w:rPr>
                <w:rFonts w:ascii="Arial" w:cs="Arial" w:eastAsia="Arial" w:hAnsi="Arial"/>
                <w:sz w:val="16"/>
                <w:szCs w:val="16"/>
                <w:color w:val="auto"/>
              </w:rPr>
              <w:t>3.1</w:t>
            </w:r>
          </w:p>
        </w:tc>
        <w:tc>
          <w:tcPr>
            <w:tcW w:w="7880" w:type="dxa"/>
            <w:vAlign w:val="bottom"/>
            <w:gridSpan w:val="12"/>
          </w:tcPr>
          <w:p>
            <w:pPr>
              <w:spacing w:after="0"/>
              <w:rPr>
                <w:rFonts w:ascii="Arial" w:cs="Arial" w:eastAsia="Arial" w:hAnsi="Arial"/>
                <w:sz w:val="16"/>
                <w:szCs w:val="16"/>
                <w:color w:val="0000EE"/>
              </w:rPr>
            </w:pPr>
            <w:hyperlink r:id="rId27">
              <w:r>
                <w:rPr>
                  <w:rFonts w:ascii="Arial" w:cs="Arial" w:eastAsia="Arial" w:hAnsi="Arial"/>
                  <w:sz w:val="16"/>
                  <w:szCs w:val="16"/>
                  <w:color w:val="0000EE"/>
                </w:rPr>
                <w:t>Third Amended and Restated Certificate of Incorporation (incorporated by reference to Exhibit 3.1 to the</w:t>
              </w:r>
            </w:hyperlink>
          </w:p>
        </w:tc>
      </w:tr>
      <w:tr>
        <w:trPr>
          <w:trHeight w:val="196"/>
        </w:trPr>
        <w:tc>
          <w:tcPr>
            <w:tcW w:w="980" w:type="dxa"/>
            <w:vAlign w:val="bottom"/>
          </w:tcPr>
          <w:p>
            <w:pPr>
              <w:spacing w:after="0"/>
              <w:rPr>
                <w:sz w:val="17"/>
                <w:szCs w:val="17"/>
                <w:color w:val="auto"/>
              </w:rPr>
            </w:pPr>
          </w:p>
        </w:tc>
        <w:tc>
          <w:tcPr>
            <w:tcW w:w="7420" w:type="dxa"/>
            <w:vAlign w:val="bottom"/>
            <w:tcBorders>
              <w:top w:val="single" w:sz="8" w:color="0000EE"/>
            </w:tcBorders>
            <w:gridSpan w:val="7"/>
          </w:tcPr>
          <w:p>
            <w:pPr>
              <w:spacing w:after="0"/>
              <w:rPr>
                <w:rFonts w:ascii="Arial" w:cs="Arial" w:eastAsia="Arial" w:hAnsi="Arial"/>
                <w:sz w:val="16"/>
                <w:szCs w:val="16"/>
                <w:color w:val="0000EE"/>
              </w:rPr>
            </w:pPr>
            <w:hyperlink r:id="rId27">
              <w:r>
                <w:rPr>
                  <w:rFonts w:ascii="Arial" w:cs="Arial" w:eastAsia="Arial" w:hAnsi="Arial"/>
                  <w:sz w:val="16"/>
                  <w:szCs w:val="16"/>
                  <w:color w:val="0000EE"/>
                </w:rPr>
                <w:t>Company’s Current Report on Form 8-K filed with the SEC on June 7, 2018)</w:t>
              </w:r>
              <w:r>
                <w:rPr>
                  <w:rFonts w:ascii="Arial" w:cs="Arial" w:eastAsia="Arial" w:hAnsi="Arial"/>
                  <w:sz w:val="16"/>
                  <w:szCs w:val="16"/>
                  <w:color w:val="000000"/>
                </w:rPr>
                <w:t>.</w:t>
              </w:r>
            </w:hyperlink>
          </w:p>
        </w:tc>
        <w:tc>
          <w:tcPr>
            <w:tcW w:w="460" w:type="dxa"/>
            <w:vAlign w:val="bottom"/>
            <w:gridSpan w:val="5"/>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6"/>
                <w:szCs w:val="16"/>
                <w:color w:val="auto"/>
              </w:rPr>
              <w:t>3.2</w:t>
            </w:r>
          </w:p>
        </w:tc>
        <w:tc>
          <w:tcPr>
            <w:tcW w:w="7580" w:type="dxa"/>
            <w:vAlign w:val="bottom"/>
            <w:tcBorders>
              <w:bottom w:val="single" w:sz="8" w:color="0000EE"/>
            </w:tcBorders>
            <w:gridSpan w:val="9"/>
          </w:tcPr>
          <w:p>
            <w:pPr>
              <w:spacing w:after="0"/>
              <w:rPr>
                <w:rFonts w:ascii="Arial" w:cs="Arial" w:eastAsia="Arial" w:hAnsi="Arial"/>
                <w:sz w:val="16"/>
                <w:szCs w:val="16"/>
                <w:color w:val="0000EE"/>
              </w:rPr>
            </w:pPr>
            <w:hyperlink r:id="rId28">
              <w:r>
                <w:rPr>
                  <w:rFonts w:ascii="Arial" w:cs="Arial" w:eastAsia="Arial" w:hAnsi="Arial"/>
                  <w:sz w:val="16"/>
                  <w:szCs w:val="16"/>
                  <w:color w:val="0000EE"/>
                </w:rPr>
                <w:t>Fourth Amended and Restated Bylaws (incorporated by reference to Exhibit 3.2 to the Company’s Current</w:t>
              </w:r>
            </w:hyperlink>
          </w:p>
        </w:tc>
        <w:tc>
          <w:tcPr>
            <w:tcW w:w="30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880" w:type="dxa"/>
            <w:vAlign w:val="bottom"/>
            <w:gridSpan w:val="12"/>
          </w:tcPr>
          <w:p>
            <w:pPr>
              <w:spacing w:after="0"/>
              <w:rPr>
                <w:rFonts w:ascii="Arial" w:cs="Arial" w:eastAsia="Arial" w:hAnsi="Arial"/>
                <w:sz w:val="16"/>
                <w:szCs w:val="16"/>
                <w:color w:val="0000EE"/>
              </w:rPr>
            </w:pPr>
            <w:hyperlink r:id="rId28">
              <w:r>
                <w:rPr>
                  <w:rFonts w:ascii="Arial" w:cs="Arial" w:eastAsia="Arial" w:hAnsi="Arial"/>
                  <w:sz w:val="16"/>
                  <w:szCs w:val="16"/>
                  <w:color w:val="0000EE"/>
                </w:rPr>
                <w:t>Report on Form 8-K filed with the SEC on October 31, 2022)</w:t>
              </w:r>
              <w:r>
                <w:rPr>
                  <w:rFonts w:ascii="Arial" w:cs="Arial" w:eastAsia="Arial" w:hAnsi="Arial"/>
                  <w:sz w:val="16"/>
                  <w:szCs w:val="16"/>
                  <w:color w:val="000000"/>
                </w:rPr>
                <w:t>.</w:t>
              </w:r>
            </w:hyperlink>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6"/>
                <w:szCs w:val="16"/>
                <w:color w:val="auto"/>
              </w:rPr>
              <w:t>10.1</w:t>
            </w:r>
          </w:p>
        </w:tc>
        <w:tc>
          <w:tcPr>
            <w:tcW w:w="74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Employment Non-Compete, Non-Solicit and Confidentiality Agreement between the Company and Vivek</w:t>
            </w:r>
          </w:p>
        </w:tc>
        <w:tc>
          <w:tcPr>
            <w:tcW w:w="420" w:type="dxa"/>
            <w:vAlign w:val="bottom"/>
            <w:gridSpan w:val="4"/>
          </w:tcPr>
          <w:p>
            <w:pPr>
              <w:spacing w:after="0"/>
              <w:rPr>
                <w:sz w:val="24"/>
                <w:szCs w:val="24"/>
                <w:color w:val="auto"/>
              </w:rPr>
            </w:pPr>
          </w:p>
        </w:tc>
      </w:tr>
      <w:tr>
        <w:trPr>
          <w:trHeight w:val="209"/>
        </w:trPr>
        <w:tc>
          <w:tcPr>
            <w:tcW w:w="980" w:type="dxa"/>
            <w:vAlign w:val="bottom"/>
          </w:tcPr>
          <w:p>
            <w:pPr>
              <w:spacing w:after="0"/>
              <w:rPr>
                <w:sz w:val="18"/>
                <w:szCs w:val="18"/>
                <w:color w:val="auto"/>
              </w:rPr>
            </w:pPr>
          </w:p>
        </w:tc>
        <w:tc>
          <w:tcPr>
            <w:tcW w:w="7880" w:type="dxa"/>
            <w:vAlign w:val="bottom"/>
            <w:gridSpan w:val="12"/>
          </w:tcPr>
          <w:p>
            <w:pPr>
              <w:spacing w:after="0"/>
              <w:rPr>
                <w:sz w:val="20"/>
                <w:szCs w:val="20"/>
                <w:color w:val="auto"/>
              </w:rPr>
            </w:pPr>
            <w:r>
              <w:rPr>
                <w:rFonts w:ascii="Arial" w:cs="Arial" w:eastAsia="Arial" w:hAnsi="Arial"/>
                <w:sz w:val="16"/>
                <w:szCs w:val="16"/>
                <w:color w:val="0000EE"/>
              </w:rPr>
              <w:t>Bhargava dated February 15, 2023</w:t>
            </w:r>
            <w:r>
              <w:rPr>
                <w:rFonts w:ascii="Arial" w:cs="Arial" w:eastAsia="Arial" w:hAnsi="Arial"/>
                <w:sz w:val="16"/>
                <w:szCs w:val="16"/>
                <w:color w:val="000000"/>
              </w:rPr>
              <w:t>.*</w:t>
            </w:r>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6"/>
                <w:szCs w:val="16"/>
                <w:color w:val="auto"/>
              </w:rPr>
              <w:t>10.2</w:t>
            </w:r>
          </w:p>
        </w:tc>
        <w:tc>
          <w:tcPr>
            <w:tcW w:w="7880" w:type="dxa"/>
            <w:vAlign w:val="bottom"/>
            <w:gridSpan w:val="12"/>
          </w:tcPr>
          <w:p>
            <w:pPr>
              <w:spacing w:after="0"/>
              <w:rPr>
                <w:sz w:val="20"/>
                <w:szCs w:val="20"/>
                <w:color w:val="auto"/>
              </w:rPr>
            </w:pPr>
            <w:r>
              <w:rPr>
                <w:rFonts w:ascii="Arial" w:cs="Arial" w:eastAsia="Arial" w:hAnsi="Arial"/>
                <w:sz w:val="16"/>
                <w:szCs w:val="16"/>
                <w:color w:val="0000EE"/>
              </w:rPr>
              <w:t>Severance Agreement between the Company and Vivek Bhargava dated February 15, 2023</w:t>
            </w:r>
            <w:r>
              <w:rPr>
                <w:rFonts w:ascii="Arial" w:cs="Arial" w:eastAsia="Arial" w:hAnsi="Arial"/>
                <w:sz w:val="16"/>
                <w:szCs w:val="16"/>
                <w:color w:val="000000"/>
              </w:rPr>
              <w:t>.*</w:t>
            </w:r>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6"/>
                <w:szCs w:val="16"/>
                <w:color w:val="auto"/>
              </w:rPr>
              <w:t>31.1</w:t>
            </w:r>
          </w:p>
        </w:tc>
        <w:tc>
          <w:tcPr>
            <w:tcW w:w="788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rPr>
              <w:t>Certification of Principal Executive Officer, Pursuant to Rule 13a-14(a) of the Securities Exchange Act of 1934,</w:t>
            </w:r>
          </w:p>
        </w:tc>
      </w:tr>
      <w:tr>
        <w:trPr>
          <w:trHeight w:val="209"/>
        </w:trPr>
        <w:tc>
          <w:tcPr>
            <w:tcW w:w="980" w:type="dxa"/>
            <w:vAlign w:val="bottom"/>
          </w:tcPr>
          <w:p>
            <w:pPr>
              <w:spacing w:after="0"/>
              <w:rPr>
                <w:sz w:val="18"/>
                <w:szCs w:val="18"/>
                <w:color w:val="auto"/>
              </w:rPr>
            </w:pPr>
          </w:p>
        </w:tc>
        <w:tc>
          <w:tcPr>
            <w:tcW w:w="7880" w:type="dxa"/>
            <w:vAlign w:val="bottom"/>
            <w:gridSpan w:val="12"/>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980" w:type="dxa"/>
            <w:vAlign w:val="bottom"/>
          </w:tcPr>
          <w:p>
            <w:pPr>
              <w:spacing w:after="0"/>
              <w:rPr>
                <w:sz w:val="20"/>
                <w:szCs w:val="20"/>
                <w:color w:val="auto"/>
              </w:rPr>
            </w:pPr>
            <w:r>
              <w:rPr>
                <w:rFonts w:ascii="Arial" w:cs="Arial" w:eastAsia="Arial" w:hAnsi="Arial"/>
                <w:sz w:val="16"/>
                <w:szCs w:val="16"/>
                <w:color w:val="auto"/>
              </w:rPr>
              <w:t>31.2</w:t>
            </w:r>
          </w:p>
        </w:tc>
        <w:tc>
          <w:tcPr>
            <w:tcW w:w="7880" w:type="dxa"/>
            <w:vAlign w:val="bottom"/>
            <w:gridSpan w:val="12"/>
          </w:tcPr>
          <w:p>
            <w:pPr>
              <w:spacing w:after="0"/>
              <w:rPr>
                <w:sz w:val="20"/>
                <w:szCs w:val="20"/>
                <w:color w:val="auto"/>
              </w:rPr>
            </w:pPr>
            <w:r>
              <w:rPr>
                <w:rFonts w:ascii="Arial" w:cs="Arial" w:eastAsia="Arial" w:hAnsi="Arial"/>
                <w:sz w:val="16"/>
                <w:szCs w:val="16"/>
                <w:color w:val="0000EE"/>
              </w:rPr>
              <w:t>Certification of Principal Financial Officer, Pursuant to Rule 13a-14(a) of the Securities Exchange Act of 1934,</w:t>
            </w:r>
          </w:p>
        </w:tc>
      </w:tr>
      <w:tr>
        <w:trPr>
          <w:trHeight w:val="209"/>
        </w:trPr>
        <w:tc>
          <w:tcPr>
            <w:tcW w:w="980" w:type="dxa"/>
            <w:vAlign w:val="bottom"/>
          </w:tcPr>
          <w:p>
            <w:pPr>
              <w:spacing w:after="0"/>
              <w:rPr>
                <w:sz w:val="18"/>
                <w:szCs w:val="18"/>
                <w:color w:val="auto"/>
              </w:rPr>
            </w:pPr>
          </w:p>
        </w:tc>
        <w:tc>
          <w:tcPr>
            <w:tcW w:w="7820" w:type="dxa"/>
            <w:vAlign w:val="bottom"/>
            <w:tcBorders>
              <w:top w:val="single" w:sz="8" w:color="0000EE"/>
            </w:tcBorders>
            <w:gridSpan w:val="10"/>
          </w:tcPr>
          <w:p>
            <w:pPr>
              <w:spacing w:after="0"/>
              <w:rPr>
                <w:sz w:val="20"/>
                <w:szCs w:val="20"/>
                <w:color w:val="auto"/>
              </w:rPr>
            </w:pPr>
            <w:r>
              <w:rPr>
                <w:rFonts w:ascii="Arial" w:cs="Arial" w:eastAsia="Arial" w:hAnsi="Arial"/>
                <w:sz w:val="16"/>
                <w:szCs w:val="16"/>
                <w:color w:val="0000EE"/>
              </w:rPr>
              <w:t>Adopted Pursuant to Section 302 of the Sarbanes-Oxley Act of 2002.</w:t>
            </w:r>
            <w:r>
              <w:rPr>
                <w:rFonts w:ascii="Arial" w:cs="Arial" w:eastAsia="Arial" w:hAnsi="Arial"/>
                <w:sz w:val="16"/>
                <w:szCs w:val="16"/>
                <w:color w:val="000000"/>
              </w:rPr>
              <w:t>*</w:t>
            </w:r>
          </w:p>
        </w:tc>
        <w:tc>
          <w:tcPr>
            <w:tcW w:w="60" w:type="dxa"/>
            <w:vAlign w:val="bottom"/>
            <w:gridSpan w:val="2"/>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980" w:type="dxa"/>
            <w:vAlign w:val="bottom"/>
          </w:tcPr>
          <w:p>
            <w:pPr>
              <w:spacing w:after="0"/>
              <w:rPr>
                <w:sz w:val="20"/>
                <w:szCs w:val="20"/>
                <w:color w:val="auto"/>
              </w:rPr>
            </w:pPr>
            <w:r>
              <w:rPr>
                <w:rFonts w:ascii="Arial" w:cs="Arial" w:eastAsia="Arial" w:hAnsi="Arial"/>
                <w:sz w:val="16"/>
                <w:szCs w:val="16"/>
                <w:color w:val="auto"/>
              </w:rPr>
              <w:t>32.1</w:t>
            </w:r>
          </w:p>
        </w:tc>
        <w:tc>
          <w:tcPr>
            <w:tcW w:w="78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color w:val="0000EE"/>
              </w:rPr>
              <w:t>Certifications Pursuant to 18 U.S.C. Section 1350, as adopted pursuant to Section 906 of the Sarbanes-Oxley</w:t>
            </w:r>
          </w:p>
        </w:tc>
        <w:tc>
          <w:tcPr>
            <w:tcW w:w="20" w:type="dxa"/>
            <w:vAlign w:val="bottom"/>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7880" w:type="dxa"/>
            <w:vAlign w:val="bottom"/>
            <w:gridSpan w:val="12"/>
          </w:tcPr>
          <w:p>
            <w:pPr>
              <w:spacing w:after="0"/>
              <w:rPr>
                <w:sz w:val="20"/>
                <w:szCs w:val="20"/>
                <w:color w:val="auto"/>
              </w:rPr>
            </w:pPr>
            <w:r>
              <w:rPr>
                <w:rFonts w:ascii="Arial" w:cs="Arial" w:eastAsia="Arial" w:hAnsi="Arial"/>
                <w:sz w:val="16"/>
                <w:szCs w:val="16"/>
                <w:color w:val="0000EE"/>
              </w:rPr>
              <w:t>Act of 2002.</w:t>
            </w:r>
            <w:r>
              <w:rPr>
                <w:rFonts w:ascii="Arial" w:cs="Arial" w:eastAsia="Arial" w:hAnsi="Arial"/>
                <w:sz w:val="16"/>
                <w:szCs w:val="16"/>
                <w:color w:val="000000"/>
              </w:rPr>
              <w:t>* †</w:t>
            </w:r>
          </w:p>
        </w:tc>
      </w:tr>
      <w:tr>
        <w:trPr>
          <w:trHeight w:val="20"/>
        </w:trPr>
        <w:tc>
          <w:tcPr>
            <w:tcW w:w="9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0" w:lineRule="exact"/>
        <w:rPr>
          <w:sz w:val="20"/>
          <w:szCs w:val="20"/>
          <w:color w:val="auto"/>
        </w:rPr>
      </w:pPr>
    </w:p>
    <w:p>
      <w:pPr>
        <w:ind w:left="1020" w:hanging="973"/>
        <w:spacing w:after="0" w:line="311" w:lineRule="auto"/>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225" w:lineRule="exact"/>
        <w:rPr>
          <w:sz w:val="20"/>
          <w:szCs w:val="20"/>
          <w:color w:val="auto"/>
        </w:rPr>
      </w:pPr>
    </w:p>
    <w:p>
      <w:pPr>
        <w:ind w:left="1020" w:right="200" w:hanging="973"/>
        <w:spacing w:after="0" w:line="311" w:lineRule="auto"/>
        <w:tabs>
          <w:tab w:leader="none" w:pos="10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18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   Included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14484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15" w:lineRule="exact"/>
        <w:rPr>
          <w:sz w:val="20"/>
          <w:szCs w:val="20"/>
          <w:color w:val="auto"/>
        </w:rPr>
      </w:pPr>
    </w:p>
    <w:p>
      <w:pPr>
        <w:ind w:right="100" w:firstLine="5"/>
        <w:spacing w:after="0" w:line="253" w:lineRule="auto"/>
        <w:tabs>
          <w:tab w:leader="none" w:pos="3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Pursuant to Securities and Exchange Commission Release No. 33-8238, this certification will be treated as “accompanying” this Quarterly Report on Form 10-Q and not “filed” as part of such report for purposes of Section 18 of the Securities Exchange Act of 1934, or otherwise subject to the liability of Section 18 of the Securities Exchange Act of 1934 and this certification will not be deemed to be incorporated by reference into any filing under the Securities Act of 1933 or the Securities Exchange Act of 1934,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517" w:right="14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43" w:lineRule="exact"/>
        <w:rPr>
          <w:sz w:val="20"/>
          <w:szCs w:val="20"/>
          <w:color w:val="auto"/>
        </w:rPr>
      </w:pPr>
    </w:p>
    <w:p>
      <w:pPr>
        <w:ind w:right="60" w:firstLine="648"/>
        <w:spacing w:after="0" w:line="26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 and the undersigned also has signed this report in her capacity as the Registrant’s Principal Financial Officer.</w:t>
      </w:r>
    </w:p>
    <w:p>
      <w:pPr>
        <w:spacing w:after="0" w:line="237"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CITI TRENDS, INC.</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Date: June 7, 2023</w:t>
      </w:r>
    </w:p>
    <w:p>
      <w:pPr>
        <w:spacing w:after="0" w:line="302" w:lineRule="exact"/>
        <w:rPr>
          <w:sz w:val="20"/>
          <w:szCs w:val="20"/>
          <w:color w:val="auto"/>
        </w:rPr>
      </w:pPr>
    </w:p>
    <w:tbl>
      <w:tblPr>
        <w:tblLayout w:type="fixed"/>
        <w:tblInd w:w="456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3880" w:type="dxa"/>
            <w:vAlign w:val="bottom"/>
          </w:tcPr>
          <w:p>
            <w:pPr>
              <w:spacing w:after="0"/>
              <w:rPr>
                <w:sz w:val="20"/>
                <w:szCs w:val="20"/>
                <w:color w:val="auto"/>
              </w:rPr>
            </w:pPr>
            <w:r>
              <w:rPr>
                <w:rFonts w:ascii="Arial" w:cs="Arial" w:eastAsia="Arial" w:hAnsi="Arial"/>
                <w:sz w:val="16"/>
                <w:szCs w:val="16"/>
                <w:color w:val="auto"/>
              </w:rPr>
              <w:t>/s/ Heather Plutino</w:t>
            </w:r>
          </w:p>
        </w:tc>
        <w:tc>
          <w:tcPr>
            <w:tcW w:w="0" w:type="dxa"/>
            <w:vAlign w:val="bottom"/>
          </w:tcPr>
          <w:p>
            <w:pPr>
              <w:spacing w:after="0"/>
              <w:rPr>
                <w:sz w:val="1"/>
                <w:szCs w:val="1"/>
                <w:color w:val="auto"/>
              </w:rPr>
            </w:pPr>
          </w:p>
        </w:tc>
      </w:tr>
      <w:tr>
        <w:trPr>
          <w:trHeight w:val="33"/>
        </w:trPr>
        <w:tc>
          <w:tcPr>
            <w:tcW w:w="680" w:type="dxa"/>
            <w:vAlign w:val="bottom"/>
            <w:vMerge w:val="restart"/>
          </w:tcPr>
          <w:p>
            <w:pPr>
              <w:spacing w:after="0"/>
              <w:rPr>
                <w:sz w:val="20"/>
                <w:szCs w:val="20"/>
                <w:color w:val="auto"/>
              </w:rPr>
            </w:pPr>
            <w:r>
              <w:rPr>
                <w:rFonts w:ascii="Arial" w:cs="Arial" w:eastAsia="Arial" w:hAnsi="Arial"/>
                <w:sz w:val="16"/>
                <w:szCs w:val="16"/>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80" w:type="dxa"/>
            <w:vAlign w:val="bottom"/>
            <w:vMerge w:val="continue"/>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Heather Plutino</w:t>
            </w:r>
          </w:p>
        </w:tc>
        <w:tc>
          <w:tcPr>
            <w:tcW w:w="0" w:type="dxa"/>
            <w:vAlign w:val="bottom"/>
          </w:tcPr>
          <w:p>
            <w:pPr>
              <w:spacing w:after="0"/>
              <w:rPr>
                <w:sz w:val="1"/>
                <w:szCs w:val="1"/>
                <w:color w:val="auto"/>
              </w:rPr>
            </w:pPr>
          </w:p>
        </w:tc>
      </w:tr>
      <w:tr>
        <w:trPr>
          <w:trHeight w:val="243"/>
        </w:trPr>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388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57950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7" w:right="1399" w:bottom="1440" w:gutter="0" w:footer="0" w:header="0"/>
        </w:sectPr>
      </w:pPr>
    </w:p>
    <w:bookmarkStart w:id="17" w:name="page18"/>
    <w:bookmarkEnd w:id="17"/>
    <w:p>
      <w:pPr>
        <w:jc w:val="center"/>
        <w:ind w:left="1660" w:right="560"/>
        <w:spacing w:after="0" w:line="256" w:lineRule="auto"/>
        <w:rPr>
          <w:sz w:val="20"/>
          <w:szCs w:val="20"/>
          <w:color w:val="auto"/>
        </w:rPr>
      </w:pPr>
      <w:r>
        <w:rPr>
          <w:rFonts w:ascii="Arial" w:cs="Arial" w:eastAsia="Arial" w:hAnsi="Arial"/>
          <w:sz w:val="22"/>
          <w:szCs w:val="22"/>
          <w:b w:val="1"/>
          <w:bCs w:val="1"/>
          <w:u w:val="single" w:color="auto"/>
          <w:color w:val="auto"/>
        </w:rPr>
        <w:t>EMPLOYMENT NON-COMPETE, NON-SOLICIT AND CONFIDENTIALITY AGREEMENT</w:t>
      </w:r>
    </w:p>
    <w:p>
      <w:pPr>
        <w:spacing w:after="0" w:line="155" w:lineRule="exact"/>
        <w:rPr>
          <w:sz w:val="20"/>
          <w:szCs w:val="20"/>
          <w:color w:val="auto"/>
        </w:rPr>
      </w:pPr>
    </w:p>
    <w:p>
      <w:pPr>
        <w:ind w:left="200" w:right="219" w:firstLine="648"/>
        <w:spacing w:after="0" w:line="238" w:lineRule="auto"/>
        <w:rPr>
          <w:sz w:val="20"/>
          <w:szCs w:val="20"/>
          <w:color w:val="auto"/>
        </w:rPr>
      </w:pPr>
      <w:r>
        <w:rPr>
          <w:rFonts w:ascii="Arial" w:cs="Arial" w:eastAsia="Arial" w:hAnsi="Arial"/>
          <w:sz w:val="22"/>
          <w:szCs w:val="22"/>
          <w:color w:val="auto"/>
        </w:rPr>
        <w:t>This EMPLOYMENT NON-COMPETE, NON-SOLICIT AND CONFIDENTIALITY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Citi Trends, Inc., including its subsidiaries, affiliates, divisions, successors, and related entities (“</w:t>
      </w:r>
      <w:r>
        <w:rPr>
          <w:rFonts w:ascii="Arial" w:cs="Arial" w:eastAsia="Arial" w:hAnsi="Arial"/>
          <w:sz w:val="22"/>
          <w:szCs w:val="22"/>
          <w:u w:val="single" w:color="auto"/>
          <w:color w:val="auto"/>
        </w:rPr>
        <w:t>Company</w:t>
      </w:r>
      <w:r>
        <w:rPr>
          <w:rFonts w:ascii="Arial" w:cs="Arial" w:eastAsia="Arial" w:hAnsi="Arial"/>
          <w:sz w:val="22"/>
          <w:szCs w:val="22"/>
          <w:color w:val="auto"/>
        </w:rPr>
        <w:t>”), and Vivek Bhargava (“</w:t>
      </w:r>
      <w:r>
        <w:rPr>
          <w:rFonts w:ascii="Arial" w:cs="Arial" w:eastAsia="Arial" w:hAnsi="Arial"/>
          <w:sz w:val="22"/>
          <w:szCs w:val="22"/>
          <w:u w:val="single" w:color="auto"/>
          <w:color w:val="auto"/>
        </w:rPr>
        <w:t>Employee</w:t>
      </w:r>
      <w:r>
        <w:rPr>
          <w:rFonts w:ascii="Arial" w:cs="Arial" w:eastAsia="Arial" w:hAnsi="Arial"/>
          <w:sz w:val="22"/>
          <w:szCs w:val="22"/>
          <w:color w:val="auto"/>
        </w:rPr>
        <w:t>”), effective as of the date signed by Employee below.</w:t>
      </w:r>
    </w:p>
    <w:p>
      <w:pPr>
        <w:spacing w:after="0" w:line="185" w:lineRule="exact"/>
        <w:rPr>
          <w:sz w:val="20"/>
          <w:szCs w:val="20"/>
          <w:color w:val="auto"/>
        </w:rPr>
      </w:pPr>
    </w:p>
    <w:p>
      <w:pPr>
        <w:jc w:val="both"/>
        <w:ind w:left="200" w:right="219" w:firstLine="647"/>
        <w:spacing w:after="0" w:line="238" w:lineRule="auto"/>
        <w:rPr>
          <w:sz w:val="20"/>
          <w:szCs w:val="20"/>
          <w:color w:val="auto"/>
        </w:rPr>
      </w:pPr>
      <w:r>
        <w:rPr>
          <w:rFonts w:ascii="Arial" w:cs="Arial" w:eastAsia="Arial" w:hAnsi="Arial"/>
          <w:sz w:val="22"/>
          <w:szCs w:val="22"/>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85" w:lineRule="exact"/>
        <w:rPr>
          <w:sz w:val="20"/>
          <w:szCs w:val="20"/>
          <w:color w:val="auto"/>
        </w:rPr>
      </w:pPr>
    </w:p>
    <w:p>
      <w:pPr>
        <w:jc w:val="both"/>
        <w:ind w:left="200" w:right="219" w:firstLine="8"/>
        <w:spacing w:after="0" w:line="246" w:lineRule="auto"/>
        <w:tabs>
          <w:tab w:leader="none" w:pos="849" w:val="left"/>
        </w:tabs>
        <w:numPr>
          <w:ilvl w:val="0"/>
          <w:numId w:val="17"/>
        </w:numPr>
        <w:rPr>
          <w:rFonts w:ascii="Arial" w:cs="Arial" w:eastAsia="Arial" w:hAnsi="Arial"/>
          <w:sz w:val="21"/>
          <w:szCs w:val="21"/>
          <w:color w:val="auto"/>
        </w:rPr>
      </w:pPr>
      <w:r>
        <w:rPr>
          <w:rFonts w:ascii="Arial" w:cs="Arial" w:eastAsia="Arial" w:hAnsi="Arial"/>
          <w:sz w:val="21"/>
          <w:szCs w:val="21"/>
          <w:u w:val="single" w:color="auto"/>
          <w:color w:val="auto"/>
        </w:rPr>
        <w:t>Employment; Scope of Services</w:t>
      </w:r>
      <w:r>
        <w:rPr>
          <w:rFonts w:ascii="Arial" w:cs="Arial" w:eastAsia="Arial" w:hAnsi="Arial"/>
          <w:sz w:val="21"/>
          <w:szCs w:val="21"/>
          <w:color w:val="auto"/>
        </w:rPr>
        <w:t>. Company shall employ and/or continue to employ Employee, and Employee shall be employed and/or continue to be employed by Company, as Senior Vice President, Supply Chain.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193" w:lineRule="exact"/>
        <w:rPr>
          <w:rFonts w:ascii="Arial" w:cs="Arial" w:eastAsia="Arial" w:hAnsi="Arial"/>
          <w:sz w:val="21"/>
          <w:szCs w:val="21"/>
          <w:color w:val="auto"/>
        </w:rPr>
      </w:pPr>
    </w:p>
    <w:p>
      <w:pPr>
        <w:jc w:val="both"/>
        <w:ind w:left="200" w:right="219" w:firstLine="8"/>
        <w:spacing w:after="0" w:line="279" w:lineRule="auto"/>
        <w:tabs>
          <w:tab w:leader="none" w:pos="849"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Arial" w:cs="Arial" w:eastAsia="Arial" w:hAnsi="Arial"/>
          <w:sz w:val="19"/>
          <w:szCs w:val="19"/>
          <w:b w:val="1"/>
          <w:bCs w:val="1"/>
          <w:color w:val="auto"/>
        </w:rPr>
        <w:t>Separation Date</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860" w:hanging="652"/>
        <w:spacing w:after="0"/>
        <w:tabs>
          <w:tab w:leader="none" w:pos="860" w:val="left"/>
        </w:tabs>
        <w:numPr>
          <w:ilvl w:val="0"/>
          <w:numId w:val="17"/>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200" w:right="219" w:firstLine="656"/>
        <w:spacing w:after="0" w:line="270" w:lineRule="auto"/>
        <w:tabs>
          <w:tab w:leader="none" w:pos="1497" w:val="left"/>
        </w:tabs>
        <w:numPr>
          <w:ilvl w:val="1"/>
          <w:numId w:val="17"/>
        </w:numPr>
        <w:rPr>
          <w:rFonts w:ascii="Arial" w:cs="Arial" w:eastAsia="Arial" w:hAnsi="Arial"/>
          <w:sz w:val="19"/>
          <w:szCs w:val="19"/>
          <w:color w:val="auto"/>
        </w:rPr>
      </w:pPr>
      <w:r>
        <w:rPr>
          <w:rFonts w:ascii="Arial" w:cs="Arial" w:eastAsia="Arial" w:hAnsi="Arial"/>
          <w:sz w:val="19"/>
          <w:szCs w:val="19"/>
          <w:color w:val="auto"/>
        </w:rPr>
        <w:t>Employee acknowledges and agrees that: (1) the retail sale of value-priced/off-price family apparel is an extremely competitive industry; (2) Company has an ongoing strategy for expansion of its business in the United States; (3) Company’s major competitors operate throughout the United States and some internationally; and (4) because of Employee’s position as Merchandise Manager he/she will have access to, knowledge of, and be entrusted with, highly sensitive and competitive Confidential Information and Trade Secrets (as defined in subsection</w:t>
      </w:r>
    </w:p>
    <w:p>
      <w:pPr>
        <w:spacing w:after="0" w:line="1" w:lineRule="exact"/>
        <w:rPr>
          <w:rFonts w:ascii="Arial" w:cs="Arial" w:eastAsia="Arial" w:hAnsi="Arial"/>
          <w:sz w:val="19"/>
          <w:szCs w:val="19"/>
          <w:color w:val="auto"/>
        </w:rPr>
      </w:pPr>
    </w:p>
    <w:p>
      <w:pPr>
        <w:jc w:val="both"/>
        <w:ind w:left="200" w:right="219"/>
        <w:spacing w:after="0" w:line="244" w:lineRule="auto"/>
        <w:rPr>
          <w:rFonts w:ascii="Arial" w:cs="Arial" w:eastAsia="Arial" w:hAnsi="Arial"/>
          <w:sz w:val="19"/>
          <w:szCs w:val="19"/>
          <w:color w:val="auto"/>
        </w:rPr>
      </w:pPr>
      <w:r>
        <w:rPr>
          <w:rFonts w:ascii="Arial" w:cs="Arial" w:eastAsia="Arial" w:hAnsi="Arial"/>
          <w:sz w:val="21"/>
          <w:szCs w:val="21"/>
          <w:color w:val="auto"/>
        </w:rPr>
        <w:t>(b)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176" w:lineRule="exact"/>
        <w:rPr>
          <w:rFonts w:ascii="Arial" w:cs="Arial" w:eastAsia="Arial" w:hAnsi="Arial"/>
          <w:sz w:val="19"/>
          <w:szCs w:val="19"/>
          <w:color w:val="auto"/>
        </w:rPr>
      </w:pPr>
    </w:p>
    <w:p>
      <w:pPr>
        <w:jc w:val="both"/>
        <w:ind w:left="200" w:right="219" w:firstLine="656"/>
        <w:spacing w:after="0" w:line="300" w:lineRule="auto"/>
        <w:tabs>
          <w:tab w:leader="none" w:pos="1497" w:val="left"/>
        </w:tabs>
        <w:numPr>
          <w:ilvl w:val="1"/>
          <w:numId w:val="17"/>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and includes any and all Company data and information in any form whatsoever (tangible or intangible) which: (1) relates to the business of Company, irrespective of whether the data or information constitutes a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311785</wp:posOffset>
            </wp:positionV>
            <wp:extent cx="56064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18" w:name="page19"/>
    <w:bookmarkEnd w:id="18"/>
    <w:p>
      <w:pPr>
        <w:jc w:val="both"/>
        <w:ind w:left="200" w:right="219"/>
        <w:spacing w:after="0" w:line="272" w:lineRule="auto"/>
        <w:rPr>
          <w:sz w:val="20"/>
          <w:szCs w:val="20"/>
          <w:color w:val="auto"/>
        </w:rPr>
      </w:pPr>
      <w:r>
        <w:rPr>
          <w:rFonts w:ascii="Arial" w:cs="Arial" w:eastAsia="Arial" w:hAnsi="Arial"/>
          <w:sz w:val="19"/>
          <w:szCs w:val="19"/>
          <w:color w:val="auto"/>
        </w:rPr>
        <w:t>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Arial" w:cs="Arial" w:eastAsia="Arial" w:hAnsi="Arial"/>
          <w:sz w:val="19"/>
          <w:szCs w:val="19"/>
          <w:b w:val="1"/>
          <w:bCs w:val="1"/>
          <w:color w:val="auto"/>
        </w:rPr>
        <w:t>Trade</w:t>
      </w:r>
      <w:r>
        <w:rPr>
          <w:rFonts w:ascii="Arial" w:cs="Arial" w:eastAsia="Arial" w:hAnsi="Arial"/>
          <w:sz w:val="19"/>
          <w:szCs w:val="19"/>
          <w:color w:val="auto"/>
        </w:rPr>
        <w:t xml:space="preserve"> </w:t>
      </w:r>
      <w:r>
        <w:rPr>
          <w:rFonts w:ascii="Arial" w:cs="Arial" w:eastAsia="Arial" w:hAnsi="Arial"/>
          <w:sz w:val="19"/>
          <w:szCs w:val="19"/>
          <w:b w:val="1"/>
          <w:bCs w:val="1"/>
          <w:color w:val="auto"/>
        </w:rPr>
        <w:t>Secret</w:t>
      </w:r>
      <w:r>
        <w:rPr>
          <w:rFonts w:ascii="Arial" w:cs="Arial" w:eastAsia="Arial" w:hAnsi="Arial"/>
          <w:sz w:val="19"/>
          <w:szCs w:val="19"/>
          <w:color w:val="auto"/>
        </w:rPr>
        <w:t>” means any and all information, knowledge or data in any form whatsoever, tangible or</w:t>
      </w:r>
      <w:r>
        <w:rPr>
          <w:rFonts w:ascii="Arial" w:cs="Arial" w:eastAsia="Arial" w:hAnsi="Arial"/>
          <w:sz w:val="19"/>
          <w:szCs w:val="19"/>
          <w:b w:val="1"/>
          <w:bCs w:val="1"/>
          <w:color w:val="auto"/>
        </w:rPr>
        <w:t xml:space="preserve"> </w:t>
      </w:r>
      <w:r>
        <w:rPr>
          <w:rFonts w:ascii="Arial" w:cs="Arial" w:eastAsia="Arial" w:hAnsi="Arial"/>
          <w:sz w:val="19"/>
          <w:szCs w:val="19"/>
          <w:color w:val="auto"/>
        </w:rPr>
        <w:t>intangible, that is considered a trade secret under applicable law. Employee acknowledges and agrees that all Confidential Information and Trade Secrets are and remain the sole and exclusive property of Company.</w:t>
      </w:r>
    </w:p>
    <w:p>
      <w:pPr>
        <w:spacing w:after="0" w:line="200" w:lineRule="exact"/>
        <w:rPr>
          <w:sz w:val="20"/>
          <w:szCs w:val="20"/>
          <w:color w:val="auto"/>
        </w:rPr>
      </w:pPr>
    </w:p>
    <w:p>
      <w:pPr>
        <w:spacing w:after="0" w:line="208" w:lineRule="exact"/>
        <w:rPr>
          <w:sz w:val="20"/>
          <w:szCs w:val="20"/>
          <w:color w:val="auto"/>
        </w:rPr>
      </w:pPr>
    </w:p>
    <w:p>
      <w:pPr>
        <w:jc w:val="both"/>
        <w:ind w:left="200" w:right="219" w:firstLine="656"/>
        <w:spacing w:after="0" w:line="270" w:lineRule="auto"/>
        <w:tabs>
          <w:tab w:leader="none" w:pos="1497" w:val="left"/>
        </w:tabs>
        <w:numPr>
          <w:ilvl w:val="1"/>
          <w:numId w:val="18"/>
        </w:numPr>
        <w:rPr>
          <w:rFonts w:ascii="Arial" w:cs="Arial" w:eastAsia="Arial" w:hAnsi="Arial"/>
          <w:sz w:val="19"/>
          <w:szCs w:val="19"/>
          <w:color w:val="auto"/>
        </w:rPr>
      </w:pPr>
      <w:r>
        <w:rPr>
          <w:rFonts w:ascii="Arial" w:cs="Arial" w:eastAsia="Arial" w:hAnsi="Arial"/>
          <w:sz w:val="19"/>
          <w:szCs w:val="19"/>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w:t>
      </w:r>
    </w:p>
    <w:p>
      <w:pPr>
        <w:spacing w:after="0" w:line="1" w:lineRule="exact"/>
        <w:rPr>
          <w:rFonts w:ascii="Arial" w:cs="Arial" w:eastAsia="Arial" w:hAnsi="Arial"/>
          <w:sz w:val="19"/>
          <w:szCs w:val="19"/>
          <w:color w:val="auto"/>
        </w:rPr>
      </w:pPr>
    </w:p>
    <w:p>
      <w:pPr>
        <w:jc w:val="both"/>
        <w:ind w:left="200" w:right="219" w:firstLine="8"/>
        <w:spacing w:after="0" w:line="243" w:lineRule="auto"/>
        <w:tabs>
          <w:tab w:leader="none" w:pos="543" w:val="left"/>
        </w:tabs>
        <w:numPr>
          <w:ilvl w:val="0"/>
          <w:numId w:val="19"/>
        </w:numPr>
        <w:rPr>
          <w:rFonts w:ascii="Arial" w:cs="Arial" w:eastAsia="Arial" w:hAnsi="Arial"/>
          <w:sz w:val="21"/>
          <w:szCs w:val="21"/>
          <w:color w:val="auto"/>
        </w:rPr>
      </w:pPr>
      <w:r>
        <w:rPr>
          <w:rFonts w:ascii="Arial" w:cs="Arial" w:eastAsia="Arial" w:hAnsi="Arial"/>
          <w:sz w:val="21"/>
          <w:szCs w:val="21"/>
          <w:color w:val="auto"/>
        </w:rPr>
        <w:t>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200" w:lineRule="exact"/>
        <w:rPr>
          <w:rFonts w:ascii="Arial" w:cs="Arial" w:eastAsia="Arial" w:hAnsi="Arial"/>
          <w:sz w:val="21"/>
          <w:szCs w:val="21"/>
          <w:color w:val="auto"/>
        </w:rPr>
      </w:pPr>
    </w:p>
    <w:p>
      <w:pPr>
        <w:jc w:val="both"/>
        <w:ind w:left="200" w:right="219" w:firstLine="656"/>
        <w:spacing w:after="0" w:line="273" w:lineRule="auto"/>
        <w:tabs>
          <w:tab w:leader="none" w:pos="1497" w:val="left"/>
        </w:tabs>
        <w:numPr>
          <w:ilvl w:val="1"/>
          <w:numId w:val="19"/>
        </w:numPr>
        <w:rPr>
          <w:rFonts w:ascii="Arial" w:cs="Arial" w:eastAsia="Arial" w:hAnsi="Arial"/>
          <w:sz w:val="19"/>
          <w:szCs w:val="19"/>
          <w:color w:val="auto"/>
        </w:rPr>
      </w:pPr>
      <w:r>
        <w:rPr>
          <w:rFonts w:ascii="Arial" w:cs="Arial" w:eastAsia="Arial" w:hAnsi="Arial"/>
          <w:sz w:val="19"/>
          <w:szCs w:val="19"/>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68" w:lineRule="exact"/>
        <w:rPr>
          <w:rFonts w:ascii="Arial" w:cs="Arial" w:eastAsia="Arial" w:hAnsi="Arial"/>
          <w:sz w:val="19"/>
          <w:szCs w:val="19"/>
          <w:color w:val="auto"/>
        </w:rPr>
      </w:pPr>
    </w:p>
    <w:p>
      <w:pPr>
        <w:jc w:val="both"/>
        <w:ind w:left="200" w:right="219" w:firstLine="656"/>
        <w:spacing w:after="0" w:line="275" w:lineRule="auto"/>
        <w:tabs>
          <w:tab w:leader="none" w:pos="1497" w:val="left"/>
        </w:tabs>
        <w:numPr>
          <w:ilvl w:val="1"/>
          <w:numId w:val="19"/>
        </w:numPr>
        <w:rPr>
          <w:rFonts w:ascii="Arial" w:cs="Arial" w:eastAsia="Arial" w:hAnsi="Arial"/>
          <w:sz w:val="19"/>
          <w:szCs w:val="19"/>
          <w:color w:val="auto"/>
        </w:rPr>
      </w:pPr>
      <w:r>
        <w:rPr>
          <w:rFonts w:ascii="Arial" w:cs="Arial" w:eastAsia="Arial" w:hAnsi="Arial"/>
          <w:sz w:val="19"/>
          <w:szCs w:val="19"/>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327660</wp:posOffset>
            </wp:positionV>
            <wp:extent cx="56064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5606415" cy="17145"/>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19" w:name="page20"/>
    <w:bookmarkEnd w:id="19"/>
    <w:p>
      <w:pPr>
        <w:ind w:left="200" w:right="219"/>
        <w:spacing w:after="0" w:line="250" w:lineRule="auto"/>
        <w:rPr>
          <w:sz w:val="20"/>
          <w:szCs w:val="20"/>
          <w:color w:val="auto"/>
        </w:rPr>
      </w:pPr>
      <w:r>
        <w:rPr>
          <w:rFonts w:ascii="Arial" w:cs="Arial" w:eastAsia="Arial" w:hAnsi="Arial"/>
          <w:sz w:val="22"/>
          <w:szCs w:val="22"/>
          <w:color w:val="auto"/>
        </w:rPr>
        <w:t>proceeding if Employee (A) files any document containing the trade secret under seal; and (B) does not disclose the trade secret, except as permitted by court order.</w:t>
      </w:r>
    </w:p>
    <w:p>
      <w:pPr>
        <w:spacing w:after="0" w:line="175" w:lineRule="exact"/>
        <w:rPr>
          <w:sz w:val="20"/>
          <w:szCs w:val="20"/>
          <w:color w:val="auto"/>
        </w:rPr>
      </w:pPr>
    </w:p>
    <w:p>
      <w:pPr>
        <w:jc w:val="both"/>
        <w:ind w:left="200" w:right="219" w:firstLine="8"/>
        <w:spacing w:after="0" w:line="233" w:lineRule="auto"/>
        <w:tabs>
          <w:tab w:leader="none" w:pos="849"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Covenant Not to Compete</w:t>
      </w:r>
      <w:r>
        <w:rPr>
          <w:rFonts w:ascii="Arial" w:cs="Arial" w:eastAsia="Arial" w:hAnsi="Arial"/>
          <w:sz w:val="22"/>
          <w:szCs w:val="22"/>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206" w:lineRule="exact"/>
        <w:rPr>
          <w:sz w:val="20"/>
          <w:szCs w:val="20"/>
          <w:color w:val="auto"/>
        </w:rPr>
      </w:pPr>
    </w:p>
    <w:p>
      <w:pPr>
        <w:jc w:val="both"/>
        <w:ind w:left="200" w:right="219"/>
        <w:spacing w:after="0" w:line="233" w:lineRule="auto"/>
        <w:rPr>
          <w:sz w:val="20"/>
          <w:szCs w:val="20"/>
          <w:color w:val="auto"/>
        </w:rPr>
      </w:pPr>
      <w:r>
        <w:rPr>
          <w:rFonts w:ascii="Arial" w:cs="Arial" w:eastAsia="Arial" w:hAnsi="Arial"/>
          <w:sz w:val="22"/>
          <w:szCs w:val="22"/>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206" w:lineRule="exact"/>
        <w:rPr>
          <w:sz w:val="20"/>
          <w:szCs w:val="20"/>
          <w:color w:val="auto"/>
        </w:rPr>
      </w:pPr>
    </w:p>
    <w:p>
      <w:pPr>
        <w:jc w:val="both"/>
        <w:ind w:left="200" w:right="219"/>
        <w:spacing w:after="0" w:line="243" w:lineRule="auto"/>
        <w:rPr>
          <w:sz w:val="20"/>
          <w:szCs w:val="20"/>
          <w:color w:val="auto"/>
        </w:rPr>
      </w:pPr>
      <w:r>
        <w:rPr>
          <w:rFonts w:ascii="Arial" w:cs="Arial" w:eastAsia="Arial" w:hAnsi="Arial"/>
          <w:sz w:val="21"/>
          <w:szCs w:val="21"/>
          <w:color w:val="auto"/>
        </w:rPr>
        <w:t>In light of the foregoing, Employee agrees that he/she will not, at any point during his/her employment with Company, work for or engage or participate in any business, enterprise, or endeavor that in any way competes with any aspect of Company’s business or that otherwise conflicts with Company’s interests. In addition, for a period of one (1)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 Company; or (b) perform or provide any services which are the same as or substantially similar to any of the services which Employee performed or provided for the Company, for or on behalf of any Competitor. For purposes of this Section 4, the term “</w:t>
      </w:r>
      <w:r>
        <w:rPr>
          <w:rFonts w:ascii="Arial" w:cs="Arial" w:eastAsia="Arial" w:hAnsi="Arial"/>
          <w:sz w:val="21"/>
          <w:szCs w:val="21"/>
          <w:b w:val="1"/>
          <w:bCs w:val="1"/>
          <w:color w:val="auto"/>
        </w:rPr>
        <w:t>Competitor</w:t>
      </w:r>
      <w:r>
        <w:rPr>
          <w:rFonts w:ascii="Arial" w:cs="Arial" w:eastAsia="Arial" w:hAnsi="Arial"/>
          <w:sz w:val="21"/>
          <w:szCs w:val="21"/>
          <w:color w:val="auto"/>
        </w:rPr>
        <w:t>” shall mean only the following businesses, commonly known as: Cato, TJX (including without limitation TJMAXX and Marshalls), Burlington Stores, Gabe’s/Rugged Wearhouse, and Ross Stores.</w:t>
      </w:r>
    </w:p>
    <w:p>
      <w:pPr>
        <w:spacing w:after="0" w:line="194" w:lineRule="exact"/>
        <w:rPr>
          <w:sz w:val="20"/>
          <w:szCs w:val="20"/>
          <w:color w:val="auto"/>
        </w:rPr>
      </w:pPr>
    </w:p>
    <w:p>
      <w:pPr>
        <w:jc w:val="both"/>
        <w:ind w:left="200" w:right="219" w:firstLine="8"/>
        <w:spacing w:after="0" w:line="275" w:lineRule="auto"/>
        <w:tabs>
          <w:tab w:leader="none" w:pos="84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Covenant Not to Solicit</w:t>
      </w:r>
      <w:r>
        <w:rPr>
          <w:rFonts w:ascii="Arial" w:cs="Arial" w:eastAsia="Arial" w:hAnsi="Arial"/>
          <w:sz w:val="19"/>
          <w:szCs w:val="19"/>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 defined in Section 4 of this Agreement). As used herein, “</w:t>
      </w:r>
      <w:r>
        <w:rPr>
          <w:rFonts w:ascii="Arial" w:cs="Arial" w:eastAsia="Arial" w:hAnsi="Arial"/>
          <w:sz w:val="19"/>
          <w:szCs w:val="19"/>
          <w:b w:val="1"/>
          <w:bCs w:val="1"/>
          <w:color w:val="auto"/>
        </w:rPr>
        <w:t>Merchandise Vendors</w:t>
      </w:r>
      <w:r>
        <w:rPr>
          <w:rFonts w:ascii="Arial" w:cs="Arial" w:eastAsia="Arial" w:hAnsi="Arial"/>
          <w:sz w:val="19"/>
          <w:szCs w:val="19"/>
          <w:color w:val="auto"/>
        </w:rPr>
        <w:t>” means and includes any person or entity who/that has been a vendor or supplier of merchandise and/or inventory to Company during the eighteen (18) months immediately preceding the Separation Date or to whom/which Company is actively soliciting for the provision of merchandise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327660</wp:posOffset>
            </wp:positionV>
            <wp:extent cx="56064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20" w:name="page21"/>
    <w:bookmarkEnd w:id="20"/>
    <w:p>
      <w:pPr>
        <w:jc w:val="both"/>
        <w:ind w:left="200" w:right="219"/>
        <w:spacing w:after="0" w:line="273" w:lineRule="auto"/>
        <w:rPr>
          <w:sz w:val="20"/>
          <w:szCs w:val="20"/>
          <w:color w:val="auto"/>
        </w:rPr>
      </w:pPr>
      <w:r>
        <w:rPr>
          <w:rFonts w:ascii="Arial" w:cs="Arial" w:eastAsia="Arial" w:hAnsi="Arial"/>
          <w:sz w:val="19"/>
          <w:szCs w:val="19"/>
          <w:color w:val="auto"/>
        </w:rPr>
        <w:t>inventory, and with whom/which Employee had “material contact.” For purposes of this agreement, “</w:t>
      </w:r>
      <w:r>
        <w:rPr>
          <w:rFonts w:ascii="Arial" w:cs="Arial" w:eastAsia="Arial" w:hAnsi="Arial"/>
          <w:sz w:val="19"/>
          <w:szCs w:val="19"/>
          <w:b w:val="1"/>
          <w:bCs w:val="1"/>
          <w:color w:val="auto"/>
        </w:rPr>
        <w:t>material contact</w:t>
      </w:r>
      <w:r>
        <w:rPr>
          <w:rFonts w:ascii="Arial" w:cs="Arial" w:eastAsia="Arial" w:hAnsi="Arial"/>
          <w:sz w:val="19"/>
          <w:szCs w:val="19"/>
          <w:color w:val="auto"/>
        </w:rPr>
        <w:t>” means contact between Employee and an existing or prospective Merchandise Vendor: (a) 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61" w:lineRule="exact"/>
        <w:rPr>
          <w:sz w:val="20"/>
          <w:szCs w:val="20"/>
          <w:color w:val="auto"/>
        </w:rPr>
      </w:pPr>
    </w:p>
    <w:p>
      <w:pPr>
        <w:jc w:val="both"/>
        <w:ind w:left="200" w:right="219"/>
        <w:spacing w:after="0" w:line="287" w:lineRule="auto"/>
        <w:rPr>
          <w:sz w:val="20"/>
          <w:szCs w:val="20"/>
          <w:color w:val="auto"/>
        </w:rPr>
      </w:pPr>
      <w:r>
        <w:rPr>
          <w:rFonts w:ascii="Arial" w:cs="Arial" w:eastAsia="Arial" w:hAnsi="Arial"/>
          <w:sz w:val="19"/>
          <w:szCs w:val="19"/>
          <w:color w:val="auto"/>
        </w:rPr>
        <w:t>Employee specifically acknowledges and agrees that, as Merchandise Manager,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56" w:lineRule="exact"/>
        <w:rPr>
          <w:sz w:val="20"/>
          <w:szCs w:val="20"/>
          <w:color w:val="auto"/>
        </w:rPr>
      </w:pPr>
    </w:p>
    <w:p>
      <w:pPr>
        <w:jc w:val="both"/>
        <w:ind w:left="200" w:right="219" w:firstLine="8"/>
        <w:spacing w:after="0" w:line="235" w:lineRule="auto"/>
        <w:tabs>
          <w:tab w:leader="none" w:pos="849"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Covenant Not to Recruit Personnel</w:t>
      </w:r>
      <w:r>
        <w:rPr>
          <w:rFonts w:ascii="Arial" w:cs="Arial" w:eastAsia="Arial" w:hAnsi="Arial"/>
          <w:sz w:val="22"/>
          <w:szCs w:val="22"/>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201" w:lineRule="exact"/>
        <w:rPr>
          <w:rFonts w:ascii="Arial" w:cs="Arial" w:eastAsia="Arial" w:hAnsi="Arial"/>
          <w:sz w:val="22"/>
          <w:szCs w:val="22"/>
          <w:color w:val="auto"/>
        </w:rPr>
      </w:pPr>
    </w:p>
    <w:p>
      <w:pPr>
        <w:jc w:val="both"/>
        <w:ind w:left="200" w:right="219" w:firstLine="8"/>
        <w:spacing w:after="0" w:line="272" w:lineRule="auto"/>
        <w:tabs>
          <w:tab w:leader="none" w:pos="84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“blue-pencil,” modify, and/or reform any such covenant (in whole or in part) so as to cure the over-breadth or to otherwise render the covenant enforceable.</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00" w:right="219" w:firstLine="8"/>
        <w:spacing w:after="0"/>
        <w:tabs>
          <w:tab w:leader="none" w:pos="849"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Survival of Covenants</w:t>
      </w:r>
      <w:r>
        <w:rPr>
          <w:rFonts w:ascii="Arial" w:cs="Arial" w:eastAsia="Arial" w:hAnsi="Arial"/>
          <w:sz w:val="22"/>
          <w:szCs w:val="22"/>
          <w:color w:val="auto"/>
        </w:rPr>
        <w:t>. All rights and covenants contained in Sections 3, 4, 5, and 6 of this Agreement, and all remedies relating thereto, shall survive the termination of this Agreement for any reason.</w:t>
      </w:r>
    </w:p>
    <w:p>
      <w:pPr>
        <w:spacing w:after="0" w:line="199" w:lineRule="exact"/>
        <w:rPr>
          <w:rFonts w:ascii="Arial" w:cs="Arial" w:eastAsia="Arial" w:hAnsi="Arial"/>
          <w:sz w:val="22"/>
          <w:szCs w:val="22"/>
          <w:color w:val="auto"/>
        </w:rPr>
      </w:pPr>
    </w:p>
    <w:p>
      <w:pPr>
        <w:jc w:val="both"/>
        <w:ind w:left="200" w:right="219" w:firstLine="8"/>
        <w:spacing w:after="0" w:line="249" w:lineRule="auto"/>
        <w:tabs>
          <w:tab w:leader="none" w:pos="849"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The covenants, terms, and provisions set forth in this Agreement shall inure to the benefit of and be enforceable by Company and its successors, assigns, and 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340995</wp:posOffset>
            </wp:positionV>
            <wp:extent cx="56064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21" w:name="page22"/>
    <w:bookmarkEnd w:id="21"/>
    <w:p>
      <w:pPr>
        <w:jc w:val="both"/>
        <w:ind w:left="200" w:right="219" w:firstLine="8"/>
        <w:spacing w:after="0" w:line="257" w:lineRule="auto"/>
        <w:tabs>
          <w:tab w:leader="none" w:pos="849"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69" w:lineRule="exact"/>
        <w:rPr>
          <w:rFonts w:ascii="Arial" w:cs="Arial" w:eastAsia="Arial" w:hAnsi="Arial"/>
          <w:sz w:val="21"/>
          <w:szCs w:val="21"/>
          <w:color w:val="auto"/>
        </w:rPr>
      </w:pPr>
    </w:p>
    <w:p>
      <w:pPr>
        <w:jc w:val="both"/>
        <w:ind w:left="200" w:right="219" w:firstLine="8"/>
        <w:spacing w:after="0" w:line="248" w:lineRule="auto"/>
        <w:tabs>
          <w:tab w:leader="none" w:pos="849"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No Interference with Rights</w:t>
      </w:r>
      <w:r>
        <w:rPr>
          <w:rFonts w:ascii="Arial" w:cs="Arial" w:eastAsia="Arial" w:hAnsi="Arial"/>
          <w:sz w:val="21"/>
          <w:szCs w:val="21"/>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90" w:lineRule="exact"/>
        <w:rPr>
          <w:rFonts w:ascii="Arial" w:cs="Arial" w:eastAsia="Arial" w:hAnsi="Arial"/>
          <w:sz w:val="21"/>
          <w:szCs w:val="21"/>
          <w:color w:val="auto"/>
        </w:rPr>
      </w:pPr>
    </w:p>
    <w:p>
      <w:pPr>
        <w:ind w:left="860" w:hanging="652"/>
        <w:spacing w:after="0"/>
        <w:tabs>
          <w:tab w:leader="none" w:pos="86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Acknowledgment of Reasonableness/Remedies/Enforcement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jc w:val="both"/>
        <w:ind w:left="200" w:right="219" w:firstLine="656"/>
        <w:spacing w:after="0" w:line="282" w:lineRule="auto"/>
        <w:tabs>
          <w:tab w:leader="none" w:pos="1497" w:val="left"/>
        </w:tabs>
        <w:numPr>
          <w:ilvl w:val="1"/>
          <w:numId w:val="23"/>
        </w:numPr>
        <w:rPr>
          <w:rFonts w:ascii="Arial" w:cs="Arial" w:eastAsia="Arial" w:hAnsi="Arial"/>
          <w:sz w:val="19"/>
          <w:szCs w:val="19"/>
          <w:color w:val="auto"/>
        </w:rPr>
      </w:pPr>
      <w:r>
        <w:rPr>
          <w:rFonts w:ascii="Arial" w:cs="Arial" w:eastAsia="Arial" w:hAnsi="Arial"/>
          <w:sz w:val="19"/>
          <w:szCs w:val="19"/>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60" w:lineRule="exact"/>
        <w:rPr>
          <w:rFonts w:ascii="Arial" w:cs="Arial" w:eastAsia="Arial" w:hAnsi="Arial"/>
          <w:sz w:val="19"/>
          <w:szCs w:val="19"/>
          <w:color w:val="auto"/>
        </w:rPr>
      </w:pPr>
    </w:p>
    <w:p>
      <w:pPr>
        <w:jc w:val="both"/>
        <w:ind w:left="200" w:right="219" w:firstLine="656"/>
        <w:spacing w:after="0" w:line="274" w:lineRule="auto"/>
        <w:tabs>
          <w:tab w:leader="none" w:pos="1497" w:val="left"/>
        </w:tabs>
        <w:numPr>
          <w:ilvl w:val="1"/>
          <w:numId w:val="23"/>
        </w:numPr>
        <w:rPr>
          <w:rFonts w:ascii="Arial" w:cs="Arial" w:eastAsia="Arial" w:hAnsi="Arial"/>
          <w:sz w:val="19"/>
          <w:szCs w:val="19"/>
          <w:color w:val="auto"/>
        </w:rPr>
      </w:pPr>
      <w:r>
        <w:rPr>
          <w:rFonts w:ascii="Arial" w:cs="Arial" w:eastAsia="Arial" w:hAnsi="Arial"/>
          <w:sz w:val="19"/>
          <w:szCs w:val="19"/>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71" w:lineRule="exact"/>
        <w:rPr>
          <w:rFonts w:ascii="Arial" w:cs="Arial" w:eastAsia="Arial" w:hAnsi="Arial"/>
          <w:sz w:val="19"/>
          <w:szCs w:val="19"/>
          <w:color w:val="auto"/>
        </w:rPr>
      </w:pPr>
    </w:p>
    <w:p>
      <w:pPr>
        <w:jc w:val="both"/>
        <w:ind w:left="200" w:right="219" w:firstLine="656"/>
        <w:spacing w:after="0"/>
        <w:tabs>
          <w:tab w:leader="none" w:pos="1497" w:val="left"/>
        </w:tabs>
        <w:numPr>
          <w:ilvl w:val="1"/>
          <w:numId w:val="23"/>
        </w:numPr>
        <w:rPr>
          <w:rFonts w:ascii="Arial" w:cs="Arial" w:eastAsia="Arial" w:hAnsi="Arial"/>
          <w:sz w:val="22"/>
          <w:szCs w:val="22"/>
          <w:color w:val="auto"/>
        </w:rPr>
      </w:pPr>
      <w:r>
        <w:rPr>
          <w:rFonts w:ascii="Arial" w:cs="Arial" w:eastAsia="Arial" w:hAnsi="Arial"/>
          <w:sz w:val="22"/>
          <w:szCs w:val="22"/>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86" w:lineRule="exact"/>
        <w:rPr>
          <w:rFonts w:ascii="Arial" w:cs="Arial" w:eastAsia="Arial" w:hAnsi="Arial"/>
          <w:sz w:val="22"/>
          <w:szCs w:val="22"/>
          <w:color w:val="auto"/>
        </w:rPr>
      </w:pPr>
    </w:p>
    <w:p>
      <w:pPr>
        <w:jc w:val="both"/>
        <w:ind w:left="200" w:right="219" w:firstLine="8"/>
        <w:spacing w:after="0" w:line="272" w:lineRule="auto"/>
        <w:tabs>
          <w:tab w:leader="none" w:pos="849"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330200</wp:posOffset>
            </wp:positionV>
            <wp:extent cx="56064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5606415" cy="25400"/>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22" w:name="page23"/>
    <w:bookmarkEnd w:id="22"/>
    <w:p>
      <w:pPr>
        <w:jc w:val="both"/>
        <w:ind w:left="200" w:right="200"/>
        <w:spacing w:after="0" w:line="237" w:lineRule="auto"/>
        <w:rPr>
          <w:sz w:val="20"/>
          <w:szCs w:val="20"/>
          <w:color w:val="auto"/>
        </w:rPr>
      </w:pPr>
      <w:r>
        <w:rPr>
          <w:rFonts w:ascii="Arial" w:cs="Arial" w:eastAsia="Arial" w:hAnsi="Arial"/>
          <w:sz w:val="22"/>
          <w:szCs w:val="22"/>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0" w:right="460" w:firstLine="647"/>
        <w:spacing w:after="0" w:line="250" w:lineRule="auto"/>
        <w:rPr>
          <w:sz w:val="20"/>
          <w:szCs w:val="20"/>
          <w:color w:val="auto"/>
        </w:rPr>
      </w:pPr>
      <w:r>
        <w:rPr>
          <w:rFonts w:ascii="Arial" w:cs="Arial" w:eastAsia="Arial" w:hAnsi="Arial"/>
          <w:sz w:val="22"/>
          <w:szCs w:val="22"/>
          <w:color w:val="auto"/>
        </w:rPr>
        <w:t>IN WITNESS WHEREOF, the parties hereto have executed this Agreement under seal as of the day and year set forth below.</w:t>
      </w: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Citi Trends, Inc.</w:t>
      </w:r>
    </w:p>
    <w:p>
      <w:pPr>
        <w:spacing w:after="0" w:line="200" w:lineRule="exact"/>
        <w:rPr>
          <w:sz w:val="20"/>
          <w:szCs w:val="20"/>
          <w:color w:val="auto"/>
        </w:rPr>
      </w:pPr>
    </w:p>
    <w:p>
      <w:pPr>
        <w:spacing w:after="0" w:line="290" w:lineRule="exact"/>
        <w:rPr>
          <w:sz w:val="20"/>
          <w:szCs w:val="20"/>
          <w:color w:val="auto"/>
        </w:rPr>
      </w:pPr>
    </w:p>
    <w:tbl>
      <w:tblPr>
        <w:tblLayout w:type="fixed"/>
        <w:tblInd w:w="580" w:type="dxa"/>
        <w:tblCellMar>
          <w:top w:w="0" w:type="dxa"/>
          <w:left w:w="0" w:type="dxa"/>
          <w:bottom w:w="0" w:type="dxa"/>
          <w:right w:w="0" w:type="dxa"/>
        </w:tblCellMar>
      </w:tblPr>
      <w:tr>
        <w:trPr>
          <w:trHeight w:val="264"/>
        </w:trPr>
        <w:tc>
          <w:tcPr>
            <w:tcW w:w="560" w:type="dxa"/>
            <w:vAlign w:val="bottom"/>
          </w:tcPr>
          <w:p>
            <w:pPr>
              <w:spacing w:after="0"/>
              <w:rPr>
                <w:sz w:val="20"/>
                <w:szCs w:val="20"/>
                <w:color w:val="auto"/>
              </w:rPr>
            </w:pPr>
            <w:r>
              <w:rPr>
                <w:rFonts w:ascii="Arial" w:cs="Arial" w:eastAsia="Arial" w:hAnsi="Arial"/>
                <w:sz w:val="22"/>
                <w:szCs w:val="22"/>
                <w:color w:val="auto"/>
              </w:rPr>
              <w:t>By:</w:t>
            </w:r>
          </w:p>
        </w:tc>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David Makuen</w:t>
            </w:r>
          </w:p>
        </w:tc>
        <w:tc>
          <w:tcPr>
            <w:tcW w:w="1000" w:type="dxa"/>
            <w:vAlign w:val="bottom"/>
          </w:tcPr>
          <w:p>
            <w:pPr>
              <w:ind w:left="440"/>
              <w:spacing w:after="0"/>
              <w:rPr>
                <w:sz w:val="20"/>
                <w:szCs w:val="20"/>
                <w:color w:val="auto"/>
              </w:rPr>
            </w:pPr>
            <w:r>
              <w:rPr>
                <w:rFonts w:ascii="Arial" w:cs="Arial" w:eastAsia="Arial" w:hAnsi="Arial"/>
                <w:sz w:val="22"/>
                <w:szCs w:val="22"/>
                <w:color w:val="auto"/>
              </w:rPr>
              <w:t>By:</w:t>
            </w:r>
          </w:p>
        </w:tc>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 Vivek Bhargava</w:t>
            </w:r>
          </w:p>
        </w:tc>
      </w:tr>
      <w:tr>
        <w:trPr>
          <w:trHeight w:val="215"/>
        </w:trPr>
        <w:tc>
          <w:tcPr>
            <w:tcW w:w="560" w:type="dxa"/>
            <w:vAlign w:val="bottom"/>
          </w:tcPr>
          <w:p>
            <w:pPr>
              <w:spacing w:after="0"/>
              <w:rPr>
                <w:sz w:val="18"/>
                <w:szCs w:val="18"/>
                <w:color w:val="auto"/>
              </w:rPr>
            </w:pPr>
          </w:p>
        </w:tc>
        <w:tc>
          <w:tcPr>
            <w:tcW w:w="3260" w:type="dxa"/>
            <w:vAlign w:val="bottom"/>
          </w:tcPr>
          <w:p>
            <w:pPr>
              <w:ind w:left="100"/>
              <w:spacing w:after="0" w:line="216" w:lineRule="exact"/>
              <w:rPr>
                <w:sz w:val="20"/>
                <w:szCs w:val="20"/>
                <w:color w:val="auto"/>
              </w:rPr>
            </w:pPr>
            <w:r>
              <w:rPr>
                <w:rFonts w:ascii="Arial" w:cs="Arial" w:eastAsia="Arial" w:hAnsi="Arial"/>
                <w:sz w:val="22"/>
                <w:szCs w:val="22"/>
                <w:color w:val="auto"/>
              </w:rPr>
              <w:t>David Makuen</w:t>
            </w:r>
          </w:p>
        </w:tc>
        <w:tc>
          <w:tcPr>
            <w:tcW w:w="1000" w:type="dxa"/>
            <w:vAlign w:val="bottom"/>
          </w:tcPr>
          <w:p>
            <w:pPr>
              <w:spacing w:after="0"/>
              <w:rPr>
                <w:sz w:val="18"/>
                <w:szCs w:val="18"/>
                <w:color w:val="auto"/>
              </w:rPr>
            </w:pPr>
          </w:p>
        </w:tc>
        <w:tc>
          <w:tcPr>
            <w:tcW w:w="3620" w:type="dxa"/>
            <w:vAlign w:val="bottom"/>
          </w:tcPr>
          <w:p>
            <w:pPr>
              <w:ind w:left="100"/>
              <w:spacing w:after="0" w:line="216" w:lineRule="exact"/>
              <w:rPr>
                <w:sz w:val="20"/>
                <w:szCs w:val="20"/>
                <w:color w:val="auto"/>
              </w:rPr>
            </w:pPr>
            <w:r>
              <w:rPr>
                <w:rFonts w:ascii="Arial" w:cs="Arial" w:eastAsia="Arial" w:hAnsi="Arial"/>
                <w:sz w:val="22"/>
                <w:szCs w:val="22"/>
                <w:color w:val="auto"/>
              </w:rPr>
              <w:t>Vivek Bhargava</w:t>
            </w:r>
          </w:p>
        </w:tc>
      </w:tr>
      <w:tr>
        <w:trPr>
          <w:trHeight w:val="274"/>
        </w:trPr>
        <w:tc>
          <w:tcPr>
            <w:tcW w:w="560" w:type="dxa"/>
            <w:vAlign w:val="bottom"/>
          </w:tcPr>
          <w:p>
            <w:pPr>
              <w:spacing w:after="0"/>
              <w:rPr>
                <w:sz w:val="23"/>
                <w:szCs w:val="23"/>
                <w:color w:val="auto"/>
              </w:rPr>
            </w:pPr>
          </w:p>
        </w:tc>
        <w:tc>
          <w:tcPr>
            <w:tcW w:w="3260" w:type="dxa"/>
            <w:vAlign w:val="bottom"/>
          </w:tcPr>
          <w:p>
            <w:pPr>
              <w:ind w:left="100"/>
              <w:spacing w:after="0"/>
              <w:rPr>
                <w:sz w:val="20"/>
                <w:szCs w:val="20"/>
                <w:color w:val="auto"/>
              </w:rPr>
            </w:pPr>
            <w:r>
              <w:rPr>
                <w:rFonts w:ascii="Arial" w:cs="Arial" w:eastAsia="Arial" w:hAnsi="Arial"/>
                <w:sz w:val="22"/>
                <w:szCs w:val="22"/>
                <w:color w:val="auto"/>
              </w:rPr>
              <w:t>Chief Executive Officer</w:t>
            </w:r>
          </w:p>
        </w:tc>
        <w:tc>
          <w:tcPr>
            <w:tcW w:w="100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476"/>
        </w:trPr>
        <w:tc>
          <w:tcPr>
            <w:tcW w:w="560" w:type="dxa"/>
            <w:vAlign w:val="bottom"/>
          </w:tcPr>
          <w:p>
            <w:pPr>
              <w:spacing w:after="0"/>
              <w:rPr>
                <w:sz w:val="20"/>
                <w:szCs w:val="20"/>
                <w:color w:val="auto"/>
              </w:rPr>
            </w:pPr>
            <w:r>
              <w:rPr>
                <w:rFonts w:ascii="Arial" w:cs="Arial" w:eastAsia="Arial" w:hAnsi="Arial"/>
                <w:sz w:val="22"/>
                <w:szCs w:val="22"/>
                <w:color w:val="auto"/>
              </w:rPr>
              <w:t>Date:</w:t>
            </w:r>
          </w:p>
        </w:tc>
        <w:tc>
          <w:tcPr>
            <w:tcW w:w="32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February 15, 2023</w:t>
            </w:r>
          </w:p>
        </w:tc>
        <w:tc>
          <w:tcPr>
            <w:tcW w:w="1000" w:type="dxa"/>
            <w:vAlign w:val="bottom"/>
          </w:tcPr>
          <w:p>
            <w:pPr>
              <w:ind w:left="440"/>
              <w:spacing w:after="0"/>
              <w:rPr>
                <w:sz w:val="20"/>
                <w:szCs w:val="20"/>
                <w:color w:val="auto"/>
              </w:rPr>
            </w:pPr>
            <w:r>
              <w:rPr>
                <w:rFonts w:ascii="Arial" w:cs="Arial" w:eastAsia="Arial" w:hAnsi="Arial"/>
                <w:sz w:val="22"/>
                <w:szCs w:val="22"/>
                <w:color w:val="auto"/>
              </w:rPr>
              <w:t>Date:</w:t>
            </w:r>
          </w:p>
        </w:tc>
        <w:tc>
          <w:tcPr>
            <w:tcW w:w="36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February 15, 2023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460"/>
        <w:spacing w:after="0"/>
        <w:rPr>
          <w:sz w:val="20"/>
          <w:szCs w:val="20"/>
          <w:color w:val="auto"/>
        </w:rPr>
      </w:pPr>
      <w:r>
        <w:rPr>
          <w:rFonts w:ascii="Arial" w:cs="Arial" w:eastAsia="Arial" w:hAnsi="Arial"/>
          <w:sz w:val="22"/>
          <w:szCs w:val="22"/>
          <w:color w:val="auto"/>
        </w:rPr>
        <w:t>Initials 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358775</wp:posOffset>
            </wp:positionV>
            <wp:extent cx="58889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5888990" cy="17145"/>
                    </a:xfrm>
                    <a:prstGeom prst="rect">
                      <a:avLst/>
                    </a:prstGeom>
                    <a:noFill/>
                  </pic:spPr>
                </pic:pic>
              </a:graphicData>
            </a:graphic>
          </wp:anchor>
        </w:drawing>
      </w:r>
    </w:p>
    <w:p>
      <w:pPr>
        <w:sectPr>
          <w:pgSz w:w="11900" w:h="16838" w:orient="portrait"/>
          <w:cols w:equalWidth="0" w:num="1">
            <w:col w:w="9020"/>
          </w:cols>
          <w:pgMar w:left="1440" w:top="153" w:right="1439" w:bottom="1440" w:gutter="0" w:footer="0" w:header="0"/>
        </w:sectPr>
      </w:pPr>
    </w:p>
    <w:bookmarkStart w:id="23" w:name="page24"/>
    <w:bookmarkEnd w:id="23"/>
    <w:p>
      <w:pPr>
        <w:jc w:val="center"/>
        <w:ind w:right="-100"/>
        <w:spacing w:after="0"/>
        <w:rPr>
          <w:sz w:val="20"/>
          <w:szCs w:val="20"/>
          <w:color w:val="auto"/>
        </w:rPr>
      </w:pPr>
      <w:r>
        <w:rPr>
          <w:rFonts w:ascii="Arial" w:cs="Arial" w:eastAsia="Arial" w:hAnsi="Arial"/>
          <w:sz w:val="22"/>
          <w:szCs w:val="22"/>
          <w:b w:val="1"/>
          <w:bCs w:val="1"/>
          <w:u w:val="single" w:color="auto"/>
          <w:color w:val="auto"/>
        </w:rPr>
        <w:t>SEVERANCE AGREEMENT</w:t>
      </w:r>
    </w:p>
    <w:p>
      <w:pPr>
        <w:spacing w:after="0" w:line="199" w:lineRule="exact"/>
        <w:rPr>
          <w:sz w:val="20"/>
          <w:szCs w:val="20"/>
          <w:color w:val="auto"/>
        </w:rPr>
      </w:pPr>
    </w:p>
    <w:p>
      <w:pPr>
        <w:jc w:val="both"/>
        <w:ind w:left="200" w:right="219" w:firstLine="647"/>
        <w:spacing w:after="0" w:line="238" w:lineRule="auto"/>
        <w:rPr>
          <w:sz w:val="20"/>
          <w:szCs w:val="20"/>
          <w:color w:val="auto"/>
        </w:rPr>
      </w:pPr>
      <w:r>
        <w:rPr>
          <w:rFonts w:ascii="Arial" w:cs="Arial" w:eastAsia="Arial" w:hAnsi="Arial"/>
          <w:sz w:val="22"/>
          <w:szCs w:val="22"/>
          <w:color w:val="auto"/>
        </w:rPr>
        <w:t>This SEVERANCE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Citi Trends, Inc., a Delaware corporation, including its subsidiaries, affiliates, divisions, successors, and related entities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and </w:t>
      </w:r>
      <w:r>
        <w:rPr>
          <w:rFonts w:ascii="Arial" w:cs="Arial" w:eastAsia="Arial" w:hAnsi="Arial"/>
          <w:sz w:val="22"/>
          <w:szCs w:val="22"/>
          <w:b w:val="1"/>
          <w:bCs w:val="1"/>
          <w:color w:val="auto"/>
        </w:rPr>
        <w:t>Vivek Bhargava</w:t>
      </w:r>
      <w:r>
        <w:rPr>
          <w:rFonts w:ascii="Arial" w:cs="Arial" w:eastAsia="Arial" w:hAnsi="Arial"/>
          <w:sz w:val="22"/>
          <w:szCs w:val="22"/>
          <w:color w:val="auto"/>
        </w:rPr>
        <w:t>, an individual (the “</w:t>
      </w:r>
      <w:r>
        <w:rPr>
          <w:rFonts w:ascii="Arial" w:cs="Arial" w:eastAsia="Arial" w:hAnsi="Arial"/>
          <w:sz w:val="22"/>
          <w:szCs w:val="22"/>
          <w:u w:val="single" w:color="auto"/>
          <w:color w:val="auto"/>
        </w:rPr>
        <w:t>Executive</w:t>
      </w:r>
      <w:r>
        <w:rPr>
          <w:rFonts w:ascii="Arial" w:cs="Arial" w:eastAsia="Arial" w:hAnsi="Arial"/>
          <w:sz w:val="22"/>
          <w:szCs w:val="22"/>
          <w:color w:val="auto"/>
        </w:rPr>
        <w:t>”), effective as of the date signed by Executive below.</w:t>
      </w:r>
    </w:p>
    <w:p>
      <w:pPr>
        <w:spacing w:after="0" w:line="198" w:lineRule="exact"/>
        <w:rPr>
          <w:sz w:val="20"/>
          <w:szCs w:val="20"/>
          <w:color w:val="auto"/>
        </w:rPr>
      </w:pPr>
    </w:p>
    <w:p>
      <w:pPr>
        <w:jc w:val="both"/>
        <w:ind w:left="200" w:right="219" w:firstLine="647"/>
        <w:spacing w:after="0" w:line="238" w:lineRule="auto"/>
        <w:rPr>
          <w:sz w:val="20"/>
          <w:szCs w:val="20"/>
          <w:color w:val="auto"/>
        </w:rPr>
      </w:pPr>
      <w:r>
        <w:rPr>
          <w:rFonts w:ascii="Arial" w:cs="Arial" w:eastAsia="Arial" w:hAnsi="Arial"/>
          <w:sz w:val="22"/>
          <w:szCs w:val="22"/>
          <w:color w:val="auto"/>
        </w:rPr>
        <w:t>WHEREAS, the Company and the Executive are also parties to an Employment Non-Compete, Non-Solicit and Confidentiality Agreement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and certain restricted stock award and stock option agreements (collectively, the “</w:t>
      </w:r>
      <w:r>
        <w:rPr>
          <w:rFonts w:ascii="Arial" w:cs="Arial" w:eastAsia="Arial" w:hAnsi="Arial"/>
          <w:sz w:val="22"/>
          <w:szCs w:val="22"/>
          <w:u w:val="single" w:color="auto"/>
          <w:color w:val="auto"/>
        </w:rPr>
        <w:t>Equity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 which are to remain in full force and effect;</w:t>
      </w:r>
    </w:p>
    <w:p>
      <w:pPr>
        <w:spacing w:after="0" w:line="171" w:lineRule="exact"/>
        <w:rPr>
          <w:sz w:val="20"/>
          <w:szCs w:val="20"/>
          <w:color w:val="auto"/>
        </w:rPr>
      </w:pPr>
    </w:p>
    <w:p>
      <w:pPr>
        <w:jc w:val="both"/>
        <w:ind w:left="200" w:right="219" w:firstLine="647"/>
        <w:spacing w:after="0" w:line="250" w:lineRule="auto"/>
        <w:rPr>
          <w:sz w:val="20"/>
          <w:szCs w:val="20"/>
          <w:color w:val="auto"/>
        </w:rPr>
      </w:pPr>
      <w:r>
        <w:rPr>
          <w:rFonts w:ascii="Arial" w:cs="Arial" w:eastAsia="Arial" w:hAnsi="Arial"/>
          <w:sz w:val="22"/>
          <w:szCs w:val="22"/>
          <w:color w:val="auto"/>
        </w:rPr>
        <w:t>NOW, THEREFORE, in consideration of the mutual agreements set forth herein, the parties agree as follows:</w:t>
      </w:r>
    </w:p>
    <w:p>
      <w:pPr>
        <w:spacing w:after="0" w:line="182" w:lineRule="exact"/>
        <w:rPr>
          <w:sz w:val="20"/>
          <w:szCs w:val="20"/>
          <w:color w:val="auto"/>
        </w:rPr>
      </w:pPr>
    </w:p>
    <w:p>
      <w:pPr>
        <w:jc w:val="both"/>
        <w:ind w:left="200" w:right="219" w:firstLine="8"/>
        <w:spacing w:after="0" w:line="249" w:lineRule="auto"/>
        <w:tabs>
          <w:tab w:leader="none" w:pos="849" w:val="left"/>
        </w:tabs>
        <w:numPr>
          <w:ilvl w:val="0"/>
          <w:numId w:val="24"/>
        </w:numPr>
        <w:rPr>
          <w:rFonts w:ascii="Arial" w:cs="Arial" w:eastAsia="Arial" w:hAnsi="Arial"/>
          <w:sz w:val="21"/>
          <w:szCs w:val="21"/>
          <w:color w:val="auto"/>
        </w:rPr>
      </w:pPr>
      <w:r>
        <w:rPr>
          <w:rFonts w:ascii="Arial" w:cs="Arial" w:eastAsia="Arial" w:hAnsi="Arial"/>
          <w:sz w:val="21"/>
          <w:szCs w:val="21"/>
          <w:b w:val="1"/>
          <w:bCs w:val="1"/>
          <w:color w:val="auto"/>
        </w:rPr>
        <w:t xml:space="preserve">Termination Payments and Benefits. </w:t>
      </w:r>
      <w:r>
        <w:rPr>
          <w:rFonts w:ascii="Arial" w:cs="Arial" w:eastAsia="Arial" w:hAnsi="Arial"/>
          <w:sz w:val="21"/>
          <w:szCs w:val="21"/>
          <w:color w:val="auto"/>
        </w:rPr>
        <w:t>Regardless of the circumstances of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90" w:lineRule="exact"/>
        <w:rPr>
          <w:rFonts w:ascii="Arial" w:cs="Arial" w:eastAsia="Arial" w:hAnsi="Arial"/>
          <w:sz w:val="21"/>
          <w:szCs w:val="21"/>
          <w:color w:val="auto"/>
        </w:rPr>
      </w:pPr>
    </w:p>
    <w:p>
      <w:pPr>
        <w:jc w:val="both"/>
        <w:ind w:left="200" w:right="199" w:firstLine="656"/>
        <w:spacing w:after="0" w:line="264" w:lineRule="auto"/>
        <w:tabs>
          <w:tab w:leader="none" w:pos="1497" w:val="left"/>
        </w:tabs>
        <w:numPr>
          <w:ilvl w:val="1"/>
          <w:numId w:val="24"/>
        </w:numPr>
        <w:rPr>
          <w:rFonts w:ascii="Arial" w:cs="Arial" w:eastAsia="Arial" w:hAnsi="Arial"/>
          <w:sz w:val="20"/>
          <w:szCs w:val="20"/>
          <w:color w:val="auto"/>
        </w:rPr>
      </w:pPr>
      <w:r>
        <w:rPr>
          <w:rFonts w:ascii="Arial" w:cs="Arial" w:eastAsia="Arial" w:hAnsi="Arial"/>
          <w:sz w:val="20"/>
          <w:szCs w:val="20"/>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Executive’s termination, provided the Executive executes and does not subsequently revoke the Separation and General Release Agreement referenced below within such sixty (60) day period.</w:t>
      </w:r>
    </w:p>
    <w:p>
      <w:pPr>
        <w:spacing w:after="0" w:line="189" w:lineRule="exact"/>
        <w:rPr>
          <w:rFonts w:ascii="Arial" w:cs="Arial" w:eastAsia="Arial" w:hAnsi="Arial"/>
          <w:sz w:val="20"/>
          <w:szCs w:val="20"/>
          <w:color w:val="auto"/>
        </w:rPr>
      </w:pPr>
    </w:p>
    <w:p>
      <w:pPr>
        <w:jc w:val="both"/>
        <w:ind w:left="200" w:right="219" w:firstLine="656"/>
        <w:spacing w:after="0" w:line="279" w:lineRule="auto"/>
        <w:tabs>
          <w:tab w:leader="none" w:pos="1497" w:val="left"/>
        </w:tabs>
        <w:numPr>
          <w:ilvl w:val="1"/>
          <w:numId w:val="24"/>
        </w:numPr>
        <w:rPr>
          <w:rFonts w:ascii="Arial" w:cs="Arial" w:eastAsia="Arial" w:hAnsi="Arial"/>
          <w:sz w:val="19"/>
          <w:szCs w:val="19"/>
          <w:color w:val="auto"/>
        </w:rPr>
      </w:pPr>
      <w:r>
        <w:rPr>
          <w:rFonts w:ascii="Arial" w:cs="Arial" w:eastAsia="Arial" w:hAnsi="Arial"/>
          <w:sz w:val="19"/>
          <w:szCs w:val="19"/>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thirty (30) day period.</w:t>
      </w:r>
    </w:p>
    <w:p>
      <w:pPr>
        <w:spacing w:after="0" w:line="150" w:lineRule="exact"/>
        <w:rPr>
          <w:rFonts w:ascii="Arial" w:cs="Arial" w:eastAsia="Arial" w:hAnsi="Arial"/>
          <w:sz w:val="19"/>
          <w:szCs w:val="19"/>
          <w:color w:val="auto"/>
        </w:rPr>
      </w:pPr>
    </w:p>
    <w:p>
      <w:pPr>
        <w:ind w:left="200" w:right="219" w:firstLine="656"/>
        <w:spacing w:after="0" w:line="250" w:lineRule="auto"/>
        <w:tabs>
          <w:tab w:leader="none" w:pos="1497" w:val="left"/>
        </w:tabs>
        <w:numPr>
          <w:ilvl w:val="1"/>
          <w:numId w:val="24"/>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the occurrence of any one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339090</wp:posOffset>
            </wp:positionV>
            <wp:extent cx="564070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5640705" cy="2540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4" w:name="page25"/>
    <w:bookmarkEnd w:id="24"/>
    <w:p>
      <w:pPr>
        <w:jc w:val="both"/>
        <w:ind w:left="200" w:right="199" w:firstLine="1304"/>
        <w:spacing w:after="0" w:line="269" w:lineRule="auto"/>
        <w:tabs>
          <w:tab w:leader="none" w:pos="2145"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Securities Exchange Act of 1934, as amended (the “</w:t>
      </w:r>
      <w:r>
        <w:rPr>
          <w:rFonts w:ascii="Arial" w:cs="Arial" w:eastAsia="Arial" w:hAnsi="Arial"/>
          <w:sz w:val="19"/>
          <w:szCs w:val="19"/>
          <w:u w:val="single" w:color="auto"/>
          <w:color w:val="auto"/>
        </w:rPr>
        <w:t>1934 Act</w:t>
      </w:r>
      <w:r>
        <w:rPr>
          <w:rFonts w:ascii="Arial" w:cs="Arial" w:eastAsia="Arial" w:hAnsi="Arial"/>
          <w:sz w:val="19"/>
          <w:szCs w:val="19"/>
          <w:color w:val="auto"/>
        </w:rPr>
        <w:t>”)) (a “</w:t>
      </w:r>
      <w:r>
        <w:rPr>
          <w:rFonts w:ascii="Arial" w:cs="Arial" w:eastAsia="Arial" w:hAnsi="Arial"/>
          <w:sz w:val="19"/>
          <w:szCs w:val="19"/>
          <w:u w:val="single" w:color="auto"/>
          <w:color w:val="auto"/>
        </w:rPr>
        <w:t>Person</w:t>
      </w:r>
      <w:r>
        <w:rPr>
          <w:rFonts w:ascii="Arial" w:cs="Arial" w:eastAsia="Arial" w:hAnsi="Arial"/>
          <w:sz w:val="19"/>
          <w:szCs w:val="19"/>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Arial" w:cs="Arial" w:eastAsia="Arial" w:hAnsi="Arial"/>
          <w:sz w:val="19"/>
          <w:szCs w:val="19"/>
          <w:u w:val="single" w:color="auto"/>
          <w:color w:val="auto"/>
        </w:rPr>
        <w:t>Outstanding 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Voting Securities</w:t>
      </w:r>
      <w:r>
        <w:rPr>
          <w:rFonts w:ascii="Arial" w:cs="Arial" w:eastAsia="Arial" w:hAnsi="Arial"/>
          <w:sz w:val="19"/>
          <w:szCs w:val="19"/>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w:t>
      </w:r>
    </w:p>
    <w:p>
      <w:pPr>
        <w:spacing w:after="0" w:line="1" w:lineRule="exact"/>
        <w:rPr>
          <w:rFonts w:ascii="Arial" w:cs="Arial" w:eastAsia="Arial" w:hAnsi="Arial"/>
          <w:sz w:val="19"/>
          <w:szCs w:val="19"/>
          <w:color w:val="auto"/>
        </w:rPr>
      </w:pPr>
    </w:p>
    <w:p>
      <w:pPr>
        <w:jc w:val="both"/>
        <w:ind w:left="200" w:right="219" w:firstLine="8"/>
        <w:spacing w:after="0" w:line="233" w:lineRule="auto"/>
        <w:tabs>
          <w:tab w:leader="none" w:pos="559"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87" w:lineRule="exact"/>
        <w:rPr>
          <w:rFonts w:ascii="Arial" w:cs="Arial" w:eastAsia="Arial" w:hAnsi="Arial"/>
          <w:sz w:val="22"/>
          <w:szCs w:val="22"/>
          <w:color w:val="auto"/>
        </w:rPr>
      </w:pPr>
    </w:p>
    <w:p>
      <w:pPr>
        <w:jc w:val="both"/>
        <w:ind w:left="200" w:right="219" w:firstLine="1304"/>
        <w:spacing w:after="0" w:line="273" w:lineRule="auto"/>
        <w:tabs>
          <w:tab w:leader="none" w:pos="2145" w:val="left"/>
        </w:tabs>
        <w:numPr>
          <w:ilvl w:val="1"/>
          <w:numId w:val="26"/>
        </w:numPr>
        <w:rPr>
          <w:rFonts w:ascii="Arial" w:cs="Arial" w:eastAsia="Arial" w:hAnsi="Arial"/>
          <w:sz w:val="19"/>
          <w:szCs w:val="19"/>
          <w:color w:val="auto"/>
        </w:rPr>
      </w:pPr>
      <w:r>
        <w:rPr>
          <w:rFonts w:ascii="Arial" w:cs="Arial" w:eastAsia="Arial" w:hAnsi="Arial"/>
          <w:sz w:val="19"/>
          <w:szCs w:val="19"/>
          <w:color w:val="auto"/>
        </w:rPr>
        <w:t>individuals who, as of the date of this Agreement, constitute the Board of Directors of the Company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74" w:lineRule="exact"/>
        <w:rPr>
          <w:rFonts w:ascii="Arial" w:cs="Arial" w:eastAsia="Arial" w:hAnsi="Arial"/>
          <w:sz w:val="19"/>
          <w:szCs w:val="19"/>
          <w:color w:val="auto"/>
        </w:rPr>
      </w:pPr>
    </w:p>
    <w:p>
      <w:pPr>
        <w:jc w:val="both"/>
        <w:ind w:left="200" w:right="199" w:firstLine="1304"/>
        <w:spacing w:after="0" w:line="270" w:lineRule="auto"/>
        <w:tabs>
          <w:tab w:leader="none" w:pos="2145" w:val="left"/>
        </w:tabs>
        <w:numPr>
          <w:ilvl w:val="1"/>
          <w:numId w:val="26"/>
        </w:numPr>
        <w:rPr>
          <w:rFonts w:ascii="Arial" w:cs="Arial" w:eastAsia="Arial" w:hAnsi="Arial"/>
          <w:sz w:val="19"/>
          <w:szCs w:val="19"/>
          <w:color w:val="auto"/>
        </w:rPr>
      </w:pPr>
      <w:r>
        <w:rPr>
          <w:rFonts w:ascii="Arial" w:cs="Arial" w:eastAsia="Arial" w:hAnsi="Arial"/>
          <w:sz w:val="19"/>
          <w:szCs w:val="19"/>
          <w:color w:val="auto"/>
        </w:rPr>
        <w:t>consummation of a reorganization, merger, consolidation or share exchange or sale or other disposition of all or substantially all of the assets of the Company (a “</w:t>
      </w:r>
      <w:r>
        <w:rPr>
          <w:rFonts w:ascii="Arial" w:cs="Arial" w:eastAsia="Arial" w:hAnsi="Arial"/>
          <w:sz w:val="19"/>
          <w:szCs w:val="19"/>
          <w:u w:val="single" w:color="auto"/>
          <w:color w:val="auto"/>
        </w:rPr>
        <w:t>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Combination</w:t>
      </w:r>
      <w:r>
        <w:rPr>
          <w:rFonts w:ascii="Arial" w:cs="Arial" w:eastAsia="Arial" w:hAnsi="Arial"/>
          <w:sz w:val="19"/>
          <w:szCs w:val="19"/>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6" w:lineRule="exact"/>
        <w:rPr>
          <w:rFonts w:ascii="Arial" w:cs="Arial" w:eastAsia="Arial" w:hAnsi="Arial"/>
          <w:sz w:val="19"/>
          <w:szCs w:val="19"/>
          <w:color w:val="auto"/>
        </w:rPr>
      </w:pPr>
    </w:p>
    <w:p>
      <w:pPr>
        <w:ind w:left="200" w:right="219" w:firstLine="1304"/>
        <w:spacing w:after="0" w:line="250" w:lineRule="auto"/>
        <w:tabs>
          <w:tab w:leader="none" w:pos="2145" w:val="left"/>
        </w:tabs>
        <w:numPr>
          <w:ilvl w:val="1"/>
          <w:numId w:val="26"/>
        </w:numPr>
        <w:rPr>
          <w:rFonts w:ascii="Arial" w:cs="Arial" w:eastAsia="Arial" w:hAnsi="Arial"/>
          <w:sz w:val="22"/>
          <w:szCs w:val="22"/>
          <w:color w:val="auto"/>
        </w:rPr>
      </w:pPr>
      <w:r>
        <w:rPr>
          <w:rFonts w:ascii="Arial" w:cs="Arial" w:eastAsia="Arial" w:hAnsi="Arial"/>
          <w:sz w:val="22"/>
          <w:szCs w:val="22"/>
          <w:color w:val="auto"/>
        </w:rPr>
        <w:t>approval by the shareholders of the Company of a complete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484505</wp:posOffset>
            </wp:positionV>
            <wp:extent cx="566610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5666105" cy="17145"/>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25" w:name="page26"/>
    <w:bookmarkEnd w:id="25"/>
    <w:p>
      <w:pPr>
        <w:jc w:val="both"/>
        <w:ind w:left="200" w:right="219" w:firstLine="656"/>
        <w:spacing w:after="0" w:line="252" w:lineRule="auto"/>
        <w:tabs>
          <w:tab w:leader="none" w:pos="1497" w:val="left"/>
        </w:tabs>
        <w:numPr>
          <w:ilvl w:val="1"/>
          <w:numId w:val="27"/>
        </w:numPr>
        <w:rPr>
          <w:rFonts w:ascii="Arial" w:cs="Arial" w:eastAsia="Arial" w:hAnsi="Arial"/>
          <w:sz w:val="21"/>
          <w:szCs w:val="21"/>
          <w:color w:val="auto"/>
        </w:rPr>
      </w:pPr>
      <w:r>
        <w:rPr>
          <w:rFonts w:ascii="Arial" w:cs="Arial" w:eastAsia="Arial" w:hAnsi="Arial"/>
          <w:sz w:val="21"/>
          <w:szCs w:val="21"/>
          <w:color w:val="auto"/>
        </w:rPr>
        <w:t>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73" w:lineRule="exact"/>
        <w:rPr>
          <w:rFonts w:ascii="Arial" w:cs="Arial" w:eastAsia="Arial" w:hAnsi="Arial"/>
          <w:sz w:val="21"/>
          <w:szCs w:val="21"/>
          <w:color w:val="auto"/>
        </w:rPr>
      </w:pPr>
    </w:p>
    <w:p>
      <w:pPr>
        <w:jc w:val="both"/>
        <w:ind w:left="200" w:right="219" w:firstLine="656"/>
        <w:spacing w:after="0" w:line="297" w:lineRule="auto"/>
        <w:tabs>
          <w:tab w:leader="none" w:pos="1497" w:val="left"/>
        </w:tabs>
        <w:numPr>
          <w:ilvl w:val="1"/>
          <w:numId w:val="27"/>
        </w:numPr>
        <w:rPr>
          <w:rFonts w:ascii="Arial" w:cs="Arial" w:eastAsia="Arial" w:hAnsi="Arial"/>
          <w:sz w:val="19"/>
          <w:szCs w:val="19"/>
          <w:color w:val="auto"/>
        </w:rPr>
      </w:pPr>
      <w:r>
        <w:rPr>
          <w:rFonts w:ascii="Arial" w:cs="Arial" w:eastAsia="Arial" w:hAnsi="Arial"/>
          <w:sz w:val="19"/>
          <w:szCs w:val="19"/>
          <w:color w:val="auto"/>
        </w:rPr>
        <w:t>In all other circumstances of separation, including if the Executive resigns, retires or is terminated for Cause, the Executive shall not be entitled to receive any separation payments or benefits.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shall mean the Executive’s:</w:t>
      </w:r>
    </w:p>
    <w:p>
      <w:pPr>
        <w:spacing w:after="0" w:line="133" w:lineRule="exact"/>
        <w:rPr>
          <w:rFonts w:ascii="Arial" w:cs="Arial" w:eastAsia="Arial" w:hAnsi="Arial"/>
          <w:sz w:val="19"/>
          <w:szCs w:val="19"/>
          <w:color w:val="auto"/>
        </w:rPr>
      </w:pPr>
    </w:p>
    <w:p>
      <w:pPr>
        <w:ind w:left="200" w:right="219" w:firstLine="1304"/>
        <w:spacing w:after="0" w:line="250" w:lineRule="auto"/>
        <w:tabs>
          <w:tab w:leader="none" w:pos="2145" w:val="left"/>
        </w:tabs>
        <w:numPr>
          <w:ilvl w:val="2"/>
          <w:numId w:val="27"/>
        </w:numPr>
        <w:rPr>
          <w:rFonts w:ascii="Arial" w:cs="Arial" w:eastAsia="Arial" w:hAnsi="Arial"/>
          <w:sz w:val="22"/>
          <w:szCs w:val="22"/>
          <w:color w:val="auto"/>
        </w:rPr>
      </w:pPr>
      <w:r>
        <w:rPr>
          <w:rFonts w:ascii="Arial" w:cs="Arial" w:eastAsia="Arial" w:hAnsi="Arial"/>
          <w:sz w:val="22"/>
          <w:szCs w:val="22"/>
          <w:color w:val="auto"/>
        </w:rPr>
        <w:t>commission of an act of fraud or dishonesty, the purpose or effect of which, in the CEO and/or Board’s sole determination, adversely affects the Company;</w:t>
      </w:r>
    </w:p>
    <w:p>
      <w:pPr>
        <w:spacing w:after="0" w:line="174" w:lineRule="exact"/>
        <w:rPr>
          <w:rFonts w:ascii="Arial" w:cs="Arial" w:eastAsia="Arial" w:hAnsi="Arial"/>
          <w:sz w:val="22"/>
          <w:szCs w:val="22"/>
          <w:color w:val="auto"/>
        </w:rPr>
      </w:pPr>
    </w:p>
    <w:p>
      <w:pPr>
        <w:ind w:left="200" w:right="219" w:firstLine="1304"/>
        <w:spacing w:after="0" w:line="274" w:lineRule="auto"/>
        <w:tabs>
          <w:tab w:leader="none" w:pos="2145" w:val="left"/>
        </w:tabs>
        <w:numPr>
          <w:ilvl w:val="2"/>
          <w:numId w:val="27"/>
        </w:numPr>
        <w:rPr>
          <w:rFonts w:ascii="Arial" w:cs="Arial" w:eastAsia="Arial" w:hAnsi="Arial"/>
          <w:sz w:val="21"/>
          <w:szCs w:val="21"/>
          <w:color w:val="auto"/>
        </w:rPr>
      </w:pPr>
      <w:r>
        <w:rPr>
          <w:rFonts w:ascii="Arial" w:cs="Arial" w:eastAsia="Arial" w:hAnsi="Arial"/>
          <w:sz w:val="21"/>
          <w:szCs w:val="21"/>
          <w:color w:val="auto"/>
        </w:rPr>
        <w:t>conviction of a felony or a crime involving embezzlement, conversion of property or moral turpitude (whether by plea of nolo contendere or otherwise);</w:t>
      </w:r>
    </w:p>
    <w:p>
      <w:pPr>
        <w:spacing w:after="0" w:line="164" w:lineRule="exact"/>
        <w:rPr>
          <w:rFonts w:ascii="Arial" w:cs="Arial" w:eastAsia="Arial" w:hAnsi="Arial"/>
          <w:sz w:val="21"/>
          <w:szCs w:val="21"/>
          <w:color w:val="auto"/>
        </w:rPr>
      </w:pPr>
    </w:p>
    <w:p>
      <w:pPr>
        <w:jc w:val="both"/>
        <w:ind w:left="200" w:right="219" w:firstLine="1304"/>
        <w:spacing w:after="0"/>
        <w:tabs>
          <w:tab w:leader="none" w:pos="2145" w:val="left"/>
        </w:tabs>
        <w:numPr>
          <w:ilvl w:val="2"/>
          <w:numId w:val="27"/>
        </w:numPr>
        <w:rPr>
          <w:rFonts w:ascii="Arial" w:cs="Arial" w:eastAsia="Arial" w:hAnsi="Arial"/>
          <w:sz w:val="22"/>
          <w:szCs w:val="22"/>
          <w:color w:val="auto"/>
        </w:rPr>
      </w:pPr>
      <w:r>
        <w:rPr>
          <w:rFonts w:ascii="Arial" w:cs="Arial" w:eastAsia="Arial" w:hAnsi="Arial"/>
          <w:sz w:val="22"/>
          <w:szCs w:val="22"/>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86" w:lineRule="exact"/>
        <w:rPr>
          <w:rFonts w:ascii="Arial" w:cs="Arial" w:eastAsia="Arial" w:hAnsi="Arial"/>
          <w:sz w:val="22"/>
          <w:szCs w:val="22"/>
          <w:color w:val="auto"/>
        </w:rPr>
      </w:pPr>
    </w:p>
    <w:p>
      <w:pPr>
        <w:jc w:val="both"/>
        <w:ind w:left="200" w:right="219" w:firstLine="1304"/>
        <w:spacing w:after="0" w:line="235" w:lineRule="auto"/>
        <w:tabs>
          <w:tab w:leader="none" w:pos="2145" w:val="left"/>
        </w:tabs>
        <w:numPr>
          <w:ilvl w:val="2"/>
          <w:numId w:val="27"/>
        </w:numPr>
        <w:rPr>
          <w:rFonts w:ascii="Arial" w:cs="Arial" w:eastAsia="Arial" w:hAnsi="Arial"/>
          <w:sz w:val="22"/>
          <w:szCs w:val="22"/>
          <w:color w:val="auto"/>
        </w:rPr>
      </w:pPr>
      <w:r>
        <w:rPr>
          <w:rFonts w:ascii="Arial" w:cs="Arial" w:eastAsia="Arial" w:hAnsi="Arial"/>
          <w:sz w:val="22"/>
          <w:szCs w:val="22"/>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201" w:lineRule="exact"/>
        <w:rPr>
          <w:rFonts w:ascii="Arial" w:cs="Arial" w:eastAsia="Arial" w:hAnsi="Arial"/>
          <w:sz w:val="22"/>
          <w:szCs w:val="22"/>
          <w:color w:val="auto"/>
        </w:rPr>
      </w:pPr>
    </w:p>
    <w:p>
      <w:pPr>
        <w:jc w:val="both"/>
        <w:ind w:left="200" w:right="219" w:firstLine="1304"/>
        <w:spacing w:after="0" w:line="249" w:lineRule="auto"/>
        <w:tabs>
          <w:tab w:leader="none" w:pos="2145" w:val="left"/>
        </w:tabs>
        <w:numPr>
          <w:ilvl w:val="2"/>
          <w:numId w:val="27"/>
        </w:numPr>
        <w:rPr>
          <w:rFonts w:ascii="Arial" w:cs="Arial" w:eastAsia="Arial" w:hAnsi="Arial"/>
          <w:sz w:val="21"/>
          <w:szCs w:val="21"/>
          <w:color w:val="auto"/>
        </w:rPr>
      </w:pPr>
      <w:r>
        <w:rPr>
          <w:rFonts w:ascii="Arial" w:cs="Arial" w:eastAsia="Arial" w:hAnsi="Arial"/>
          <w:sz w:val="21"/>
          <w:szCs w:val="21"/>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185" w:lineRule="exact"/>
        <w:rPr>
          <w:rFonts w:ascii="Arial" w:cs="Arial" w:eastAsia="Arial" w:hAnsi="Arial"/>
          <w:sz w:val="21"/>
          <w:szCs w:val="21"/>
          <w:color w:val="auto"/>
        </w:rPr>
      </w:pPr>
    </w:p>
    <w:p>
      <w:pPr>
        <w:jc w:val="both"/>
        <w:ind w:left="200" w:right="219" w:firstLine="8"/>
        <w:spacing w:after="0" w:line="237" w:lineRule="auto"/>
        <w:tabs>
          <w:tab w:leader="none" w:pos="849"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The Executive will send all communications to the Company in writing, to:</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Vice President of Human Resources, Citi 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95" w:lineRule="exact"/>
        <w:rPr>
          <w:rFonts w:ascii="Arial" w:cs="Arial" w:eastAsia="Arial" w:hAnsi="Arial"/>
          <w:sz w:val="22"/>
          <w:szCs w:val="22"/>
          <w:color w:val="auto"/>
        </w:rPr>
      </w:pPr>
    </w:p>
    <w:p>
      <w:pPr>
        <w:jc w:val="both"/>
        <w:ind w:left="200" w:right="219" w:firstLine="8"/>
        <w:spacing w:after="0" w:line="254" w:lineRule="auto"/>
        <w:tabs>
          <w:tab w:leader="none" w:pos="849" w:val="left"/>
        </w:tabs>
        <w:numPr>
          <w:ilvl w:val="0"/>
          <w:numId w:val="28"/>
        </w:numPr>
        <w:rPr>
          <w:rFonts w:ascii="Arial" w:cs="Arial" w:eastAsia="Arial" w:hAnsi="Arial"/>
          <w:sz w:val="21"/>
          <w:szCs w:val="21"/>
          <w:color w:val="auto"/>
        </w:rPr>
      </w:pPr>
      <w:r>
        <w:rPr>
          <w:rFonts w:ascii="Arial" w:cs="Arial" w:eastAsia="Arial" w:hAnsi="Arial"/>
          <w:sz w:val="21"/>
          <w:szCs w:val="21"/>
          <w:b w:val="1"/>
          <w:bCs w:val="1"/>
          <w:color w:val="auto"/>
        </w:rPr>
        <w:t xml:space="preserve">Amendment. </w:t>
      </w:r>
      <w:r>
        <w:rPr>
          <w:rFonts w:ascii="Arial" w:cs="Arial" w:eastAsia="Arial" w:hAnsi="Arial"/>
          <w:sz w:val="21"/>
          <w:szCs w:val="21"/>
          <w:color w:val="auto"/>
        </w:rPr>
        <w:t>No provisions of this Agreement may be modified, waived, or discharged</w:t>
      </w:r>
      <w:r>
        <w:rPr>
          <w:rFonts w:ascii="Arial" w:cs="Arial" w:eastAsia="Arial" w:hAnsi="Arial"/>
          <w:sz w:val="21"/>
          <w:szCs w:val="21"/>
          <w:b w:val="1"/>
          <w:bCs w:val="1"/>
          <w:color w:val="auto"/>
        </w:rPr>
        <w:t xml:space="preserve"> </w:t>
      </w:r>
      <w:r>
        <w:rPr>
          <w:rFonts w:ascii="Arial" w:cs="Arial" w:eastAsia="Arial" w:hAnsi="Arial"/>
          <w:sz w:val="21"/>
          <w:szCs w:val="21"/>
          <w:color w:val="auto"/>
        </w:rPr>
        <w:t>except by a written document signed by a duly authorized Company officer and the Executive. A waiver of any conditions or provisions of this Agreement in a given instance shall not be deemed a waiver of such conditions or provisions at any other time in the future.</w:t>
      </w:r>
    </w:p>
    <w:p>
      <w:pPr>
        <w:spacing w:after="0" w:line="165" w:lineRule="exact"/>
        <w:rPr>
          <w:rFonts w:ascii="Arial" w:cs="Arial" w:eastAsia="Arial" w:hAnsi="Arial"/>
          <w:sz w:val="21"/>
          <w:szCs w:val="21"/>
          <w:color w:val="auto"/>
        </w:rPr>
      </w:pPr>
    </w:p>
    <w:p>
      <w:pPr>
        <w:jc w:val="both"/>
        <w:ind w:left="200" w:right="219" w:firstLine="8"/>
        <w:spacing w:after="0" w:line="289" w:lineRule="auto"/>
        <w:tabs>
          <w:tab w:leader="none" w:pos="849"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Choice of Law and Venue. </w:t>
      </w:r>
      <w:r>
        <w:rPr>
          <w:rFonts w:ascii="Arial" w:cs="Arial" w:eastAsia="Arial" w:hAnsi="Arial"/>
          <w:sz w:val="19"/>
          <w:szCs w:val="19"/>
          <w:color w:val="auto"/>
        </w:rPr>
        <w:t>The validity, interpretation, construction, and performance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the laws of the State of Georgia (excluding any that mandate the use of another jurisdiction’s laws). Any action to enforce or for breach of this Agreement shall be brought exclusively in the state or federal courts of the County of Chatham, City of Savannah.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463550</wp:posOffset>
            </wp:positionV>
            <wp:extent cx="566610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019"/>
          </w:cols>
          <w:pgMar w:left="1440" w:top="159" w:right="1440" w:bottom="1440" w:gutter="0" w:footer="0" w:header="0"/>
        </w:sectPr>
      </w:pPr>
    </w:p>
    <w:bookmarkStart w:id="26" w:name="page27"/>
    <w:bookmarkEnd w:id="26"/>
    <w:p>
      <w:pPr>
        <w:jc w:val="both"/>
        <w:ind w:left="200" w:right="219" w:firstLine="8"/>
        <w:spacing w:after="0" w:line="236" w:lineRule="auto"/>
        <w:tabs>
          <w:tab w:leader="none" w:pos="849"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Successors. </w:t>
      </w:r>
      <w:r>
        <w:rPr>
          <w:rFonts w:ascii="Arial" w:cs="Arial" w:eastAsia="Arial" w:hAnsi="Arial"/>
          <w:sz w:val="22"/>
          <w:szCs w:val="22"/>
          <w:color w:val="auto"/>
        </w:rPr>
        <w:t>This Agreement shall be binding upon, and shall inure to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81" w:lineRule="exact"/>
        <w:rPr>
          <w:rFonts w:ascii="Arial" w:cs="Arial" w:eastAsia="Arial" w:hAnsi="Arial"/>
          <w:sz w:val="22"/>
          <w:szCs w:val="22"/>
          <w:color w:val="auto"/>
        </w:rPr>
      </w:pPr>
    </w:p>
    <w:p>
      <w:pPr>
        <w:jc w:val="both"/>
        <w:ind w:left="200" w:right="219" w:firstLine="8"/>
        <w:spacing w:after="0" w:line="243" w:lineRule="auto"/>
        <w:tabs>
          <w:tab w:leader="none" w:pos="849"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together shall constitute the same instrument.</w:t>
      </w:r>
    </w:p>
    <w:p>
      <w:pPr>
        <w:spacing w:after="0" w:line="190" w:lineRule="exact"/>
        <w:rPr>
          <w:rFonts w:ascii="Arial" w:cs="Arial" w:eastAsia="Arial" w:hAnsi="Arial"/>
          <w:sz w:val="22"/>
          <w:szCs w:val="22"/>
          <w:color w:val="auto"/>
        </w:rPr>
      </w:pPr>
    </w:p>
    <w:p>
      <w:pPr>
        <w:jc w:val="both"/>
        <w:ind w:left="200" w:right="219" w:firstLine="8"/>
        <w:spacing w:after="0" w:line="273" w:lineRule="auto"/>
        <w:tabs>
          <w:tab w:leader="none" w:pos="849"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and the Confidentiality Agreement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constitute the 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ectPr>
          <w:pgSz w:w="11900" w:h="16838" w:orient="portrait"/>
          <w:cols w:equalWidth="0" w:num="1">
            <w:col w:w="9019"/>
          </w:cols>
          <w:pgMar w:left="1440" w:top="15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200" w:firstLine="8"/>
        <w:spacing w:after="0" w:line="243" w:lineRule="auto"/>
        <w:tabs>
          <w:tab w:leader="none" w:pos="849"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Employment At-Will Relationship. </w:t>
      </w:r>
      <w:r>
        <w:rPr>
          <w:rFonts w:ascii="Arial" w:cs="Arial" w:eastAsia="Arial" w:hAnsi="Arial"/>
          <w:sz w:val="22"/>
          <w:szCs w:val="22"/>
          <w:color w:val="auto"/>
        </w:rPr>
        <w:t>this Agreement alters the at-will nature Company.</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right="199" w:firstLine="70"/>
        <w:spacing w:after="0" w:line="274" w:lineRule="auto"/>
        <w:rPr>
          <w:sz w:val="20"/>
          <w:szCs w:val="20"/>
          <w:color w:val="auto"/>
        </w:rPr>
      </w:pPr>
      <w:r>
        <w:rPr>
          <w:rFonts w:ascii="Arial" w:cs="Arial" w:eastAsia="Arial" w:hAnsi="Arial"/>
          <w:sz w:val="21"/>
          <w:szCs w:val="21"/>
          <w:color w:val="auto"/>
        </w:rPr>
        <w:t>Executive and the Company agree that nothing in of Executive’s employment relationship with the</w:t>
      </w:r>
    </w:p>
    <w:p>
      <w:pPr>
        <w:spacing w:after="0" w:line="388" w:lineRule="exact"/>
        <w:rPr>
          <w:sz w:val="20"/>
          <w:szCs w:val="20"/>
          <w:color w:val="auto"/>
        </w:rPr>
      </w:pPr>
    </w:p>
    <w:p>
      <w:pPr>
        <w:sectPr>
          <w:pgSz w:w="11900" w:h="16838" w:orient="portrait"/>
          <w:cols w:equalWidth="0" w:num="2">
            <w:col w:w="4120" w:space="40"/>
            <w:col w:w="4859"/>
          </w:cols>
          <w:pgMar w:left="1440" w:top="153" w:right="1440" w:bottom="1440" w:gutter="0" w:footer="0" w:header="0"/>
          <w:type w:val="continuous"/>
        </w:sectPr>
      </w:pPr>
    </w:p>
    <w:p>
      <w:pPr>
        <w:ind w:left="200" w:right="239" w:firstLine="8"/>
        <w:spacing w:after="0" w:line="274" w:lineRule="auto"/>
        <w:tabs>
          <w:tab w:leader="none" w:pos="849"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Internal Revenue Code Section 409A. </w:t>
      </w:r>
      <w:r>
        <w:rPr>
          <w:rFonts w:ascii="Arial" w:cs="Arial" w:eastAsia="Arial" w:hAnsi="Arial"/>
          <w:sz w:val="19"/>
          <w:szCs w:val="19"/>
          <w:color w:val="auto"/>
        </w:rPr>
        <w:t>Notwithstanding anything in this Agreement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contrary, to the extent that any amount or benefit that would constitute non-exempt “deferred compensation” for purposes of Section 409A of the Internal Revenue Code (“</w:t>
      </w:r>
      <w:r>
        <w:rPr>
          <w:rFonts w:ascii="Arial" w:cs="Arial" w:eastAsia="Arial" w:hAnsi="Arial"/>
          <w:sz w:val="19"/>
          <w:szCs w:val="19"/>
          <w:u w:val="single" w:color="auto"/>
          <w:color w:val="auto"/>
        </w:rPr>
        <w:t>Section 409A</w:t>
      </w:r>
      <w:r>
        <w:rPr>
          <w:rFonts w:ascii="Arial" w:cs="Arial" w:eastAsia="Arial" w:hAnsi="Arial"/>
          <w:sz w:val="19"/>
          <w:szCs w:val="19"/>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473710</wp:posOffset>
            </wp:positionV>
            <wp:extent cx="566610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5666105" cy="2540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type w:val="continuous"/>
        </w:sectPr>
      </w:pPr>
    </w:p>
    <w:bookmarkStart w:id="27" w:name="page28"/>
    <w:bookmarkEnd w:id="27"/>
    <w:p>
      <w:pPr>
        <w:ind w:left="200" w:right="720" w:firstLine="647"/>
        <w:spacing w:after="0" w:line="250" w:lineRule="auto"/>
        <w:rPr>
          <w:sz w:val="20"/>
          <w:szCs w:val="20"/>
          <w:color w:val="auto"/>
        </w:rPr>
      </w:pPr>
      <w:r>
        <w:rPr>
          <w:rFonts w:ascii="Arial" w:cs="Arial" w:eastAsia="Arial" w:hAnsi="Arial"/>
          <w:sz w:val="22"/>
          <w:szCs w:val="22"/>
          <w:color w:val="auto"/>
        </w:rPr>
        <w:t>IN WITNESS WHEREOF, the parties hereto have set their hands as of the day and year set forth below.</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0"/>
        <w:spacing w:after="0"/>
        <w:rPr>
          <w:sz w:val="20"/>
          <w:szCs w:val="20"/>
          <w:color w:val="auto"/>
        </w:rPr>
      </w:pPr>
      <w:r>
        <w:rPr>
          <w:rFonts w:ascii="Arial" w:cs="Arial" w:eastAsia="Arial" w:hAnsi="Arial"/>
          <w:sz w:val="22"/>
          <w:szCs w:val="22"/>
          <w:color w:val="auto"/>
        </w:rPr>
        <w:t>Citi Trends,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By:</w:t>
            </w:r>
          </w:p>
        </w:tc>
        <w:tc>
          <w:tcPr>
            <w:tcW w:w="3560" w:type="dxa"/>
            <w:vAlign w:val="bottom"/>
          </w:tcPr>
          <w:p>
            <w:pPr>
              <w:ind w:left="100"/>
              <w:spacing w:after="0"/>
              <w:rPr>
                <w:sz w:val="20"/>
                <w:szCs w:val="20"/>
                <w:color w:val="auto"/>
              </w:rPr>
            </w:pPr>
            <w:r>
              <w:rPr>
                <w:rFonts w:ascii="Arial" w:cs="Arial" w:eastAsia="Arial" w:hAnsi="Arial"/>
                <w:sz w:val="22"/>
                <w:szCs w:val="22"/>
                <w:color w:val="auto"/>
              </w:rPr>
              <w:t>/s/ David Makuen</w:t>
            </w:r>
          </w:p>
        </w:tc>
        <w:tc>
          <w:tcPr>
            <w:tcW w:w="820" w:type="dxa"/>
            <w:vAlign w:val="bottom"/>
          </w:tcPr>
          <w:p>
            <w:pPr>
              <w:spacing w:after="0"/>
              <w:rPr>
                <w:sz w:val="23"/>
                <w:szCs w:val="23"/>
                <w:color w:val="auto"/>
              </w:rPr>
            </w:pPr>
          </w:p>
        </w:tc>
        <w:tc>
          <w:tcPr>
            <w:tcW w:w="4320" w:type="dxa"/>
            <w:vAlign w:val="bottom"/>
          </w:tcPr>
          <w:p>
            <w:pPr>
              <w:ind w:left="100"/>
              <w:spacing w:after="0"/>
              <w:rPr>
                <w:sz w:val="20"/>
                <w:szCs w:val="20"/>
                <w:color w:val="auto"/>
              </w:rPr>
            </w:pPr>
            <w:r>
              <w:rPr>
                <w:rFonts w:ascii="Arial" w:cs="Arial" w:eastAsia="Arial" w:hAnsi="Arial"/>
                <w:sz w:val="22"/>
                <w:szCs w:val="22"/>
                <w:color w:val="auto"/>
              </w:rPr>
              <w:t>/s/ Vivek Bhargava</w:t>
            </w:r>
          </w:p>
        </w:tc>
        <w:tc>
          <w:tcPr>
            <w:tcW w:w="80" w:type="dxa"/>
            <w:vAlign w:val="bottom"/>
          </w:tcPr>
          <w:p>
            <w:pPr>
              <w:spacing w:after="0"/>
              <w:rPr>
                <w:sz w:val="23"/>
                <w:szCs w:val="23"/>
                <w:color w:val="auto"/>
              </w:rPr>
            </w:pPr>
          </w:p>
        </w:tc>
      </w:tr>
      <w:tr>
        <w:trPr>
          <w:trHeight w:val="31"/>
        </w:trPr>
        <w:tc>
          <w:tcPr>
            <w:tcW w:w="58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287"/>
        </w:trPr>
        <w:tc>
          <w:tcPr>
            <w:tcW w:w="580" w:type="dxa"/>
            <w:vAlign w:val="bottom"/>
          </w:tcPr>
          <w:p>
            <w:pPr>
              <w:spacing w:after="0"/>
              <w:rPr>
                <w:sz w:val="24"/>
                <w:szCs w:val="24"/>
                <w:color w:val="auto"/>
              </w:rPr>
            </w:pPr>
          </w:p>
        </w:tc>
        <w:tc>
          <w:tcPr>
            <w:tcW w:w="3560" w:type="dxa"/>
            <w:vAlign w:val="bottom"/>
          </w:tcPr>
          <w:p>
            <w:pPr>
              <w:ind w:left="100"/>
              <w:spacing w:after="0"/>
              <w:rPr>
                <w:sz w:val="20"/>
                <w:szCs w:val="20"/>
                <w:color w:val="auto"/>
              </w:rPr>
            </w:pPr>
            <w:r>
              <w:rPr>
                <w:rFonts w:ascii="Arial" w:cs="Arial" w:eastAsia="Arial" w:hAnsi="Arial"/>
                <w:sz w:val="22"/>
                <w:szCs w:val="22"/>
                <w:color w:val="auto"/>
              </w:rPr>
              <w:t>David Makuen</w:t>
            </w:r>
          </w:p>
        </w:tc>
        <w:tc>
          <w:tcPr>
            <w:tcW w:w="820" w:type="dxa"/>
            <w:vAlign w:val="bottom"/>
          </w:tcPr>
          <w:p>
            <w:pPr>
              <w:spacing w:after="0"/>
              <w:rPr>
                <w:sz w:val="24"/>
                <w:szCs w:val="24"/>
                <w:color w:val="auto"/>
              </w:rPr>
            </w:pPr>
          </w:p>
        </w:tc>
        <w:tc>
          <w:tcPr>
            <w:tcW w:w="4320" w:type="dxa"/>
            <w:vAlign w:val="bottom"/>
          </w:tcPr>
          <w:p>
            <w:pPr>
              <w:ind w:left="100"/>
              <w:spacing w:after="0"/>
              <w:rPr>
                <w:sz w:val="20"/>
                <w:szCs w:val="20"/>
                <w:color w:val="auto"/>
              </w:rPr>
            </w:pPr>
            <w:r>
              <w:rPr>
                <w:rFonts w:ascii="Arial" w:cs="Arial" w:eastAsia="Arial" w:hAnsi="Arial"/>
                <w:sz w:val="22"/>
                <w:szCs w:val="22"/>
                <w:color w:val="auto"/>
              </w:rPr>
              <w:t>Vivek Bhargava</w:t>
            </w:r>
          </w:p>
        </w:tc>
        <w:tc>
          <w:tcPr>
            <w:tcW w:w="80" w:type="dxa"/>
            <w:vAlign w:val="bottom"/>
          </w:tcPr>
          <w:p>
            <w:pPr>
              <w:spacing w:after="0"/>
              <w:rPr>
                <w:sz w:val="24"/>
                <w:szCs w:val="24"/>
                <w:color w:val="auto"/>
              </w:rPr>
            </w:pPr>
          </w:p>
        </w:tc>
      </w:tr>
      <w:tr>
        <w:trPr>
          <w:trHeight w:val="324"/>
        </w:trPr>
        <w:tc>
          <w:tcPr>
            <w:tcW w:w="580" w:type="dxa"/>
            <w:vAlign w:val="bottom"/>
          </w:tcPr>
          <w:p>
            <w:pPr>
              <w:spacing w:after="0"/>
              <w:rPr>
                <w:sz w:val="24"/>
                <w:szCs w:val="24"/>
                <w:color w:val="auto"/>
              </w:rPr>
            </w:pPr>
          </w:p>
        </w:tc>
        <w:tc>
          <w:tcPr>
            <w:tcW w:w="3560" w:type="dxa"/>
            <w:vAlign w:val="bottom"/>
          </w:tcPr>
          <w:p>
            <w:pPr>
              <w:ind w:left="100"/>
              <w:spacing w:after="0"/>
              <w:rPr>
                <w:sz w:val="20"/>
                <w:szCs w:val="20"/>
                <w:color w:val="auto"/>
              </w:rPr>
            </w:pPr>
            <w:r>
              <w:rPr>
                <w:rFonts w:ascii="Arial" w:cs="Arial" w:eastAsia="Arial" w:hAnsi="Arial"/>
                <w:sz w:val="22"/>
                <w:szCs w:val="22"/>
                <w:color w:val="auto"/>
              </w:rPr>
              <w:t>Chief Executive Officer</w:t>
            </w:r>
          </w:p>
        </w:tc>
        <w:tc>
          <w:tcPr>
            <w:tcW w:w="8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24"/>
        </w:trPr>
        <w:tc>
          <w:tcPr>
            <w:tcW w:w="580" w:type="dxa"/>
            <w:vAlign w:val="bottom"/>
          </w:tcPr>
          <w:p>
            <w:pPr>
              <w:spacing w:after="0"/>
              <w:rPr>
                <w:sz w:val="20"/>
                <w:szCs w:val="20"/>
                <w:color w:val="auto"/>
              </w:rPr>
            </w:pPr>
            <w:r>
              <w:rPr>
                <w:rFonts w:ascii="Arial" w:cs="Arial" w:eastAsia="Arial" w:hAnsi="Arial"/>
                <w:sz w:val="22"/>
                <w:szCs w:val="22"/>
                <w:color w:val="auto"/>
              </w:rPr>
              <w:t>Date:</w:t>
            </w:r>
          </w:p>
        </w:tc>
        <w:tc>
          <w:tcPr>
            <w:tcW w:w="356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February 15, 2023</w:t>
            </w:r>
          </w:p>
        </w:tc>
        <w:tc>
          <w:tcPr>
            <w:tcW w:w="820" w:type="dxa"/>
            <w:vAlign w:val="bottom"/>
          </w:tcPr>
          <w:p>
            <w:pPr>
              <w:spacing w:after="0"/>
              <w:rPr>
                <w:sz w:val="24"/>
                <w:szCs w:val="24"/>
                <w:color w:val="auto"/>
              </w:rPr>
            </w:pPr>
          </w:p>
        </w:tc>
        <w:tc>
          <w:tcPr>
            <w:tcW w:w="43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February 15, 2023</w:t>
            </w:r>
          </w:p>
        </w:tc>
        <w:tc>
          <w:tcPr>
            <w:tcW w:w="80" w:type="dxa"/>
            <w:vAlign w:val="bottom"/>
            <w:tcBorders>
              <w:bottom w:val="single" w:sz="8" w:color="auto"/>
            </w:tcBorders>
          </w:tcPr>
          <w:p>
            <w:pPr>
              <w:spacing w:after="0"/>
              <w:rPr>
                <w:sz w:val="24"/>
                <w:szCs w:val="24"/>
                <w:color w:val="auto"/>
              </w:rPr>
            </w:pPr>
          </w:p>
        </w:tc>
      </w:tr>
      <w:tr>
        <w:trPr>
          <w:trHeight w:val="1121"/>
        </w:trPr>
        <w:tc>
          <w:tcPr>
            <w:tcW w:w="5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9480"/>
          </w:cols>
          <w:pgMar w:left="1440" w:top="159" w:right="979" w:bottom="1440" w:gutter="0" w:footer="0" w:header="0"/>
        </w:sectPr>
      </w:pPr>
    </w:p>
    <w:bookmarkStart w:id="28" w:name="page29"/>
    <w:bookmarkEnd w:id="28"/>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 David N. Makuen, certify that:</w:t>
      </w:r>
    </w:p>
    <w:p>
      <w:pPr>
        <w:spacing w:after="0" w:line="225" w:lineRule="exact"/>
        <w:rPr>
          <w:sz w:val="20"/>
          <w:szCs w:val="20"/>
          <w:color w:val="auto"/>
        </w:rPr>
      </w:pPr>
    </w:p>
    <w:p>
      <w:pPr>
        <w:ind w:left="700" w:hanging="656"/>
        <w:spacing w:after="0"/>
        <w:tabs>
          <w:tab w:leader="none" w:pos="7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April 29, 2023 of Citi Trends, Inc.;</w:t>
      </w:r>
    </w:p>
    <w:p>
      <w:pPr>
        <w:spacing w:after="0" w:line="236" w:lineRule="exact"/>
        <w:rPr>
          <w:rFonts w:ascii="Arial" w:cs="Arial" w:eastAsia="Arial" w:hAnsi="Arial"/>
          <w:sz w:val="17"/>
          <w:szCs w:val="17"/>
          <w:color w:val="auto"/>
        </w:rPr>
      </w:pPr>
    </w:p>
    <w:p>
      <w:pPr>
        <w:ind w:left="700" w:right="299" w:hanging="656"/>
        <w:spacing w:after="0" w:line="256"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700" w:right="199" w:hanging="656"/>
        <w:spacing w:after="0" w:line="263"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219" w:hanging="656"/>
        <w:spacing w:after="0" w:line="303"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6"/>
          <w:szCs w:val="16"/>
          <w:color w:val="auto"/>
        </w:rPr>
      </w:pPr>
    </w:p>
    <w:p>
      <w:pPr>
        <w:ind w:left="1340" w:right="79" w:hanging="648"/>
        <w:spacing w:after="0" w:line="259"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340" w:right="79" w:hanging="648"/>
        <w:spacing w:after="0" w:line="259"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340" w:right="179" w:hanging="648"/>
        <w:spacing w:after="0" w:line="256"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ind w:left="1340" w:right="119" w:hanging="648"/>
        <w:spacing w:after="0" w:line="259"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700" w:right="379" w:hanging="656"/>
        <w:spacing w:after="0" w:line="263"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40" w:right="379" w:hanging="648"/>
        <w:spacing w:after="0" w:line="263"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340" w:right="159" w:hanging="648"/>
        <w:spacing w:after="0" w:line="277" w:lineRule="auto"/>
        <w:tabs>
          <w:tab w:leader="none" w:pos="13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2023</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30346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N. Makuen</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 w:name="page30"/>
    <w:bookmarkEnd w:id="29"/>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 Heather Plutino, certify that:</w:t>
      </w:r>
    </w:p>
    <w:p>
      <w:pPr>
        <w:spacing w:after="0" w:line="225" w:lineRule="exact"/>
        <w:rPr>
          <w:sz w:val="20"/>
          <w:szCs w:val="20"/>
          <w:color w:val="auto"/>
        </w:rPr>
      </w:pPr>
    </w:p>
    <w:p>
      <w:pPr>
        <w:ind w:left="700" w:hanging="656"/>
        <w:spacing w:after="0"/>
        <w:tabs>
          <w:tab w:leader="none" w:pos="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April 29, 2023 of Citi Trends, Inc.;</w:t>
      </w:r>
    </w:p>
    <w:p>
      <w:pPr>
        <w:spacing w:after="0" w:line="236" w:lineRule="exact"/>
        <w:rPr>
          <w:rFonts w:ascii="Arial" w:cs="Arial" w:eastAsia="Arial" w:hAnsi="Arial"/>
          <w:sz w:val="17"/>
          <w:szCs w:val="17"/>
          <w:color w:val="auto"/>
        </w:rPr>
      </w:pPr>
    </w:p>
    <w:p>
      <w:pPr>
        <w:ind w:left="700" w:right="299" w:hanging="656"/>
        <w:spacing w:after="0" w:line="256"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8"/>
          <w:szCs w:val="18"/>
          <w:color w:val="auto"/>
        </w:rPr>
      </w:pPr>
    </w:p>
    <w:p>
      <w:pPr>
        <w:ind w:left="700" w:right="199" w:hanging="656"/>
        <w:spacing w:after="0" w:line="263"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700" w:right="219" w:hanging="656"/>
        <w:spacing w:after="0" w:line="303" w:lineRule="auto"/>
        <w:tabs>
          <w:tab w:leader="none" w:pos="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3" w:lineRule="exact"/>
        <w:rPr>
          <w:rFonts w:ascii="Arial" w:cs="Arial" w:eastAsia="Arial" w:hAnsi="Arial"/>
          <w:sz w:val="16"/>
          <w:szCs w:val="16"/>
          <w:color w:val="auto"/>
        </w:rPr>
      </w:pPr>
    </w:p>
    <w:p>
      <w:pPr>
        <w:ind w:left="1340" w:right="79" w:hanging="648"/>
        <w:spacing w:after="0" w:line="259"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ind w:left="1340" w:right="79" w:hanging="648"/>
        <w:spacing w:after="0" w:line="259"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ind w:left="1340" w:right="179" w:hanging="648"/>
        <w:spacing w:after="0" w:line="256"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8"/>
          <w:szCs w:val="18"/>
          <w:color w:val="auto"/>
        </w:rPr>
      </w:pPr>
    </w:p>
    <w:p>
      <w:pPr>
        <w:ind w:left="1340" w:right="119" w:hanging="648"/>
        <w:spacing w:after="0" w:line="259"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ind w:left="700" w:right="379" w:hanging="656"/>
        <w:spacing w:after="0" w:line="263"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340" w:right="379" w:hanging="648"/>
        <w:spacing w:after="0" w:line="263"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340" w:right="159" w:hanging="648"/>
        <w:spacing w:after="0" w:line="277" w:lineRule="auto"/>
        <w:tabs>
          <w:tab w:leader="none" w:pos="13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2023</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/s/ Heather Plutino</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30346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231F20"/>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 w:name="page31"/>
    <w:bookmarkEnd w:id="30"/>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Certifications pursuant to Section 906 of the Sarbanes-Oxley Act of 2002 (18 U.S.C. § 1350, as adopted).</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David N. Makuen, Chief Executive Officer of Citi Trends, Inc.,</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Heather Plutino, Chief Financial Officer of Citi Trends, Inc., certify that:</w:t>
      </w:r>
    </w:p>
    <w:p>
      <w:pPr>
        <w:spacing w:after="0" w:line="225" w:lineRule="exact"/>
        <w:rPr>
          <w:sz w:val="20"/>
          <w:szCs w:val="20"/>
          <w:color w:val="auto"/>
        </w:rPr>
      </w:pPr>
    </w:p>
    <w:p>
      <w:pPr>
        <w:ind w:left="220" w:hanging="176"/>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have reviewed this quarterly report on Form 10-Q of Citi Trends, Inc. for the period ended April 29, 2023;</w:t>
      </w:r>
    </w:p>
    <w:p>
      <w:pPr>
        <w:spacing w:after="0" w:line="211" w:lineRule="exact"/>
        <w:rPr>
          <w:rFonts w:ascii="Arial" w:cs="Arial" w:eastAsia="Arial" w:hAnsi="Arial"/>
          <w:sz w:val="18"/>
          <w:szCs w:val="18"/>
          <w:color w:val="auto"/>
        </w:rPr>
      </w:pPr>
    </w:p>
    <w:p>
      <w:pPr>
        <w:ind w:left="40" w:right="179" w:firstLine="4"/>
        <w:spacing w:after="0" w:line="277"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our knowledge, this quarterly report fully complies with the requirements of Section 13(a) or Section 15(d) of the Securities Exchange Act of 1934, as amended; and</w:t>
      </w:r>
    </w:p>
    <w:p>
      <w:pPr>
        <w:spacing w:after="0" w:line="170" w:lineRule="exact"/>
        <w:rPr>
          <w:rFonts w:ascii="Arial" w:cs="Arial" w:eastAsia="Arial" w:hAnsi="Arial"/>
          <w:sz w:val="18"/>
          <w:szCs w:val="18"/>
          <w:color w:val="auto"/>
        </w:rPr>
      </w:pPr>
    </w:p>
    <w:p>
      <w:pPr>
        <w:ind w:left="40" w:right="79" w:firstLine="4"/>
        <w:spacing w:after="0" w:line="263" w:lineRule="auto"/>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our knowledge, the financial statements, and other information included in this quarterly report, fairly present in all material respects the financial condition and results of operations of the registrant as of, and for, the periods presented in this quarterly report.</w:t>
      </w:r>
    </w:p>
    <w:p>
      <w:pPr>
        <w:spacing w:after="0" w:line="200" w:lineRule="exact"/>
        <w:rPr>
          <w:sz w:val="20"/>
          <w:szCs w:val="20"/>
          <w:color w:val="auto"/>
        </w:rPr>
      </w:pPr>
    </w:p>
    <w:p>
      <w:pPr>
        <w:spacing w:after="0" w:line="2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2023</w:t>
      </w:r>
    </w:p>
    <w:p>
      <w:pPr>
        <w:spacing w:after="0" w:line="200" w:lineRule="exact"/>
        <w:rPr>
          <w:sz w:val="20"/>
          <w:szCs w:val="20"/>
          <w:color w:val="auto"/>
        </w:rPr>
      </w:pPr>
    </w:p>
    <w:p>
      <w:pPr>
        <w:spacing w:after="0" w:line="228"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14605</wp:posOffset>
            </wp:positionV>
            <wp:extent cx="29832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David N. Makuen</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Executive Officer)</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7, 2023</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/s/ Heather Plutino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14605</wp:posOffset>
            </wp:positionV>
            <wp:extent cx="29832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Heather Plutino</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13" w:lineRule="exact"/>
        <w:rPr>
          <w:sz w:val="20"/>
          <w:szCs w:val="20"/>
          <w:color w:val="auto"/>
        </w:rPr>
      </w:pPr>
    </w:p>
    <w:p>
      <w:pPr>
        <w:ind w:left="40" w:right="579"/>
        <w:spacing w:after="0" w:line="342" w:lineRule="auto"/>
        <w:rPr>
          <w:sz w:val="20"/>
          <w:szCs w:val="20"/>
          <w:color w:val="auto"/>
        </w:rPr>
      </w:pPr>
      <w:r>
        <w:rPr>
          <w:rFonts w:ascii="Arial" w:cs="Arial" w:eastAsia="Arial" w:hAnsi="Arial"/>
          <w:sz w:val="16"/>
          <w:szCs w:val="16"/>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293370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2"/>
    </w:lvl>
  </w:abstractNum>
  <w:abstractNum w:abstractNumId="4">
    <w:nsid w:val="257130A3"/>
    <w:multiLevelType w:val="hybridMultilevel"/>
    <w:lvl w:ilvl="0">
      <w:lvlJc w:val="left"/>
      <w:lvlText w:val="%1."/>
      <w:numFmt w:val="decimal"/>
      <w:start w:val="3"/>
    </w:lvl>
  </w:abstractNum>
  <w:abstractNum w:abstractNumId="5">
    <w:nsid w:val="62BBD95A"/>
    <w:multiLevelType w:val="hybridMultilevel"/>
    <w:lvl w:ilvl="0">
      <w:lvlJc w:val="left"/>
      <w:lvlText w:val="%1."/>
      <w:numFmt w:val="decimal"/>
      <w:start w:val="4"/>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6"/>
    </w:lvl>
  </w:abstractNum>
  <w:abstractNum w:abstractNumId="8">
    <w:nsid w:val="333AB105"/>
    <w:multiLevelType w:val="hybridMultilevel"/>
    <w:lvl w:ilvl="0">
      <w:lvlJc w:val="left"/>
      <w:lvlText w:val="%1."/>
      <w:numFmt w:val="decimal"/>
      <w:start w:val="7"/>
    </w:lvl>
  </w:abstractNum>
  <w:abstractNum w:abstractNumId="9">
    <w:nsid w:val="721DA317"/>
    <w:multiLevelType w:val="hybridMultilevel"/>
    <w:lvl w:ilvl="0">
      <w:lvlJc w:val="left"/>
      <w:lvlText w:val="%1."/>
      <w:numFmt w:val="decimal"/>
      <w:start w:val="8"/>
    </w:lvl>
  </w:abstractNum>
  <w:abstractNum w:abstractNumId="10">
    <w:nsid w:val="2443A858"/>
    <w:multiLevelType w:val="hybridMultilevel"/>
    <w:lvl w:ilvl="0">
      <w:lvlJc w:val="left"/>
      <w:lvlText w:val="%1."/>
      <w:numFmt w:val="decimal"/>
      <w:start w:val="9"/>
    </w:lvl>
  </w:abstractNum>
  <w:abstractNum w:abstractNumId="11">
    <w:nsid w:val="2D1D5AE9"/>
    <w:multiLevelType w:val="hybridMultilevel"/>
    <w:lvl w:ilvl="0">
      <w:lvlJc w:val="left"/>
      <w:lvlText w:val="(%1)"/>
      <w:numFmt w:val="decimal"/>
      <w:start w:val="1"/>
    </w:lvl>
  </w:abstractNum>
  <w:abstractNum w:abstractNumId="12">
    <w:nsid w:val="6763845E"/>
    <w:multiLevelType w:val="hybridMultilevel"/>
    <w:lvl w:ilvl="0">
      <w:lvlJc w:val="left"/>
      <w:lvlText w:val="(%1)"/>
      <w:numFmt w:val="decimal"/>
      <w:start w:val="3"/>
    </w:lvl>
  </w:abstractNum>
  <w:abstractNum w:abstractNumId="13">
    <w:nsid w:val="75A2A8D4"/>
    <w:multiLevelType w:val="hybridMultilevel"/>
    <w:lvl w:ilvl="0">
      <w:lvlJc w:val="left"/>
      <w:lvlText w:val="%1"/>
      <w:numFmt w:val="decimal"/>
      <w:start w:val="101"/>
    </w:lvl>
  </w:abstractNum>
  <w:abstractNum w:abstractNumId="14">
    <w:nsid w:val="8EDBDAB"/>
    <w:multiLevelType w:val="hybridMultilevel"/>
    <w:lvl w:ilvl="0">
      <w:lvlJc w:val="left"/>
      <w:lvlText w:val="*"/>
      <w:numFmt w:val="bullet"/>
      <w:start w:val="1"/>
    </w:lvl>
    <w:lvl w:ilvl="1">
      <w:lvlJc w:val="left"/>
      <w:lvlText w:val="%2"/>
      <w:numFmt w:val="decimal"/>
      <w:start w:val="104"/>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1."/>
      <w:numFmt w:val="decimal"/>
      <w:start w:val="1"/>
    </w:lvl>
    <w:lvl w:ilvl="1">
      <w:lvlJc w:val="left"/>
      <w:lvlText w:val="(%2)"/>
      <w:numFmt w:val="lowerLetter"/>
      <w:start w:val="1"/>
    </w:lvl>
  </w:abstractNum>
  <w:abstractNum w:abstractNumId="17">
    <w:nsid w:val="B03E0C6"/>
    <w:multiLevelType w:val="hybridMultilevel"/>
    <w:lvl w:ilvl="0">
      <w:lvlJc w:val="left"/>
      <w:lvlText w:val="%1"/>
      <w:numFmt w:val="decimal"/>
      <w:start w:val="1"/>
    </w:lvl>
    <w:lvl w:ilvl="1">
      <w:lvlJc w:val="left"/>
      <w:lvlText w:val="(%2)"/>
      <w:numFmt w:val="lowerLetter"/>
      <w:start w:val="3"/>
    </w:lvl>
  </w:abstractNum>
  <w:abstractNum w:abstractNumId="18">
    <w:nsid w:val="189A769B"/>
    <w:multiLevelType w:val="hybridMultilevel"/>
    <w:lvl w:ilvl="0">
      <w:lvlJc w:val="left"/>
      <w:lvlText w:val="(%1)"/>
      <w:numFmt w:val="decimal"/>
      <w:start w:val="2"/>
    </w:lvl>
    <w:lvl w:ilvl="1">
      <w:lvlJc w:val="left"/>
      <w:lvlText w:val="(%2)"/>
      <w:numFmt w:val="lowerLetter"/>
      <w:start w:val="4"/>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5"/>
    </w:lvl>
  </w:abstractNum>
  <w:abstractNum w:abstractNumId="21">
    <w:nsid w:val="2CA88611"/>
    <w:multiLevelType w:val="hybridMultilevel"/>
    <w:lvl w:ilvl="0">
      <w:lvlJc w:val="left"/>
      <w:lvlText w:val="%1."/>
      <w:numFmt w:val="decimal"/>
      <w:start w:val="6"/>
    </w:lvl>
  </w:abstractNum>
  <w:abstractNum w:abstractNumId="22">
    <w:nsid w:val="836C40E"/>
    <w:multiLevelType w:val="hybridMultilevel"/>
    <w:lvl w:ilvl="0">
      <w:lvlJc w:val="left"/>
      <w:lvlText w:val="%1."/>
      <w:numFmt w:val="decimal"/>
      <w:start w:val="10"/>
    </w:lvl>
    <w:lvl w:ilvl="1">
      <w:lvlJc w:val="left"/>
      <w:lvlText w:val="(%2)"/>
      <w:numFmt w:val="lowerLetter"/>
      <w:start w:val="1"/>
    </w:lvl>
  </w:abstractNum>
  <w:abstractNum w:abstractNumId="23">
    <w:nsid w:val="2901D82"/>
    <w:multiLevelType w:val="hybridMultilevel"/>
    <w:lvl w:ilvl="0">
      <w:lvlJc w:val="left"/>
      <w:lvlText w:val="%1."/>
      <w:numFmt w:val="decimal"/>
      <w:start w:val="1"/>
    </w:lvl>
    <w:lvl w:ilvl="1">
      <w:lvlJc w:val="left"/>
      <w:lvlText w:val="(%2)"/>
      <w:numFmt w:val="lowerLetter"/>
      <w:start w:val="1"/>
    </w:lvl>
  </w:abstractNum>
  <w:abstractNum w:abstractNumId="24">
    <w:nsid w:val="3A95F874"/>
    <w:multiLevelType w:val="hybridMultilevel"/>
    <w:lvl w:ilvl="0">
      <w:lvlJc w:val="left"/>
      <w:lvlText w:val="%1"/>
      <w:numFmt w:val="lowerRoman"/>
      <w:start w:val="1"/>
    </w:lvl>
    <w:lvl w:ilvl="1">
      <w:lvlJc w:val="left"/>
      <w:lvlText w:val="(%2)"/>
      <w:numFmt w:val="lowerRoman"/>
      <w:start w:val="1"/>
    </w:lvl>
  </w:abstractNum>
  <w:abstractNum w:abstractNumId="25">
    <w:nsid w:val="8138641"/>
    <w:multiLevelType w:val="hybridMultilevel"/>
    <w:lvl w:ilvl="0">
      <w:lvlJc w:val="left"/>
      <w:lvlText w:val="(%1)"/>
      <w:numFmt w:val="lowerRoman"/>
      <w:start w:val="4"/>
    </w:lvl>
    <w:lvl w:ilvl="1">
      <w:lvlJc w:val="left"/>
      <w:lvlText w:val="(%2)"/>
      <w:numFmt w:val="lowerRoman"/>
      <w:start w:val="2"/>
    </w:lvl>
  </w:abstractNum>
  <w:abstractNum w:abstractNumId="26">
    <w:nsid w:val="1E7FF52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
    <w:nsid w:val="7C3DBD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8">
    <w:nsid w:val="737B8DDC"/>
    <w:multiLevelType w:val="hybridMultilevel"/>
    <w:lvl w:ilvl="0">
      <w:lvlJc w:val="left"/>
      <w:lvlText w:val="%1."/>
      <w:numFmt w:val="decimal"/>
      <w:start w:val="5"/>
    </w:lvl>
  </w:abstractNum>
  <w:abstractNum w:abstractNumId="29">
    <w:nsid w:val="6CEAF087"/>
    <w:multiLevelType w:val="hybridMultilevel"/>
    <w:lvl w:ilvl="0">
      <w:lvlJc w:val="left"/>
      <w:lvlText w:val="%1."/>
      <w:numFmt w:val="decimal"/>
      <w:start w:val="8"/>
    </w:lvl>
  </w:abstractNum>
  <w:abstractNum w:abstractNumId="30">
    <w:nsid w:val="22221A70"/>
    <w:multiLevelType w:val="hybridMultilevel"/>
    <w:lvl w:ilvl="0">
      <w:lvlJc w:val="left"/>
      <w:lvlText w:val="%1."/>
      <w:numFmt w:val="decimal"/>
      <w:start w:val="9"/>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27" Type="http://schemas.openxmlformats.org/officeDocument/2006/relationships/hyperlink" Target="http://www.sec.gov/Archives/edgar/data/1318484/000110465918038871/a18-15022_1ex3d1.htm" TargetMode="External"/><Relationship Id="rId28" Type="http://schemas.openxmlformats.org/officeDocument/2006/relationships/hyperlink" Target="https://www.sec.gov/Archives/edgar/data/1318484/000110465922113020/tm2229093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2023-06-07T10:27:29Z</dcterms:created>
  <dcterms:modified xsi:type="dcterms:W3CDTF">2023-06-07T10:27:29Z</dcterms:modified>
</cp:coreProperties>
</file>