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811-1_s3.htm"/>
        <w:bookmarkStart w:id="1" w:name="kstm2623811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25,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2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Nos. 333-       </w:t>
      </w:r>
      <w:r>
        <w:rPr>
          <w:rFonts w:ascii="Times New Roman;Times;serif" w:hAnsi="Times New Roman;Times;serif"/>
          <w:b/>
          <w:i w:val="false"/>
          <w:caps w:val="false"/>
          <w:smallCaps w:val="false"/>
          <w:color w:val="000000"/>
          <w:sz w:val="18"/>
        </w:rPr>
        <w:t>​</w:t>
      </w:r>
    </w:p>
    <w:p>
      <w:pPr>
        <w:pStyle w:val="TextBody"/>
        <w:bidi w:val="0"/>
        <w:spacing w:before="4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90" w:before="2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val="false"/>
          <w:caps w:val="false"/>
          <w:smallCaps w:val="false"/>
          <w:color w:val="000000"/>
          <w:spacing w:val="-4"/>
          <w:sz w:val="18"/>
        </w:rPr>
        <w:t xml:space="preserve">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CITI TRENDS,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Chapter) </w:t>
      </w:r>
    </w:p>
    <w:p>
      <w:pPr>
        <w:pStyle w:val="TextBody"/>
        <w:bidi w:val="0"/>
        <w:spacing w:lineRule="atLeast" w:line="200" w:before="6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Delaware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(State or Other Jurisdiction of Incorporation or Organization) </w:t>
      </w:r>
    </w:p>
    <w:p>
      <w:pPr>
        <w:pStyle w:val="TextBody"/>
        <w:bidi w:val="0"/>
        <w:spacing w:lineRule="atLeast" w:line="200" w:before="6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52-2150697</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(I.R.S. Employer Identification No.) </w:t>
      </w:r>
    </w:p>
    <w:p>
      <w:pPr>
        <w:pStyle w:val="TextBody"/>
        <w:bidi w:val="0"/>
        <w:spacing w:lineRule="atLeast" w:line="190" w:before="6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17 Park of Commerce Blvd, Suite 200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Savannah, Georgia 31405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Telephone: (912) 236-1561</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and Telephone Number of Registrant’s Principal Executive Offices) </w:t>
      </w:r>
    </w:p>
    <w:p>
      <w:pPr>
        <w:pStyle w:val="TextBody"/>
        <w:bidi w:val="0"/>
        <w:spacing w:lineRule="atLeast" w:line="190" w:before="6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Lovesh Puri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General Counsel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Citi Trends, Inc.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17 Park of Commerce Blvd, Suite 200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Savannah, Georgia 31405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Telephone: (912) 236-1561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and telephone number, of agent for service) </w:t>
      </w:r>
    </w:p>
    <w:p>
      <w:pPr>
        <w:pStyle w:val="TextBody"/>
        <w:bidi w:val="0"/>
        <w:spacing w:lineRule="atLeast" w:line="200" w:before="66"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19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Catherine M. Clarkin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Sullivan &amp; Cromwell LLP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125 Broad Street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New York, New York 10004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Telephone: (212) 558-4000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66"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 From time to time after the effective date of this registration statement.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90" w:before="6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190" w:before="6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90" w:before="6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6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90" w:before="6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90" w:before="6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68" w:type="dxa"/>
        <w:jc w:val="left"/>
        <w:tblInd w:w="540" w:type="dxa"/>
        <w:tblLayout w:type="fixed"/>
        <w:tblCellMar>
          <w:top w:w="0" w:type="dxa"/>
          <w:left w:w="0" w:type="dxa"/>
          <w:bottom w:w="0" w:type="dxa"/>
          <w:right w:w="0" w:type="dxa"/>
        </w:tblCellMar>
      </w:tblPr>
      <w:tblGrid>
        <w:gridCol w:w="124"/>
        <w:gridCol w:w="22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2192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2192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74"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2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9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25,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1552575" cy="1809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552575" cy="180975"/>
                    </a:xfrm>
                    <a:prstGeom prst="rect">
                      <a:avLst/>
                    </a:prstGeom>
                  </pic:spPr>
                </pic:pic>
              </a:graphicData>
            </a:graphic>
          </wp:inline>
        </w:drawing>
      </w:r>
      <w:r>
        <w:rPr>
          <w:caps w:val="false"/>
          <w:smallCaps w:val="false"/>
          <w:color w:val="000000"/>
        </w:rPr>
        <w:t xml:space="preserve"> </w:t>
      </w:r>
    </w:p>
    <w:p>
      <w:pPr>
        <w:pStyle w:val="TextBody"/>
        <w:bidi w:val="0"/>
        <w:spacing w:lineRule="atLeast" w:line="300" w:before="440" w:after="283"/>
        <w:jc w:val="center"/>
        <w:rPr>
          <w:rFonts w:ascii="Times New Roman;Times;serif" w:hAnsi="Times New Roman;Times;serif"/>
          <w:b/>
          <w:i w:val="false"/>
          <w:caps w:val="false"/>
          <w:smallCaps w:val="false"/>
          <w:color w:val="000000"/>
          <w:sz w:val="26"/>
        </w:rPr>
      </w:pPr>
      <w:r>
        <w:rPr>
          <w:rFonts w:ascii="Times New Roman;Times;serif" w:hAnsi="Times New Roman;Times;serif"/>
          <w:b/>
          <w:i w:val="false"/>
          <w:caps w:val="false"/>
          <w:smallCaps w:val="false"/>
          <w:color w:val="000000"/>
          <w:spacing w:val="-5"/>
          <w:sz w:val="26"/>
        </w:rPr>
        <w:t>$100,000,000</w:t>
      </w:r>
      <w:r>
        <w:rPr>
          <w:rFonts w:ascii="Times New Roman;Times;serif" w:hAnsi="Times New Roman;Times;serif"/>
          <w:b/>
          <w:i w:val="false"/>
          <w:caps w:val="false"/>
          <w:smallCaps w:val="false"/>
          <w:color w:val="000000"/>
          <w:spacing w:val="5"/>
          <w:sz w:val="26"/>
        </w:rPr>
        <w:t xml:space="preserve"> </w:t>
      </w:r>
    </w:p>
    <w:p>
      <w:pPr>
        <w:pStyle w:val="TextBody"/>
        <w:bidi w:val="0"/>
        <w:spacing w:lineRule="atLeast" w:line="300" w:before="480" w:after="283"/>
        <w:jc w:val="center"/>
        <w:rPr>
          <w:rFonts w:ascii="Times New Roman;Times;serif" w:hAnsi="Times New Roman;Times;serif"/>
          <w:b/>
          <w:i w:val="false"/>
          <w:caps w:val="false"/>
          <w:smallCaps w:val="false"/>
          <w:color w:val="000000"/>
          <w:sz w:val="26"/>
        </w:rPr>
      </w:pPr>
      <w:r>
        <w:rPr>
          <w:rFonts w:ascii="Times New Roman;Times;serif" w:hAnsi="Times New Roman;Times;serif"/>
          <w:b/>
          <w:i w:val="false"/>
          <w:caps w:val="false"/>
          <w:smallCaps w:val="false"/>
          <w:color w:val="000000"/>
          <w:spacing w:val="-5"/>
          <w:sz w:val="26"/>
        </w:rPr>
        <w:t>CITI TRENDS, INC.</w:t>
      </w:r>
      <w:r>
        <w:rPr>
          <w:rFonts w:ascii="Times New Roman;Times;serif" w:hAnsi="Times New Roman;Times;serif"/>
          <w:b/>
          <w:i w:val="false"/>
          <w:caps w:val="false"/>
          <w:smallCaps w:val="false"/>
          <w:color w:val="000000"/>
          <w:spacing w:val="5"/>
          <w:sz w:val="26"/>
        </w:rPr>
        <w:t xml:space="preserve"> </w:t>
      </w:r>
    </w:p>
    <w:p>
      <w:pPr>
        <w:pStyle w:val="TextBody"/>
        <w:bidi w:val="0"/>
        <w:spacing w:lineRule="atLeast" w:line="300" w:before="480" w:after="283"/>
        <w:jc w:val="center"/>
        <w:rPr>
          <w:rFonts w:ascii="Times New Roman;Times;serif" w:hAnsi="Times New Roman;Times;serif"/>
          <w:b/>
          <w:i w:val="false"/>
          <w:caps w:val="false"/>
          <w:smallCaps w:val="false"/>
          <w:color w:val="000000"/>
          <w:sz w:val="26"/>
        </w:rPr>
      </w:pPr>
      <w:r>
        <w:rPr>
          <w:rFonts w:ascii="Times New Roman;Times;serif" w:hAnsi="Times New Roman;Times;serif"/>
          <w:b/>
          <w:i w:val="false"/>
          <w:caps w:val="false"/>
          <w:smallCaps w:val="false"/>
          <w:color w:val="000000"/>
          <w:spacing w:val="-5"/>
          <w:sz w:val="26"/>
        </w:rPr>
        <w:t>Common Stock</w:t>
      </w:r>
      <w:r>
        <w:rPr>
          <w:rFonts w:ascii="Times New Roman;Times;serif" w:hAnsi="Times New Roman;Times;serif"/>
          <w:b/>
          <w:i w:val="false"/>
          <w:caps w:val="false"/>
          <w:smallCaps w:val="false"/>
          <w:color w:val="000000"/>
          <w:spacing w:val="5"/>
          <w:sz w:val="26"/>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up to $100,000,000 in the aggregate of the securities identified above from time to time in one or more offerings. This prospectus provides you with a general description of such securities, our common stock, $0.01 par value per share (our “common stock”). </w:t>
      </w:r>
    </w:p>
    <w:p>
      <w:pPr>
        <w:pStyle w:val="TextBody"/>
        <w:bidi w:val="0"/>
        <w:spacing w:lineRule="atLeast" w:line="240" w:before="24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offer and sell shares of our common stock, we will provide specific information about the offering and the amounts, prices and terms of such securities in supplements to this prospectus. The supplement may also add, update or change information contained in this prospectus with respect to that offering. You should read this prospectus and any prospectus supplement or free writing prospectus carefully before you invest in our securities. </w:t>
      </w:r>
    </w:p>
    <w:p>
      <w:pPr>
        <w:pStyle w:val="TextBody"/>
        <w:bidi w:val="0"/>
        <w:spacing w:lineRule="atLeast" w:line="240" w:before="24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securities described in this prospectus and any prospectus supplement on a continuous or delayed basis to or through one or more underwriters, dealers and agents, or directly to purchasers, or through a combination of these methods. If any underwriters, dealers or agents are involved in the sale of any shares of our common stock,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delivered without delivery of this prospectus and the applicable prospectus supplement describing the method and terms of the offering of such securities. </w:t>
      </w:r>
    </w:p>
    <w:p>
      <w:pPr>
        <w:pStyle w:val="TextBody"/>
        <w:bidi w:val="0"/>
        <w:spacing w:lineRule="atLeast" w:line="240" w:before="24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(“NASDAQ”) under the symbol “CTRN.” On August 24, 2026, the last reported sale price of our common stock on Nasdaq was $74.35 per share. </w:t>
      </w:r>
    </w:p>
    <w:p>
      <w:pPr>
        <w:pStyle w:val="TextBody"/>
        <w:bidi w:val="0"/>
        <w:spacing w:lineRule="atLeast" w:line="240" w:before="24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risks. You should carefully consider the “Risk Factors” beginning on page </w:t>
      </w:r>
      <w:hyperlink w:anchor="tRIFA">
        <w:r>
          <w:rPr>
            <w:rStyle w:val="InternetLink"/>
          </w:rPr>
          <w:t>5</w:t>
        </w:r>
      </w:hyperlink>
      <w:r>
        <w:rPr>
          <w:rFonts w:ascii="Times New Roman;Times;serif" w:hAnsi="Times New Roman;Times;serif"/>
          <w:b/>
          <w:i w:val="false"/>
          <w:caps w:val="false"/>
          <w:smallCaps w:val="false"/>
          <w:color w:val="000000"/>
          <w:spacing w:val="-4"/>
          <w:sz w:val="20"/>
        </w:rPr>
        <w:t xml:space="preserve"> of this prospectus, any similarly titled section contained in the applicable prospectus supplement and in the periodic reports and other information we file with the Securities and Exchange Commission that are incorporated by reference into this prospectus concerning factors you should consider before you invest.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5"/>
        <w:gridCol w:w="109"/>
        <w:gridCol w:w="109"/>
        <w:gridCol w:w="109"/>
        <w:gridCol w:w="109"/>
        <w:gridCol w:w="39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5"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3"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left"/>
              <w:rPr/>
            </w:pPr>
            <w:hyperlink w:anchor="tSCNR">
              <w:r>
                <w:rPr>
                  <w:rStyle w:val="InternetLink"/>
                  <w:spacing w:val="4"/>
                </w:rPr>
                <w:t xml:space="preserve">SPECIAL 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3" w:type="dxa"/>
            <w:tcBorders/>
            <w:vAlign w:val="center"/>
          </w:tcPr>
          <w:p>
            <w:pPr>
              <w:pStyle w:val="TableContents"/>
              <w:bidi w:val="0"/>
              <w:spacing w:before="0" w:after="283"/>
              <w:jc w:val="right"/>
              <w:rPr/>
            </w:pPr>
            <w:hyperlink w:anchor="tSCNR">
              <w:r>
                <w:rPr>
                  <w:rStyle w:val="InternetLink"/>
                  <w:spacing w:val="4"/>
                </w:rPr>
                <w:t>2</w:t>
              </w:r>
            </w:hyperlink>
            <w:hyperlink w:anchor="tSCN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5" w:type="dxa"/>
            <w:tcBorders/>
            <w:shd w:fill="CCEEFF" w:val="cle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3" w:type="dxa"/>
            <w:tcBorders/>
            <w:shd w:fill="CCEEFF" w:val="clear"/>
            <w:vAlign w:val="center"/>
          </w:tcPr>
          <w:p>
            <w:pPr>
              <w:pStyle w:val="TableContents"/>
              <w:bidi w:val="0"/>
              <w:spacing w:before="0" w:after="283"/>
              <w:jc w:val="right"/>
              <w:rPr/>
            </w:pPr>
            <w:hyperlink w:anchor="tTHCO">
              <w:r>
                <w:rPr>
                  <w:rStyle w:val="InternetLink"/>
                  <w:spacing w:val="4"/>
                </w:rPr>
                <w:t>4</w:t>
              </w:r>
            </w:hyperlink>
            <w:hyperlink w:anchor="tTH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3" w:type="dxa"/>
            <w:tcBorders/>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5"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3" w:type="dxa"/>
            <w:tcBorders/>
            <w:shd w:fill="CCEEFF" w:val="clear"/>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3" w:type="dxa"/>
            <w:tcBorders/>
            <w:vAlign w:val="center"/>
          </w:tcPr>
          <w:p>
            <w:pPr>
              <w:pStyle w:val="TableContents"/>
              <w:bidi w:val="0"/>
              <w:spacing w:before="0" w:after="283"/>
              <w:jc w:val="right"/>
              <w:rPr/>
            </w:pPr>
            <w:hyperlink w:anchor="tDOCS">
              <w:r>
                <w:rPr>
                  <w:rStyle w:val="InternetLink"/>
                  <w:spacing w:val="4"/>
                </w:rPr>
                <w:t>7</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5" w:type="dxa"/>
            <w:tcBorders/>
            <w:shd w:fill="CCEEFF" w:val="clear"/>
            <w:vAlign w:val="center"/>
          </w:tcPr>
          <w:p>
            <w:pPr>
              <w:pStyle w:val="TableContents"/>
              <w:bidi w:val="0"/>
              <w:spacing w:before="0" w:after="0"/>
              <w:jc w:val="left"/>
              <w:rPr/>
            </w:pPr>
            <w:hyperlink w:anchor="tDOCS1">
              <w:r>
                <w:rPr>
                  <w:rStyle w:val="InternetLink"/>
                  <w:spacing w:val="4"/>
                </w:rPr>
                <w:t xml:space="preserve">DESCRIPTION OF COMMON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3" w:type="dxa"/>
            <w:tcBorders/>
            <w:shd w:fill="CCEEFF" w:val="clear"/>
            <w:vAlign w:val="center"/>
          </w:tcPr>
          <w:p>
            <w:pPr>
              <w:pStyle w:val="TableContents"/>
              <w:bidi w:val="0"/>
              <w:spacing w:before="0" w:after="283"/>
              <w:jc w:val="right"/>
              <w:rPr/>
            </w:pPr>
            <w:hyperlink w:anchor="tDOCS1">
              <w:r>
                <w:rPr>
                  <w:rStyle w:val="InternetLink"/>
                  <w:spacing w:val="4"/>
                </w:rPr>
                <w:t>7</w:t>
              </w:r>
            </w:hyperlink>
            <w:hyperlink w:anchor="tDOC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3" w:type="dxa"/>
            <w:tcBorders/>
            <w:vAlign w:val="center"/>
          </w:tcPr>
          <w:p>
            <w:pPr>
              <w:pStyle w:val="TableContents"/>
              <w:bidi w:val="0"/>
              <w:spacing w:before="0" w:after="283"/>
              <w:jc w:val="right"/>
              <w:rPr/>
            </w:pPr>
            <w:hyperlink w:anchor="tPOD">
              <w:r>
                <w:rPr>
                  <w:rStyle w:val="InternetLink"/>
                  <w:spacing w:val="4"/>
                </w:rPr>
                <w:t>10</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5"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3" w:type="dxa"/>
            <w:tcBorders/>
            <w:shd w:fill="CCEEFF" w:val="clear"/>
            <w:vAlign w:val="center"/>
          </w:tcPr>
          <w:p>
            <w:pPr>
              <w:pStyle w:val="TableContents"/>
              <w:bidi w:val="0"/>
              <w:spacing w:before="0" w:after="283"/>
              <w:jc w:val="right"/>
              <w:rPr/>
            </w:pPr>
            <w:hyperlink w:anchor="tWYCF">
              <w:r>
                <w:rPr>
                  <w:rStyle w:val="InternetLink"/>
                  <w:spacing w:val="4"/>
                </w:rPr>
                <w:t>13</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left"/>
              <w:rPr/>
            </w:pPr>
            <w:hyperlink w:anchor="tIBRO">
              <w:r>
                <w:rPr>
                  <w:rStyle w:val="InternetLink"/>
                  <w:spacing w:val="4"/>
                </w:rPr>
                <w:t xml:space="preserve">INCORPORATION BY REFERENCE OF CERTAIN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3" w:type="dxa"/>
            <w:tcBorders/>
            <w:vAlign w:val="center"/>
          </w:tcPr>
          <w:p>
            <w:pPr>
              <w:pStyle w:val="TableContents"/>
              <w:bidi w:val="0"/>
              <w:spacing w:before="0" w:after="283"/>
              <w:jc w:val="right"/>
              <w:rPr/>
            </w:pPr>
            <w:hyperlink w:anchor="tIBRO">
              <w:r>
                <w:rPr>
                  <w:rStyle w:val="InternetLink"/>
                  <w:spacing w:val="4"/>
                </w:rPr>
                <w:t>14</w:t>
              </w:r>
            </w:hyperlink>
            <w:hyperlink w:anchor="tIBR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5" w:type="dxa"/>
            <w:tcBorders/>
            <w:shd w:fill="CCEEFF" w:val="clear"/>
            <w:vAlign w:val="center"/>
          </w:tcPr>
          <w:p>
            <w:pPr>
              <w:pStyle w:val="TableContents"/>
              <w:bidi w:val="0"/>
              <w:spacing w:before="0" w:after="0"/>
              <w:jc w:val="left"/>
              <w:rPr/>
            </w:pPr>
            <w:hyperlink w:anchor="tVOTS">
              <w:r>
                <w:rPr>
                  <w:rStyle w:val="InternetLink"/>
                  <w:spacing w:val="4"/>
                </w:rPr>
                <w:t xml:space="preserve">VALIDITY OF THE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3" w:type="dxa"/>
            <w:tcBorders/>
            <w:shd w:fill="CCEEFF" w:val="clear"/>
            <w:vAlign w:val="center"/>
          </w:tcPr>
          <w:p>
            <w:pPr>
              <w:pStyle w:val="TableContents"/>
              <w:bidi w:val="0"/>
              <w:spacing w:before="0" w:after="283"/>
              <w:jc w:val="right"/>
              <w:rPr/>
            </w:pPr>
            <w:hyperlink w:anchor="tVOTS">
              <w:r>
                <w:rPr>
                  <w:rStyle w:val="InternetLink"/>
                  <w:spacing w:val="4"/>
                </w:rPr>
                <w:t>15</w:t>
              </w:r>
            </w:hyperlink>
            <w:hyperlink w:anchor="tVOT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3" w:type="dxa"/>
            <w:tcBorders/>
            <w:vAlign w:val="center"/>
          </w:tcPr>
          <w:p>
            <w:pPr>
              <w:pStyle w:val="TableContents"/>
              <w:bidi w:val="0"/>
              <w:spacing w:before="0" w:after="283"/>
              <w:jc w:val="right"/>
              <w:rPr/>
            </w:pPr>
            <w:hyperlink w:anchor="tEXP">
              <w:r>
                <w:rPr>
                  <w:rStyle w:val="InternetLink"/>
                  <w:spacing w:val="4"/>
                </w:rPr>
                <w:t>15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U.S. Securities and Exchange Commission (“Commission” or “SEC”) using a “shelf” registration process. Under this shelf process, we may offer and sell from time to time shares of our common stock described in this prospectus in one or more offerings. This prospectus provides you with a general description of the securities we may offer. Each time we offer and sell securities, specific information about the securities being offered and sold and the specific terms of that offering will be provided in supplements to this prospectus. We may also authorize one or more free writing prospectuses to be provided to you that may contain material information relating to these offerings. The prospectus supplement or free writing prospectus may also add, update, or change information contained in this prospectus. If there is any inconsistency between the information in this prospectus and the applicable prospectus supplement or free writing prospectus, you should rely on the prospectus supplement or free writing prospectus, as applicable. Before purchasing any securities, we urge you to read both this prospectus and any prospectus supplement (and any applicable free writing prospectuses) together with additional information described under the headings “Where You Can Find More Information” and “Incorporation by Reference of Certain Information” on pages </w:t>
      </w:r>
      <w:hyperlink w:anchor="tWYCF">
        <w:r>
          <w:rPr>
            <w:rStyle w:val="InternetLink"/>
          </w:rPr>
          <w:t>13</w:t>
        </w:r>
      </w:hyperlink>
      <w:r>
        <w:rPr>
          <w:rFonts w:ascii="Times New Roman;Times;serif" w:hAnsi="Times New Roman;Times;serif"/>
          <w:b w:val="false"/>
          <w:i w:val="false"/>
          <w:caps w:val="false"/>
          <w:smallCaps w:val="false"/>
          <w:color w:val="000000"/>
          <w:spacing w:val="4"/>
          <w:sz w:val="20"/>
        </w:rPr>
        <w:t xml:space="preserve"> and </w:t>
      </w:r>
      <w:hyperlink w:anchor="tIBRO">
        <w:r>
          <w:rPr>
            <w:rStyle w:val="InternetLink"/>
          </w:rPr>
          <w:t>14</w:t>
        </w:r>
      </w:hyperlink>
      <w:r>
        <w:rPr>
          <w:rFonts w:ascii="Times New Roman;Times;serif" w:hAnsi="Times New Roman;Times;serif"/>
          <w:b w:val="false"/>
          <w:i w:val="false"/>
          <w:caps w:val="false"/>
          <w:smallCaps w:val="false"/>
          <w:color w:val="000000"/>
          <w:spacing w:val="4"/>
          <w:sz w:val="20"/>
        </w:rPr>
        <w:t xml:space="preserve">, respectively, of this prospectus, and any similarly titled section of any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 this prospectus and any applicable prospectus supplement or any free writing prospectuses prepared by or on behalf of us or to which we have referred you. We have not authorized any other person to provide you with different information or to make any representations other than those contained in this prospectus, any applicable prospectus supplement or free writing prospectus. If anyone provides you with different or inconsistent information, we do not take responsibility for, and can provide no assurance to the reliability of, any such information and you should not rely on it. We will not make an offer to sell securities in any jurisdiction where the offer or sale is not permitted. You should assume that the information appearing in this prospectus and any applicable prospectus supplement is accurate only as of the date on its respective front cover, that the information appearing in any applicable free writing prospectus is accurate only as of the date of that free writing prospectus, and that any information we previously filed with the SEC and have incorporated by reference is accurate only as of the date of such document incorporated by reference, unless we indicate otherwise. Our business, financial condition, results of operations and prospects may have changed since the relevant date.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 such documents. Accordingly, investors should not place undue reliance on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When used in this prospectus, the terms “company,” “CITITRENDS,” “issuer,” “we,” “our,” and “us” refer to Citi Trends, Inc. and its subsidiary, unless otherwise specified.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CNR"/>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prospectus supplement and any applicable free writing prospectuses, including any documents incorporated by reference herein or therein, other public filings, and oral and written statements by us and our management, may include statements that constitute “forward-looking statements” within the meaning of the U.S. securities laws. These statements are based on the beliefs and assumptions of our management and on information available to us at the time such statements are made. Forward-looking statements include information concerning future results of our operations, expenses, earnings, liquidity, cash flows and capital expenditures which could differ materially from actual results due to known and unknown risks. Words such as “believe,” “anticipate,” “project,” “plan,” “expect,” “trend,” “estimate,” “objective,” “forecast,” “upcoming,” “goal,” “intend,” “could,” “would likely result,” “will continue” and similar words and expressions generally identify forward-looking statements, but not all forward-looking statements may contain such words. Although we believe that we have a reasonable basis for each forward-looking statement contained in or incorporated by reference into this prospectus,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or incorporated by reference into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contained in this prospectus reflect our views and assumptions only as of the date of this prospectus. Except as required by law, we assume no responsibility for updating any forward-looking statements. We qualify all of our forward-looking statements by these cautionary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important factors, and other factors described in this prospectus, incorporated by reference into this prospectus, the applicable prospectus supplement and any applicable free writing prospectus or contained in our other filings with the Commission, among others, could cause our results to differ materially from any results described in any forward-looking statements: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market interest rates and market levels of wages;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imposition of new taxes on imports, new tariffs and changes in existing tariff rates;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imposition of new trade restrictions and changes in existing trade restrictions or trade relationships;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natural disasters such as hurricanes;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uncertainty and economic impact of pandemics, epidemics or other public health emergencies; transportation and distribution delays or interruptions; changes in freight rates; </w:t>
      </w:r>
      <w:r>
        <mc:AlternateContent>
          <mc:Choice Requires="wps">
            <w:drawing>
              <wp:anchor behindDoc="0" distT="7493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and retain workers; </w:t>
      </w:r>
      <w:r>
        <mc:AlternateContent>
          <mc:Choice Requires="wps">
            <w:drawing>
              <wp:anchor behindDoc="0" distT="7493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negotiate effectively the cost and purchase of merchandise;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inventory risks due to shifts in market demand and to manage inventory shrinkage;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gauge fashion trends and changing consumer preferences;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consumer confidence and changes in consumer spending patterns;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within the industry;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in our markets;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duration and extent of any economic stimulus programs;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product mix;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interruptions in suppliers’ businesses;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cybersecurity, data privacy and intellectual property;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changes in demand due to weather patterns; seasonality of the Company’s business;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pending or threatened litigation; </w:t>
      </w:r>
      <w:r>
        <mc:AlternateContent>
          <mc:Choice Requires="wps">
            <w:drawing>
              <wp:anchor behindDoc="0" distT="0" distB="0" distL="254000" distR="0" simplePos="0" locked="0" layoutInCell="1" allowOverlap="1" relativeHeight="27">
                <wp:simplePos x="0" y="0"/>
                <wp:positionH relativeFrom="column">
                  <wp:align>left</wp:align>
                </wp:positionH>
                <wp:positionV relativeFrom="line">
                  <wp:posOffset>635</wp:posOffset>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and costs associated with building, remodeling, assuming leases, opening and operating new stores; and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and costs associated with building, and opening or expanding new or existing distribution centers;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regulator’s requirements or stakeholder’s expectations on environmental, social and sustainability related topics;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in effectively managing the use of artificial intelligence;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transactions that could negative impact our liquidity, increase our expenses, or present significant distractions to management.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discussion of the risks affecting us, please refer to the section above entitled “Risk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not to place undue reliance on these forward-looking statements, which speak only as of the date of this prospectus. Except as required by law, we assume no responsibility for updating any forward-looking statements. We qualify all of our forward-looking statements by these cautionary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HC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highly differentiated off-price value retailer known for trendy fashions, great brands and amazing prices. We are the only off-price retailer specifically focused on Black customers, delivering the styles, brands, and trends at compelling prices that resonate with this demographic. We offer culturally relevant fashion — what we call “Cultural Cachet” — in apparel, accessories and home goods, with a three-tiered mix of product. At the opening price point, we offer value-focused basics for our most budget-conscious customers. The core of our business is our ‘better’ tier- quality products with breadth of selection and fresh styles. At the top end, we’re expanding our ‘best’ tier with two distinct approaches. First, we’re adding more trend-relevant product at prices well below specialty retail. Second, we’re building our extreme value capabilities, offering well-known branded product at 50% to 75% off MSRP. Our research shows this treasure hunt element resonates particularly well with our core customer, who views shopping as both a practical necessity and an enjoyable activity, fostering deep customer loyalty and high shopping frequency in the neighborhoods in which we operate.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stores are strategically located in vibrant Black neighborhoods with product offerings for the entire family. Our stores average approximately 11,000 square feet of selling space and are typically found in outdoor community shopping centers across a variety of urban, suburban and rural markets. As of May 2, 2026, we operated 591 stores in 33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17 Park of Commerce Blvd, Suite 200, Savannah, Georgia 31405, and our telephone number is (912) 236-1561.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risks. You should carefully consider any risk factors discussed or incorporated by reference in the applicable prospectus supplement, together with all other information contained in the prospectus supplement or incorporated by reference in this prospectus. You should also consider the risks, uncertainties and assumptions discussed under the caption “Risk Factors” included in our most recent Annual Report on Form 10-K and any subsequent Quarterly Reports on Form 10-Q, and all other information contained or incorporated by reference in this prospectus, which may be amended, supplemented, or superseded from time to time by subsequent reports we file with the SEC in the future.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Please also carefully read the section entitled “Special Cautionary Note Regarding Forward-Looking Statements” or “Forward-Looking Statements”, as applicable, included in this prospectus, the applicable prospectus supplement or free writing prospectus, our most recent Annual Report on Form 10-K and any subsequent Quarterly Reports on Form 10-Q or Current Reports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may be set forth in a prospectus supplement, we intend to use the net proceeds from the sale of shares of our common stock for general corporate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this prospectus and any applicable prospectus supplement before you invest. The prospectus supplement relating to an offering may contain a more detailed or different description of the use of proceeds.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CS"/>
      <w:bookmarkEnd w:id="8"/>
      <w:r>
        <w:rPr>
          <w:rFonts w:ascii="calibri;arial;sans-serif" w:hAnsi="calibri;arial;sans-serif"/>
          <w:b w:val="false"/>
          <w:i w:val="false"/>
          <w:caps w:val="false"/>
          <w:smallCaps w:val="false"/>
          <w:color w:val="000000"/>
          <w:sz w:val="16"/>
        </w:rPr>
        <w:t>​</w:t>
      </w:r>
      <w:bookmarkStart w:id="9" w:name="tDOCS1"/>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one class of securities registered under Section 12 of the Securities Exchange Act of 1934, as amended (the “Exchange Act”): our common stock, par value $0.01 per share (the “common stock”). As of May 29, 2026, 8,329,848 shares of our common stock were issued and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common stock is a summary and does not purport to be complete. It is subject to and qualified in its entirety by reference to our Third Amended and Restated Certificate of Incorporation (the “Certificate of Incorporation”) and our Fourth Amended and Restated By-laws (the “Bylaws”), each of which are incorporated by reference as an exhibit to our Annual Report on Form 10-K. We encourage you to read the Certificate of Incorporation, the Bylaws and the applicable provisions of Delaware General Corporation Law (“DGCL”), for additional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32,000,000 shares of common stock, $0.01 par value per share, and shares of 5,000 undesignated preferred stock, $0.01 par value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National Market under the symbol “CTRN.” American Stock Transfer and Trust Company (“AST”) is the transfer agent and registrar for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apply to shares of preferred stock outstanding at the time, the holders of outstanding shares of common stock are entitled to receive dividends out of assets legally available at the time and in the amounts as our board of directors may from time to time determine.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 No Cumulative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common stockholder is entitled to one vote for each share of common stock held on all matters submitted to a vote of stockholders. Cumulative voting for the election of directors is not provided for in the Certificate of Incorporation, which means that the holders of a majority of the shares voted can elect all of the directors then standing for election.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Preemptive or Similar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our common stock is entitled to preemptive rights to subscribe for any shares of capital stock and our common stock is not subject to conversion or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 to Receive Liquidation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dissolution or winding-up, the assets legally available for distribution to our stockholders are distributable ratably among the holders of our common stock and any participating preferred stock outstanding at that time, after payment of liquidation preferences, if any, on any outstanding preferred stock and payment of other claims of creditors. Each outstanding share of common stock is fully paid and nonassessable.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Certain Provisions of Delaware Law and the Certificate of Incorporation and the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of the DGCL, the Certificate of Incorporation and the Bylaws contain provisions that may have some anti-takeover effects and may delay, defer or prevent a tender offer or takeover attempt that a stockholder might consider in its best interest, including those attempts that might result in a premium over the market price for the shares held by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203 of the DGCL provides that, subject to certain exceptions, a publicly held Delaware corporation may not engage in any “business combination” with any “interested stockholder” for a three-year period following the time that such stockholder became an interested stockholder, unless: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corporation has elected in its certificate of incorporation not to be governed by Section 203 (which we have not done); </w:t>
      </w:r>
      <w:r>
        <mc:AlternateContent>
          <mc:Choice Requires="wps">
            <w:drawing>
              <wp:anchor behindDoc="0" distT="8001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that time, the board of directors of the corporation approved either the business combination or the transaction which resulted in the stockholder becoming an interested stockholder; </w:t>
      </w:r>
      <w:r>
        <mc:AlternateContent>
          <mc:Choice Requires="wps">
            <w:drawing>
              <wp:anchor behindDoc="0" distT="8001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specified shares; or </w:t>
      </w:r>
      <w:r>
        <mc:AlternateContent>
          <mc:Choice Requires="wps">
            <w:drawing>
              <wp:anchor behindDoc="0" distT="800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subsequent to that time, the business combination is approved by the board of directors of the corporation and by the affirmative vote of at least two-thirds of the outstanding voting stock which is not owned by the interested stockholder.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three-year prohibition also does not apply to business combinations proposed by an interested stockholder following the announcement or notification of extraordinary transactions involving the corporation and a person who had not been an interested stockholder during the previous three years or who became an interested stockholder with the approval of a majority of the corporation’s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“business combination” is defined generally to include mergers or consolidations resulting in a financial benefit to the interested stockholder. The term “interested stockholder” is defined to include any person, other than the corporation and any direct or indirect majority-owned subsidiary of the corporation, who, together with affiliates and associates, owns (or owned within three years prior to the determination of interested stockholder status) 15% or more of the outstanding voting stock of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203 makes it more difficult for a person who would be an interested stockholder to effect various business combinations with a corporation for a three-year period. The provisions of Section 203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directors of the Corporation shall be fixed from time to time by the vote of a majority of the entire Board of Directors, but such number shall in no case be less than five (5) nor more than nine (9). Any such determination made by the Board of Directors shall continue in effect unless and until changed by the Board of Directors, but no such changes shall affect the term of any directors then in office.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 of Office; Vacancies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directors shall be elected annually and serve until the next annual meeting of stockholders or until their earlier death, resignation, removal or disqualification.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Vacancies in the Board of Directors and newly-created directorships resulting from any increase in the authorized number of directors may be filled as provided in the By-Laws of the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By-Laws, a director may be removed, with or without cause, upon the affirmative vote of the holders of a majority of the votes which could be cast by the holders of all outstanding shares of capital stock entitled to vote for the election of directors, voting together as a class, given at a duly called annual or special meeting of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Stockholder Action by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required or permitted to be taken by the stockholders of the Corporation must be effected at a duly called annual or special meeting of the stockholders of the Corporation, and the ability of the stockholders to consent in writing to the taking of any action is specifically denied.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Advance Notice Requirements for Director Nominations and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Bylaws provide that stockholders seeking to nominate candidates for election as directors or to bring business before an annual meeting of stockholders must provide timely notice of their proposal in writing to the corporate secretary in order for the matter to be properly brought before a meeting. These provisions may impede stockholders’ ability to bring matters before an annual meeting of stockholders or to make nominations for directors at an annual meeting of stockholders.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by this prospectus from time to time in one or more transactions, including without limitation: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underwriting syndicates represented by one or more managing underwriters;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or dealers;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agents;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ordinary brokerage transactions;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block trades;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within the meaning of Rule 415(a)(4) of the Securities Act of 1933, as amended (the “Securities Act”) to or through a market maker or into an existing trading market on an exchange or otherwise;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rights offering;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these methods; or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other method permitted by applicable law and described in a prospectus supplement.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with respect to each series of securities will state the terms of the offering of the securities,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dealers, agents or direct purchasers and the amounts of securities underwritten or purchased by each of them, if any;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price or purchase price of the securities and the net proceeds to be received by us from the sale;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or agency fees and other items constituting underwriters’ or agents’ compensation; and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offerings may be made on a continuous or delayed basis. If we use underwriters or dealers in the sale, the securities will be acquired by the underwriters or dealers for their own account and may be resold from time to time in one or more transactions,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within the meaning of Rule 415(a)(4) under the Securities Act;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prices may represent a discount from the prevailing market prices.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Any third parties acting as underwriters in such sale transactions will be identified in the applicable prospectus supplement (or a post-effective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Any underwriters, agents or dealers will be identified in the applicable prospectus supplement or pricing supplement, as the case may be, and a description of their commissions, fees or discounts will be provided.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Underwriters and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a sale,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shares of our common stock to the public through an underwriting syndicate or through a single underwriter. The underwriters in any particular offering will be identified in the applicable prospectus supplement or pricing supplement, as the case may be.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connection with any particular offering of securities, the obligations of the underwriters to purchase the offered securities will be subject to certain conditions contained in an underwriting agreement that will be entered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be designated to sell the offered securities. Unless otherwise specified in connection with any particular offering of securities, the agents will agree to use their best efforts to solicit purchases for the period of their appointment. The offered securities also may be sold to one or more remarketing firms, acting as principals for their own accounts or as agents for us, as applicable.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the agreement, if any, and its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offered securities may be sold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Other dealers may be allowed to participate in resales.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choose to sell the offered securities directly. In this case, no underwriters or agents would be involved.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Institutional Purchasers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dealers or underwriters to solicit certain institutional investors to purchase offered securities on a delayed delivery basis pursuant to delayed delivery contracts providing for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delivery on a specified future date. The applicable prospectus supplement or pricing supplement, as the case may be, will provide the details of any such arrangement, including the offering price and commissions payable on the solicitations.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delayed contracts will be entered into only with institutional purchasers approved by us, as applicable. These institutions may include commercial and savings banks, insurance companies, pension funds, investment companies and educational and charitable institutions. The obligations of any purchaser under any such delayed delivery contract will be subject to the condition that the purchase of the securities shall not at the time of delivery be prohibited under the laws of the jurisdiction to which the purchaser is subject.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Making, Stabilization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offering of common stock, the underwriters may purchase and sell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WYC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 company and file annual, quarterly and current reports, proxy statements and other information with the SEC. Our SEC filings are available on the SEC’s web site at http://www.sec.gov. Copies of certain information filed by us with the SEC are also available free of charge on our web site at https://ir.cititrends.com as soon as reasonably practicable after we file or furnish such material to the SEC. Our stock is quoted on NASDAQ under the symbol “CTRN.” We have not incorporated by reference into this prospectus the information on our website, and you should not consider it to be a part of this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prospectus supplement are or will be, respectively,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additional documents are summaries and each statement is qualified in all respects by reference to the document to which it refers. You should refer to the actual documents for a more complete description of the relevant matters. You may inspect a complete copy of the registration statement through the SEC’s website, as provided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IBR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OF CERTAIN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we file with the SEC. This means that we can disclose important information to you by referring you to another document filed separately with the SEC without restating that information in this document. The information incorporated by reference into this prospectus is considered to be part of this prospectus, and information we file with the SEC pursuant to Section 13(a), 13(c), 14 or 15(d) of the Exchange Act after the date of this prospectus, will automatically update and supersede the information contained in this prospectus and documents listed below. We incorporate by reference into this prospectus the documents listed below, except to the extent information in those documents differs from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incorporated by reference is an important part of this prospectus. Any statement in a document incorporated by reference into this prospectus will be deemed to be modified or superseded to the extent a statement contained in (1) this prospectus or (2) any other subsequently filed document that is incorporated by reference into this prospectus modifies or supersedes such statement. The documents incorporated by reference herein include: </w:t>
      </w:r>
    </w:p>
    <w:p>
      <w:pPr>
        <w:pStyle w:val="TextBody"/>
        <w:bidi w:val="0"/>
        <w:spacing w:lineRule="atLeast" w:line="240" w:before="120" w:after="0"/>
        <w:ind w:left="1993" w:right="0" w:hanging="0"/>
        <w:jc w:val="left"/>
        <w:rPr/>
      </w:pPr>
      <w:hyperlink r:id="rId3">
        <w:r>
          <w:rPr>
            <w:rStyle w:val="InternetLink"/>
          </w:rPr>
          <w:t>our Annual Report on Form 10-K for the fiscal year ended January 31, 2026, filed with the SEC on April 15,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for the year ended January 31, 2026 from our </w:t>
      </w:r>
      <w:hyperlink r:id="rId4">
        <w:r>
          <w:rPr>
            <w:rStyle w:val="InternetLink"/>
          </w:rPr>
          <w:t>Definitive Proxy Statement on Schedule 14A filed with the SEC on May 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5">
        <w:r>
          <w:rPr>
            <w:rStyle w:val="InternetLink"/>
          </w:rPr>
          <w:t>our Quarterly Report on Form 10-Q for the quarter ended May 2, 2026, filed with the SEC on June 10,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6">
        <w:r>
          <w:rPr>
            <w:rStyle w:val="InternetLink"/>
          </w:rPr>
          <w:t>February 20, 2026</w:t>
        </w:r>
      </w:hyperlink>
      <w:r>
        <w:rPr>
          <w:rFonts w:ascii="Times New Roman;Times;serif" w:hAnsi="Times New Roman;Times;serif"/>
          <w:b w:val="false"/>
          <w:i w:val="false"/>
          <w:caps w:val="false"/>
          <w:smallCaps w:val="false"/>
          <w:color w:val="000000"/>
          <w:spacing w:val="4"/>
          <w:sz w:val="20"/>
        </w:rPr>
        <w:t xml:space="preserve"> and </w:t>
      </w:r>
      <w:hyperlink r:id="rId7">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included in </w:t>
      </w:r>
      <w:hyperlink r:id="rId8">
        <w:r>
          <w:rPr>
            <w:rStyle w:val="InternetLink"/>
          </w:rPr>
          <w:t>Exhibit 4.2</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February 1, 2020, and as amended by any subsequent amendment or any report filed for the purpose of updating such description.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we file pursuant to Sections 13(a), 13(c), 14 or 15(d) of the Exchange Act on or after the date of the initial registration statement and prior to effectiveness of the registration statement and after the date of this prospectus and prior to the termination of the offering of the securities to which this prospectus relates (other than information in such documents that is furnished and not deemed to be filed) shall be deemed to be incorporated by reference into this prospectus and to be part hereof from the date of filing of those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each person, including any beneficial owner, to whom this prospectus is delivered, upon written or oral request, a copy of any and all of the documents that have been or may be incorporated by reference in this prospectus but not delivered with this prospectus. Exhibits to the filings will not be sent unless those exhibits have specifically been incorporated by reference in this prospectus or any accompanying prospectus supplement. You should direct requests for documents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Citi Trends,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Corporate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17 Park of Commerce Blvd,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Savannah, Georgia 31405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(912) 236-1561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CitiTrendsIR@icrinc.com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VOTS"/>
      <w:bookmarkEnd w:id="13"/>
      <w:r>
        <w:rPr>
          <w:rFonts w:ascii="calibri;arial;sans-serif" w:hAnsi="calibri;arial;sans-serif"/>
          <w:b w:val="false"/>
          <w:i w:val="false"/>
          <w:caps w:val="false"/>
          <w:smallCaps w:val="false"/>
          <w:color w:val="000000"/>
          <w:sz w:val="16"/>
        </w:rPr>
        <w:t>​</w:t>
      </w:r>
      <w:bookmarkStart w:id="14" w:name="t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THE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by this prospectus will be passed upon for us by Sullivan &amp; Cromwell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Citi Trends, Inc. and its subsidiary incorporated by reference in this Registration Statement, and the effectiveness of Citi Trends, Inc. and subsidiary’s internal control over financial reporting have been audited by Deloitte &amp; Touche LLP, an independent registered public accounting firm, as stated in their reports. Such financial statements are incorporated by reference in reliance on the reports of such firm, given their authority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estimated expenses (all of which will be borne by the company) incurred in connection with the issuance and distribution of the securities being registered, other than underwriting discounts and commissions (if any). All of the amounts shown are estimates, except the SEC registration fee. </w:t>
      </w:r>
    </w:p>
    <w:tbl>
      <w:tblPr>
        <w:tblW w:w="5982" w:type="dxa"/>
        <w:jc w:val="left"/>
        <w:tblInd w:w="1393" w:type="dxa"/>
        <w:tblLayout w:type="fixed"/>
        <w:tblCellMar>
          <w:top w:w="0" w:type="dxa"/>
          <w:left w:w="0" w:type="dxa"/>
          <w:bottom w:w="0" w:type="dxa"/>
          <w:right w:w="0" w:type="dxa"/>
        </w:tblCellMar>
      </w:tblPr>
      <w:tblGrid>
        <w:gridCol w:w="124"/>
        <w:gridCol w:w="4216"/>
        <w:gridCol w:w="109"/>
        <w:gridCol w:w="109"/>
        <w:gridCol w:w="109"/>
        <w:gridCol w:w="226"/>
        <w:gridCol w:w="82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216"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26" w:type="dxa"/>
            <w:tcBorders/>
            <w:shd w:fill="CCEEFF" w:val="clear"/>
            <w:vAlign w:val="center"/>
          </w:tcPr>
          <w:p>
            <w:pPr>
              <w:pStyle w:val="TableContents"/>
              <w:bidi w:val="0"/>
              <w:spacing w:before="0" w:after="283"/>
              <w:jc w:val="right"/>
              <w:rPr/>
            </w:pPr>
            <w:r>
              <w:rPr/>
              <w:t xml:space="preserve">13,810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216" w:type="dxa"/>
            <w:tcBorders/>
            <w:vAlign w:val="center"/>
          </w:tcPr>
          <w:p>
            <w:pPr>
              <w:pStyle w:val="TableContents"/>
              <w:bidi w:val="0"/>
              <w:spacing w:before="0" w:after="0"/>
              <w:jc w:val="left"/>
              <w:rPr>
                <w:spacing w:val="4"/>
              </w:rPr>
            </w:pPr>
            <w:r>
              <w:rPr>
                <w:spacing w:val="4"/>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w:t>
            </w:r>
            <w:r>
              <w:rPr>
                <w:sz w:val="13"/>
              </w:rPr>
              <w:t>(1)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216" w:type="dxa"/>
            <w:tcBorders/>
            <w:shd w:fill="CCEEFF" w:val="clear"/>
            <w:vAlign w:val="center"/>
          </w:tcPr>
          <w:p>
            <w:pPr>
              <w:pStyle w:val="TableContents"/>
              <w:bidi w:val="0"/>
              <w:spacing w:before="0" w:after="0"/>
              <w:jc w:val="left"/>
              <w:rPr>
                <w:spacing w:val="4"/>
              </w:rPr>
            </w:pPr>
            <w:r>
              <w:rPr>
                <w:spacing w:val="4"/>
              </w:rPr>
              <w:t xml:space="preserve">Printing and distributing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26" w:type="dxa"/>
            <w:tcBorders/>
            <w:shd w:fill="CCEEFF" w:val="clear"/>
            <w:vAlign w:val="center"/>
          </w:tcPr>
          <w:p>
            <w:pPr>
              <w:pStyle w:val="TableContents"/>
              <w:bidi w:val="0"/>
              <w:spacing w:before="0" w:after="283"/>
              <w:jc w:val="right"/>
              <w:rPr/>
            </w:pPr>
            <w:r>
              <w:rPr/>
              <w:t>​</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216"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w:t>
            </w:r>
            <w:r>
              <w:rPr>
                <w:sz w:val="13"/>
              </w:rPr>
              <w:t>(1)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216"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26" w:type="dxa"/>
            <w:tcBorders/>
            <w:shd w:fill="CCEEFF" w:val="clear"/>
            <w:vAlign w:val="center"/>
          </w:tcPr>
          <w:p>
            <w:pPr>
              <w:pStyle w:val="TableContents"/>
              <w:bidi w:val="0"/>
              <w:spacing w:before="0" w:after="283"/>
              <w:jc w:val="right"/>
              <w:rPr/>
            </w:pPr>
            <w:r>
              <w:rPr/>
              <w:t>​</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216" w:type="dxa"/>
            <w:tcBorders/>
            <w:vAlign w:val="center"/>
          </w:tcPr>
          <w:p>
            <w:pPr>
              <w:pStyle w:val="TableContents"/>
              <w:bidi w:val="0"/>
              <w:spacing w:before="0" w:after="0"/>
              <w:jc w:val="left"/>
              <w:rPr>
                <w:spacing w:val="4"/>
              </w:rPr>
            </w:pPr>
            <w:r>
              <w:rPr>
                <w:spacing w:val="4"/>
              </w:rPr>
              <w:t xml:space="preserve">Blue Sky, qualification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w:t>
            </w:r>
            <w:r>
              <w:rPr>
                <w:sz w:val="13"/>
              </w:rPr>
              <w:t>(1)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216" w:type="dxa"/>
            <w:tcBorders/>
            <w:shd w:fill="CCEEFF" w:val="clear"/>
            <w:vAlign w:val="center"/>
          </w:tcPr>
          <w:p>
            <w:pPr>
              <w:pStyle w:val="TableContents"/>
              <w:bidi w:val="0"/>
              <w:spacing w:before="0" w:after="0"/>
              <w:jc w:val="left"/>
              <w:rPr>
                <w:spacing w:val="4"/>
              </w:rPr>
            </w:pPr>
            <w:r>
              <w:rPr>
                <w:spacing w:val="4"/>
              </w:rPr>
              <w:t xml:space="preserve">Transfer agent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26" w:type="dxa"/>
            <w:tcBorders/>
            <w:shd w:fill="CCEEFF" w:val="clear"/>
            <w:vAlign w:val="center"/>
          </w:tcPr>
          <w:p>
            <w:pPr>
              <w:pStyle w:val="TableContents"/>
              <w:bidi w:val="0"/>
              <w:spacing w:before="0" w:after="283"/>
              <w:jc w:val="right"/>
              <w:rPr/>
            </w:pPr>
            <w:r>
              <w:rPr/>
              <w:t>​</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216" w:type="dxa"/>
            <w:tcBorders/>
            <w:vAlign w:val="center"/>
          </w:tcPr>
          <w:p>
            <w:pPr>
              <w:pStyle w:val="TableContents"/>
              <w:bidi w:val="0"/>
              <w:spacing w:before="0" w:after="0"/>
              <w:jc w:val="left"/>
              <w:rPr>
                <w:spacing w:val="4"/>
              </w:rPr>
            </w:pPr>
            <w:r>
              <w:rPr>
                <w:spacing w:val="4"/>
              </w:rPr>
              <w:t xml:space="preserve">Miscellaneous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26" w:type="dxa"/>
            <w:tcBorders/>
            <w:vAlign w:val="center"/>
          </w:tcPr>
          <w:p>
            <w:pPr>
              <w:pStyle w:val="TableContents"/>
              <w:bidi w:val="0"/>
              <w:spacing w:before="0" w:after="283"/>
              <w:jc w:val="right"/>
              <w:rPr/>
            </w:pPr>
            <w:r>
              <w:rPr/>
              <w:t>​</w:t>
            </w:r>
            <w:r>
              <w:rPr>
                <w:sz w:val="13"/>
              </w:rPr>
              <w:t>(1)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216" w:type="dxa"/>
            <w:tcBorders/>
            <w:shd w:fill="CCEEFF" w:val="cle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26" w:type="dxa"/>
            <w:tcBorders/>
            <w:shd w:fill="CCEEFF" w:val="clear"/>
            <w:vAlign w:val="center"/>
          </w:tcPr>
          <w:p>
            <w:pPr>
              <w:pStyle w:val="TableContents"/>
              <w:bidi w:val="0"/>
              <w:spacing w:before="0" w:after="283"/>
              <w:jc w:val="right"/>
              <w:rPr/>
            </w:pPr>
            <w:r>
              <w:rPr/>
              <w:t>​</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estimated at this time. </w:t>
      </w:r>
      <w:r>
        <mc:AlternateContent>
          <mc:Choice Requires="wps">
            <w:drawing>
              <wp:anchor behindDoc="0" distT="10541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Delaware General Corporation Law provides that a corporation may indemnify any person, including an officer or director, who was or is,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other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best interests of the corporation and, for criminal actions and proceedings, had no reasonable cause to believe that his or her conduct was unlawful. A Delaware corporation may indemnify a director, officer, employee or agent against expenses (including attorneys’ fees) actually and reasonably incurred in an action by or in the right of the corporation under the same conditions, except that no indemnification is permitted without judicial approval if such person is adjudged to be liable to the corporation. Where a director or officer is successful on the merits or otherwise in the defense of any action referred to above, the corporation must indemnify him against the expenses which such director or officer actually or reasonably incurred. The indemnification provided for by the statute is not exclusive of any other rights of indemnification.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Section 102(b)(7) of the Delaware General Corporation Law, the Company has adopted provisions in its Certificate of Incorporation and its By-laws that limit or eliminate the personal liability of its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Company or its stockholders for monetary damages or breach of fiduciary duty as a director except for: (i) any breach of the director’s duty of loyalty to the Company or its stockholders; (ii) any act or omission not in good faith or that involves intentional misconduct or a knowing violation of law; (iii) any act related to unlawful stock repurchases, redemptions or other distributions or payment of dividends; or (iv) any transaction from which the director derived an improper personal benefit.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of liability do not affect the availability of equitable remedies such as injunctive relief or rescission. The Certificate of Incorporation also authorizes the Company to indemnify its officers, directors and other agents to the fullest extent permitted under Delaware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Section 145 of the Delaware General Corporation Law, the By-laws provide that: (i) the Company may indemnify its directors, officers and employees to the fullest extent permitted by the Delaware General Corporation Law, subject to limited exceptions; (ii) the Company may advance expenses to its directors, officers and employees in connection with a legal proceeding, subject to limited exceptions; and (iii) the rights provided in the By-laws are not exclusive.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and By-laws, provide for the indemnification provisions described above. In addition, the Company has purchased a policy of directors’ and officers’ liability insurance that insures its directors and officers against the cost of defense, settlement or payment of a judgment in some circumstances. These indemnification provisions may be sufficiently broad to permit, by their terms, indemnification of the Company’s officers and directors for liabilities, including reimbursement of expenses incurred, arising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78"/>
        <w:gridCol w:w="109"/>
        <w:gridCol w:w="109"/>
        <w:gridCol w:w="7637"/>
        <w:gridCol w:w="155"/>
      </w:tblGrid>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200" w:right="0" w:hanging="0"/>
              <w:jc w:val="left"/>
              <w:rPr>
                <w:spacing w:val="4"/>
              </w:rPr>
            </w:pPr>
            <w:r>
              <w:rPr>
                <w:spacing w:val="4"/>
              </w:rPr>
              <w:t xml:space="preserve">1.1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283"/>
              <w:jc w:val="left"/>
              <w:rPr>
                <w:spacing w:val="4"/>
              </w:rPr>
            </w:pPr>
            <w:r>
              <w:rPr>
                <w:spacing w:val="4"/>
              </w:rPr>
              <w:t xml:space="preserve">Form of Underwriting Agreement*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0"/>
              <w:jc w:val="left"/>
              <w:rPr/>
            </w:pPr>
            <w:hyperlink r:id="rId9">
              <w:r>
                <w:rPr>
                  <w:rStyle w:val="InternetLink"/>
                  <w:spacing w:val="4"/>
                </w:rPr>
                <w:t>Third Amended and Restated Certificate of Incorporation (incorporated by reference to Exhibit 3.1 to the Company’s Current Report on Form 8-K filed with the SEC on June 7, 2018)</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200" w:right="0" w:hanging="0"/>
              <w:jc w:val="left"/>
              <w:rPr>
                <w:spacing w:val="4"/>
              </w:rPr>
            </w:pPr>
            <w:r>
              <w:rPr>
                <w:spacing w:val="4"/>
              </w:rPr>
              <w:t xml:space="preserve">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0"/>
              <w:jc w:val="left"/>
              <w:rPr/>
            </w:pPr>
            <w:hyperlink r:id="rId10">
              <w:r>
                <w:rPr>
                  <w:rStyle w:val="InternetLink"/>
                  <w:spacing w:val="4"/>
                </w:rPr>
                <w:t>Fourth Amended and Restated Bylaws (incorporated by reference to Exhibit 3.2 to the Company’s Current Report on Form 8-K filed with the SEC on October 31, 2022)</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283"/>
              <w:jc w:val="left"/>
              <w:rPr/>
            </w:pPr>
            <w:hyperlink r:id="rId11">
              <w:r>
                <w:rPr>
                  <w:rStyle w:val="InternetLink"/>
                </w:rPr>
                <w:t>Specimen certificate for shares of common stock, $0.01 par value (incorporated by reference to Exhibit 4.1 to Amendment No. 2 to the Company’s Registration Statement on Form S-1 (File No. 333-123028) filed with the SEC on April 29, 2005)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0"/>
              <w:jc w:val="left"/>
              <w:rPr/>
            </w:pPr>
            <w:hyperlink r:id="rId12">
              <w:r>
                <w:rPr>
                  <w:rStyle w:val="InternetLink"/>
                  <w:spacing w:val="4"/>
                </w:rPr>
                <w:t>Description of Registrant’s Securities (incorporated by reference to Exhibit 4.2 to the Company’s Annual Report on Form 10-K filed with the SEC on May 14, 2020)</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0"/>
              <w:jc w:val="left"/>
              <w:rPr/>
            </w:pPr>
            <w:hyperlink w:anchor="tm2623811d2_ex5-1.htm">
              <w:r>
                <w:rPr>
                  <w:rStyle w:val="InternetLink"/>
                  <w:spacing w:val="4"/>
                </w:rPr>
                <w:t xml:space="preserve">Opinion of Sullivan &amp; Cromwell LLP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0"/>
              <w:jc w:val="left"/>
              <w:rPr/>
            </w:pPr>
            <w:hyperlink w:anchor="tm2623811d2_ex23-1.htm">
              <w:r>
                <w:rPr>
                  <w:rStyle w:val="InternetLink"/>
                  <w:spacing w:val="4"/>
                </w:rPr>
                <w:t>Consent of Deloitte &amp; Touche LLP</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0"/>
              <w:jc w:val="left"/>
              <w:rPr/>
            </w:pPr>
            <w:hyperlink w:anchor="tm2623811d2_ex5-1.htm">
              <w:r>
                <w:rPr>
                  <w:rStyle w:val="InternetLink"/>
                  <w:spacing w:val="4"/>
                </w:rPr>
                <w:t xml:space="preserve">Consent of Sullivan &amp; Cromwell LLP (included in Exhibit 5.1)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0"/>
              <w:jc w:val="left"/>
              <w:rPr/>
            </w:pPr>
            <w:hyperlink w:anchor="tPOA">
              <w:r>
                <w:rPr>
                  <w:rStyle w:val="InternetLink"/>
                  <w:spacing w:val="4"/>
                </w:rPr>
                <w:t>Power of Attorney (included in signature pages hereto)</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8" w:type="dxa"/>
            <w:tcBorders/>
            <w:vAlign w:val="center"/>
          </w:tcPr>
          <w:p>
            <w:pPr>
              <w:pStyle w:val="TableContents"/>
              <w:bidi w:val="0"/>
              <w:spacing w:before="0" w:after="283"/>
              <w:jc w:val="left"/>
              <w:rPr>
                <w:spacing w:val="4"/>
              </w:rPr>
            </w:pPr>
            <w:r>
              <w:rPr>
                <w:spacing w:val="4"/>
              </w:rPr>
              <w:t xml:space="preserve">107.1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37" w:type="dxa"/>
            <w:tcBorders/>
            <w:vAlign w:val="center"/>
          </w:tcPr>
          <w:p>
            <w:pPr>
              <w:pStyle w:val="TableContents"/>
              <w:bidi w:val="0"/>
              <w:spacing w:before="0" w:after="0"/>
              <w:jc w:val="left"/>
              <w:rPr/>
            </w:pPr>
            <w:hyperlink w:anchor="tm2623811d1_ex-filingfees.htm">
              <w:r>
                <w:rPr>
                  <w:rStyle w:val="InternetLink"/>
                  <w:spacing w:val="4"/>
                </w:rPr>
                <w:t>Filing Fee Table</w:t>
              </w:r>
            </w:hyperlink>
            <w:r>
              <w:rPr>
                <w:spacing w:val="4"/>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as an exhibit to a document to be incorporated by reference herein.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undersigned registrant hereby undertakes: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of 1933;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to any purchaser: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undersigned registrant relating to the offering required to be filed pursuant to Rule 424;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undersigned registrant or used or referred to by the undersigned registrant;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undersigned registrant to the purchaser.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Insofar as indemnification for liabilities arising under the Securities Act of 1933 may be permitted to directors, officers and controlling persons of each Registrant pursuant to the foregoing provisions, or otherwise, each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O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Savannah, State of Georgia, on this 25th day of August, 2026.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CITI TRENDS,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6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Kenneth D. Seipel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28600" distB="0" distL="3048000" distR="0" simplePos="0" locked="0" layoutInCell="1" allowOverlap="1" relativeHeight="64">
                <wp:simplePos x="0" y="0"/>
                <wp:positionH relativeFrom="column">
                  <wp:align>left</wp:align>
                </wp:positionH>
                <wp:positionV relativeFrom="line">
                  <wp:align>top</wp:align>
                </wp:positionV>
                <wp:extent cx="254000" cy="52578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8pt;mso-wrap-distance-bottom:0pt;margin-top:1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Kenneth D. Seipel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Chief Executive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KNOWN ALL PERSONS BY THESE PRESENTS, that each person whose signature appears below hereby severally constitutes and appoints Kenneth D. Seipel and Heather L. Plutino, and each of them severally, as his or her true and lawful attorneys-in-fact and agents, with full power of substitution and resubstitution, for him or her and in his or her name, place and stead, in any and all capacities, to sign the registration statement on Form S-3 and any and all amendments (including post-effective amendments and amendments filed pursuant to Rule 462(b) under the Securities Act of 1933) to the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177"/>
        <w:gridCol w:w="109"/>
        <w:gridCol w:w="109"/>
        <w:gridCol w:w="4353"/>
        <w:gridCol w:w="109"/>
        <w:gridCol w:w="109"/>
        <w:gridCol w:w="156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7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5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7" w:type="dxa"/>
            <w:tcBorders/>
            <w:tcMar>
              <w:bottom w:w="0" w:type="dxa"/>
            </w:tcMar>
            <w:vAlign w:val="center"/>
          </w:tcPr>
          <w:p>
            <w:pPr>
              <w:pStyle w:val="TableContents"/>
              <w:bidi w:val="0"/>
              <w:spacing w:before="0" w:after="0"/>
              <w:jc w:val="center"/>
              <w:rPr/>
            </w:pPr>
            <w:r>
              <w:rPr>
                <w:spacing w:val="4"/>
              </w:rPr>
              <w:t>/s/ Kenneth D. Seipel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Kenneth D. Seipel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0"/>
              <w:jc w:val="center"/>
              <w:rPr/>
            </w:pPr>
            <w:r>
              <w:rPr>
                <w:spacing w:val="4"/>
              </w:rPr>
              <w:t>Chief Executive Officer and Chairman</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7" w:type="dxa"/>
            <w:tcBorders/>
            <w:tcMar>
              <w:bottom w:w="0" w:type="dxa"/>
            </w:tcMar>
            <w:vAlign w:val="center"/>
          </w:tcPr>
          <w:p>
            <w:pPr>
              <w:pStyle w:val="TableContents"/>
              <w:bidi w:val="0"/>
              <w:spacing w:before="0" w:after="0"/>
              <w:jc w:val="center"/>
              <w:rPr>
                <w:spacing w:val="4"/>
              </w:rPr>
            </w:pPr>
            <w:r>
              <w:rPr>
                <w:spacing w:val="4"/>
              </w:rPr>
              <w:t xml:space="preserve">August 25,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7" w:type="dxa"/>
            <w:tcBorders/>
            <w:tcMar>
              <w:bottom w:w="0" w:type="dxa"/>
            </w:tcMar>
            <w:vAlign w:val="center"/>
          </w:tcPr>
          <w:p>
            <w:pPr>
              <w:pStyle w:val="TableContents"/>
              <w:bidi w:val="0"/>
              <w:spacing w:before="0" w:after="0"/>
              <w:jc w:val="center"/>
              <w:rPr/>
            </w:pPr>
            <w:r>
              <w:rPr>
                <w:spacing w:val="4"/>
              </w:rPr>
              <w:t>/s/ Heather Plutino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Heather Plutino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Officer and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7" w:type="dxa"/>
            <w:tcBorders/>
            <w:tcMar>
              <w:bottom w:w="0" w:type="dxa"/>
            </w:tcMar>
            <w:vAlign w:val="center"/>
          </w:tcPr>
          <w:p>
            <w:pPr>
              <w:pStyle w:val="TableContents"/>
              <w:bidi w:val="0"/>
              <w:spacing w:before="0" w:after="0"/>
              <w:jc w:val="center"/>
              <w:rPr>
                <w:spacing w:val="4"/>
              </w:rPr>
            </w:pPr>
            <w:r>
              <w:rPr>
                <w:spacing w:val="4"/>
              </w:rPr>
              <w:t xml:space="preserve">August 25,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7" w:type="dxa"/>
            <w:tcBorders/>
            <w:tcMar>
              <w:bottom w:w="0" w:type="dxa"/>
            </w:tcMar>
            <w:vAlign w:val="center"/>
          </w:tcPr>
          <w:p>
            <w:pPr>
              <w:pStyle w:val="TableContents"/>
              <w:bidi w:val="0"/>
              <w:spacing w:before="0" w:after="0"/>
              <w:jc w:val="center"/>
              <w:rPr/>
            </w:pPr>
            <w:r>
              <w:rPr>
                <w:spacing w:val="4"/>
              </w:rPr>
              <w:t>/s/ Pamela Edwards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Pamela Edwards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7" w:type="dxa"/>
            <w:tcBorders/>
            <w:tcMar>
              <w:bottom w:w="0" w:type="dxa"/>
            </w:tcMar>
            <w:vAlign w:val="center"/>
          </w:tcPr>
          <w:p>
            <w:pPr>
              <w:pStyle w:val="TableContents"/>
              <w:bidi w:val="0"/>
              <w:spacing w:before="0" w:after="0"/>
              <w:jc w:val="center"/>
              <w:rPr>
                <w:spacing w:val="4"/>
              </w:rPr>
            </w:pPr>
            <w:r>
              <w:rPr>
                <w:spacing w:val="4"/>
              </w:rPr>
              <w:t xml:space="preserve">August 25,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7" w:type="dxa"/>
            <w:tcBorders/>
            <w:tcMar>
              <w:bottom w:w="0" w:type="dxa"/>
            </w:tcMar>
            <w:vAlign w:val="center"/>
          </w:tcPr>
          <w:p>
            <w:pPr>
              <w:pStyle w:val="TableContents"/>
              <w:bidi w:val="0"/>
              <w:spacing w:before="0" w:after="0"/>
              <w:jc w:val="center"/>
              <w:rPr/>
            </w:pPr>
            <w:r>
              <w:rPr>
                <w:spacing w:val="4"/>
              </w:rPr>
              <w:t>/s/ Benjamin Faw</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Benjamin Faw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7" w:type="dxa"/>
            <w:tcBorders/>
            <w:tcMar>
              <w:bottom w:w="0" w:type="dxa"/>
            </w:tcMar>
            <w:vAlign w:val="center"/>
          </w:tcPr>
          <w:p>
            <w:pPr>
              <w:pStyle w:val="TableContents"/>
              <w:bidi w:val="0"/>
              <w:spacing w:before="0" w:after="0"/>
              <w:jc w:val="center"/>
              <w:rPr>
                <w:spacing w:val="4"/>
              </w:rPr>
            </w:pPr>
            <w:r>
              <w:rPr>
                <w:spacing w:val="4"/>
              </w:rPr>
              <w:t xml:space="preserve">August 25,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7" w:type="dxa"/>
            <w:tcBorders/>
            <w:tcMar>
              <w:bottom w:w="0" w:type="dxa"/>
            </w:tcMar>
            <w:vAlign w:val="center"/>
          </w:tcPr>
          <w:p>
            <w:pPr>
              <w:pStyle w:val="TableContents"/>
              <w:bidi w:val="0"/>
              <w:spacing w:before="0" w:after="0"/>
              <w:jc w:val="center"/>
              <w:rPr/>
            </w:pPr>
            <w:r>
              <w:rPr>
                <w:spacing w:val="4"/>
              </w:rPr>
              <w:t>/s/ David Heath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David Heath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7" w:type="dxa"/>
            <w:tcBorders/>
            <w:tcMar>
              <w:bottom w:w="0" w:type="dxa"/>
            </w:tcMar>
            <w:vAlign w:val="center"/>
          </w:tcPr>
          <w:p>
            <w:pPr>
              <w:pStyle w:val="TableContents"/>
              <w:bidi w:val="0"/>
              <w:spacing w:before="0" w:after="0"/>
              <w:jc w:val="center"/>
              <w:rPr>
                <w:spacing w:val="4"/>
              </w:rPr>
            </w:pPr>
            <w:r>
              <w:rPr>
                <w:spacing w:val="4"/>
              </w:rPr>
              <w:t xml:space="preserve">August 25,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7" w:type="dxa"/>
            <w:tcBorders/>
            <w:tcMar>
              <w:bottom w:w="0" w:type="dxa"/>
            </w:tcMar>
            <w:vAlign w:val="center"/>
          </w:tcPr>
          <w:p>
            <w:pPr>
              <w:pStyle w:val="TableContents"/>
              <w:bidi w:val="0"/>
              <w:spacing w:before="0" w:after="0"/>
              <w:jc w:val="center"/>
              <w:rPr/>
            </w:pPr>
            <w:r>
              <w:rPr>
                <w:spacing w:val="4"/>
              </w:rPr>
              <w:t>/s/ Margaret L. Jenkins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Margaret L. Jenkins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7" w:type="dxa"/>
            <w:tcBorders/>
            <w:tcMar>
              <w:bottom w:w="0" w:type="dxa"/>
            </w:tcMar>
            <w:vAlign w:val="center"/>
          </w:tcPr>
          <w:p>
            <w:pPr>
              <w:pStyle w:val="TableContents"/>
              <w:bidi w:val="0"/>
              <w:spacing w:before="0" w:after="0"/>
              <w:jc w:val="center"/>
              <w:rPr>
                <w:spacing w:val="4"/>
              </w:rPr>
            </w:pPr>
            <w:r>
              <w:rPr>
                <w:spacing w:val="4"/>
              </w:rPr>
              <w:t xml:space="preserve">August 25,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7" w:type="dxa"/>
            <w:tcBorders/>
            <w:tcMar>
              <w:bottom w:w="0" w:type="dxa"/>
            </w:tcMar>
            <w:vAlign w:val="center"/>
          </w:tcPr>
          <w:p>
            <w:pPr>
              <w:pStyle w:val="TableContents"/>
              <w:bidi w:val="0"/>
              <w:spacing w:before="0" w:after="0"/>
              <w:jc w:val="center"/>
              <w:rPr/>
            </w:pPr>
            <w:r>
              <w:rPr>
                <w:spacing w:val="4"/>
              </w:rPr>
              <w:t>/s/ Michael S. Kvitko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S. Kvitko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7" w:type="dxa"/>
            <w:tcBorders/>
            <w:tcMar>
              <w:bottom w:w="0" w:type="dxa"/>
            </w:tcMar>
            <w:vAlign w:val="center"/>
          </w:tcPr>
          <w:p>
            <w:pPr>
              <w:pStyle w:val="TableContents"/>
              <w:bidi w:val="0"/>
              <w:spacing w:before="0" w:after="0"/>
              <w:jc w:val="center"/>
              <w:rPr>
                <w:spacing w:val="4"/>
              </w:rPr>
            </w:pPr>
            <w:r>
              <w:rPr>
                <w:spacing w:val="4"/>
              </w:rPr>
              <w:t xml:space="preserve">August 25,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291" w:type="dxa"/>
        <w:jc w:val="left"/>
        <w:tblInd w:w="1393" w:type="dxa"/>
        <w:tblLayout w:type="fixed"/>
        <w:tblCellMar>
          <w:top w:w="0" w:type="dxa"/>
          <w:left w:w="0" w:type="dxa"/>
          <w:bottom w:w="28" w:type="dxa"/>
          <w:right w:w="0" w:type="dxa"/>
        </w:tblCellMar>
      </w:tblPr>
      <w:tblGrid>
        <w:gridCol w:w="124"/>
        <w:gridCol w:w="2807"/>
        <w:gridCol w:w="109"/>
        <w:gridCol w:w="109"/>
        <w:gridCol w:w="974"/>
        <w:gridCol w:w="109"/>
        <w:gridCol w:w="109"/>
        <w:gridCol w:w="179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0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07" w:type="dxa"/>
            <w:tcBorders/>
            <w:tcMar>
              <w:bottom w:w="0" w:type="dxa"/>
            </w:tcMar>
            <w:vAlign w:val="center"/>
          </w:tcPr>
          <w:p>
            <w:pPr>
              <w:pStyle w:val="TableContents"/>
              <w:bidi w:val="0"/>
              <w:spacing w:before="0" w:after="0"/>
              <w:jc w:val="center"/>
              <w:rPr>
                <w:spacing w:val="4"/>
              </w:rPr>
            </w:pPr>
            <w:r>
              <w:rPr>
                <w:spacing w:val="4"/>
              </w:rPr>
              <w:t xml:space="preserve">/s/ Chaoyang (Charles) Liu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Chaoyang (Charles) Liu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spacing w:val="4"/>
              </w:rPr>
            </w:pPr>
            <w:r>
              <w:rPr>
                <w:spacing w:val="4"/>
              </w:rPr>
              <w:t xml:space="preserve">August 25,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07" w:type="dxa"/>
            <w:tcBorders/>
            <w:tcMar>
              <w:bottom w:w="0" w:type="dxa"/>
            </w:tcMar>
            <w:vAlign w:val="center"/>
          </w:tcPr>
          <w:p>
            <w:pPr>
              <w:pStyle w:val="TableContents"/>
              <w:bidi w:val="0"/>
              <w:spacing w:before="0" w:after="0"/>
              <w:jc w:val="center"/>
              <w:rPr/>
            </w:pPr>
            <w:r>
              <w:rPr>
                <w:spacing w:val="4"/>
              </w:rPr>
              <w:t>/s/ Cara Robinson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Cara Robinson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center"/>
              <w:rPr/>
            </w:pPr>
            <w:r>
              <w:rPr>
                <w:spacing w:val="4"/>
              </w:rPr>
              <w:t>August 25,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bookmarkStart w:id="16" w:name="tm2623811d2_ex5-1.htm"/>
      <w:bookmarkStart w:id="17" w:name="kstm2623811d2_ex51"/>
      <w:bookmarkEnd w:id="16"/>
      <w:bookmarkEnd w:id="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[Letterhead of Sullivan &amp; Cromwell LLP]</w:t>
        <w:br/>
        <w:t> </w:t>
      </w:r>
    </w:p>
    <w:p>
      <w:pPr>
        <w:pStyle w:val="TextBody"/>
        <w:bidi w:val="0"/>
        <w:spacing w:before="0" w:after="0"/>
        <w:ind w:left="0" w:right="288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 Trends, Inc.,</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Park of Commerce Boulevard, Suite 200,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Savannah, Georgia.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registration under the Securities Act of 1933 (the “Act”) of shares of Common Stock, par value $0.01 per share (the “Securities”), of Citi Trends, Inc., a Delaware corporation (the “Company”), we, as your counsel, have examined such corporate records, certificates and other documents, and such questions of law, as we have considered necessary or appropriate for the purposes of this opinion. Upon the basis of such examination, it is our opinion that when the registration statement relating to the Securities (the “Registration Statement”) has become effective under the Act, the terms of the sale of the Securities have been duly established in conformity with the Company’s certificate of incorporation, and the Securities have been duly issued and sold as contemplated by the Registration Statement, and if all the foregoing actions are taken pursuant to the authority granted in resolutions duly adopted by the Company’s Board of Directors, or a duly authorized committee thereof, and so as not to violate any applicable law or result in a default under or breach of any agreement or instrument binding upon the Company and so as to comply with any requirement or restriction imposed by any court or governmental body having jurisdiction over the Company, the Securities will be validly issued, fully paid and nonassessable.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foregoing opinion, we are not passing upon, and assume no responsibility for, any disclosure in any registration statement or any related prospectus or other offering material relating to the offer and sale of the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to the Federal laws of the United States, the laws of the State of New York and the General Corporation Law of the State of Delaware, and we are expressing no opinion as to the effect of the laws of any other jurisdiction.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relied as to certain factual matters on information obtained from public officials, officers of the Company and other sources believed by us to be responsible. We have further assumed that the authority granted in resolutions duly adopted by the Company’s Board of Directors, or a duly authorized committee thereof, will remain in effect at all relevant times.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855" w:type="dxa"/>
        <w:jc w:val="left"/>
        <w:tblInd w:w="0" w:type="dxa"/>
        <w:tblLayout w:type="fixed"/>
        <w:tblCellMar>
          <w:top w:w="0" w:type="dxa"/>
          <w:left w:w="0" w:type="dxa"/>
          <w:bottom w:w="0" w:type="dxa"/>
          <w:right w:w="0" w:type="dxa"/>
        </w:tblCellMar>
      </w:tblPr>
      <w:tblGrid>
        <w:gridCol w:w="1565"/>
        <w:gridCol w:w="290"/>
      </w:tblGrid>
      <w:tr>
        <w:trPr/>
        <w:tc>
          <w:tcPr>
            <w:tcW w:w="1565" w:type="dxa"/>
            <w:tcBorders/>
            <w:vAlign w:val="center"/>
          </w:tcPr>
          <w:p>
            <w:pPr>
              <w:pStyle w:val="TableContents"/>
              <w:bidi w:val="0"/>
              <w:spacing w:before="0" w:after="283"/>
              <w:jc w:val="left"/>
              <w:rPr/>
            </w:pPr>
            <w:r>
              <w:rPr/>
              <w:t>Citi Trends, Inc.</w:t>
            </w:r>
          </w:p>
        </w:tc>
        <w:tc>
          <w:tcPr>
            <w:tcW w:w="290" w:type="dxa"/>
            <w:tcBorders/>
            <w:vAlign w:val="center"/>
          </w:tcPr>
          <w:p>
            <w:pPr>
              <w:pStyle w:val="TableContents"/>
              <w:bidi w:val="0"/>
              <w:spacing w:before="0" w:after="283"/>
              <w:jc w:val="right"/>
              <w:rPr/>
            </w:pPr>
            <w:r>
              <w:rPr/>
              <w:t>-2-</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us under the heading “Validity of the Securities” in the prospectus contained therein. In giving such consent, we do not thereby admit that we are in the category of persons whose consent is required under Section 7 of the Act.</w:t>
      </w:r>
    </w:p>
    <w:p>
      <w:pPr>
        <w:pStyle w:val="TextBody"/>
        <w:bidi w:val="0"/>
        <w:spacing w:before="0" w:after="0"/>
        <w:ind w:left="0" w:right="0" w:firstLine="1440"/>
        <w:jc w:val="left"/>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60"/>
        <w:gridCol w:w="2810"/>
      </w:tblGrid>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/s/ Sullivan &amp; Cromwell LLP</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8" w:name="tm2623811d2_ex23-1.htm"/>
      <w:bookmarkStart w:id="19" w:name="kstm2623811d2_ex231"/>
      <w:bookmarkEnd w:id="18"/>
      <w:bookmarkEnd w:id="19"/>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reports dated April 15, 2026 relating to the financial statements of Citi Trends, Inc. and subsidiary and the effectiveness of Citi Trends, Inc.’s internal control over financial reporting, appearing in the Annual Report on Form 10-K of Citi Trends, Inc. for the year ended January 31, 2026. We also consent to the reference to us under the heading “Experts” in such Registration Statement.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 w:name="tm2623811d1_ex-filingfees.htm"/>
      <w:bookmarkStart w:id="21" w:name="kstm2623811d1_exfilingfees"/>
      <w:bookmarkStart w:id="22" w:name="tm2623811d1_ex-filingfees.htm"/>
      <w:bookmarkStart w:id="23" w:name="kstm2623811d1_exfilingfees"/>
      <w:bookmarkEnd w:id="22"/>
      <w:bookmarkEnd w:id="23"/>
      <w:r>
        <w:br w:type="page"/>
      </w:r>
    </w:p>
    <w:tbl>
      <w:tblPr>
        <w:tblW w:w="3560" w:type="dxa"/>
        <w:jc w:val="left"/>
        <w:tblInd w:w="0" w:type="dxa"/>
        <w:tblLayout w:type="fixed"/>
        <w:tblCellMar>
          <w:top w:w="28" w:type="dxa"/>
          <w:left w:w="28" w:type="dxa"/>
          <w:bottom w:w="28" w:type="dxa"/>
          <w:right w:w="28" w:type="dxa"/>
        </w:tblCellMar>
      </w:tblPr>
      <w:tblGrid>
        <w:gridCol w:w="3406"/>
        <w:gridCol w:w="154"/>
      </w:tblGrid>
      <w:tr>
        <w:trPr/>
        <w:tc>
          <w:tcPr>
            <w:tcW w:w="35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b/>
              </w:rPr>
            </w:pPr>
            <w:r>
              <w:rPr>
                <w:b/>
              </w:rPr>
              <w:t xml:space="preserve">Citi Trends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4" w:name="MaxAggtOfferingPrice"/>
            <w:bookmarkEnd w:id="24"/>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6"/>
        <w:gridCol w:w="1296"/>
        <w:gridCol w:w="8693"/>
      </w:tblGrid>
      <w:tr>
        <w:trPr/>
        <w:tc>
          <w:tcPr>
            <w:tcW w:w="21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9" w:type="dxa"/>
            <w:gridSpan w:val="2"/>
            <w:tcBorders/>
            <w:vAlign w:val="center"/>
          </w:tcPr>
          <w:p>
            <w:pPr>
              <w:pStyle w:val="TableContents"/>
              <w:bidi w:val="0"/>
              <w:spacing w:before="0" w:after="283"/>
              <w:jc w:val="left"/>
              <w:rPr/>
            </w:pPr>
            <w:r>
              <w:rPr/>
              <w:t xml:space="preserve">An indeterminate number of shares of Common Stock is being registered as may from time to time be offered at by the Registrant from time to time at indeterminate prices and, which, collectively, shall have an initial maximum aggregate offering price not to exceed $100,000,000. </w:t>
            </w:r>
          </w:p>
        </w:tc>
      </w:tr>
      <w:tr>
        <w:trPr/>
        <w:tc>
          <w:tcPr>
            <w:tcW w:w="1512" w:type="dxa"/>
            <w:gridSpan w:val="2"/>
            <w:tcBorders/>
            <w:vAlign w:val="center"/>
          </w:tcPr>
          <w:p>
            <w:pPr>
              <w:pStyle w:val="HorizontalLine"/>
              <w:pBdr>
                <w:bottom w:val="double" w:sz="2" w:space="0" w:color="808080"/>
              </w:pBdr>
              <w:bidi w:val="0"/>
              <w:spacing w:before="0" w:after="283"/>
              <w:jc w:val="left"/>
              <w:rPr/>
            </w:pPr>
            <w:r>
              <w:rPr/>
            </w:r>
          </w:p>
        </w:tc>
        <w:tc>
          <w:tcPr>
            <w:tcW w:w="869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318484/000110465926043813/ctrn-20260131x10k.htm" TargetMode="External"/><Relationship Id="rId4" Type="http://schemas.openxmlformats.org/officeDocument/2006/relationships/hyperlink" Target="https://www.sec.gov/ix?doc=/Archives/edgar/data/1318484/000110465926053458/ctrn-20260610xdef14a.htm" TargetMode="External"/><Relationship Id="rId5" Type="http://schemas.openxmlformats.org/officeDocument/2006/relationships/hyperlink" Target="https://www.sec.gov/ix?doc=/Archives/edgar/data/1318484/000110465926072225/ctrn-20260502x10q.htm" TargetMode="External"/><Relationship Id="rId6" Type="http://schemas.openxmlformats.org/officeDocument/2006/relationships/hyperlink" Target="https://www.sec.gov/ix?doc=/Archives/edgar/data/1318484/000110465926017849/tm266871d1_8k.htm" TargetMode="External"/><Relationship Id="rId7" Type="http://schemas.openxmlformats.org/officeDocument/2006/relationships/hyperlink" Target="https://www.sec.gov/ix?doc=/Archives/edgar/data/1318484/000110465926073472/tm2617779d1_8k.htm" TargetMode="External"/><Relationship Id="rId8" Type="http://schemas.openxmlformats.org/officeDocument/2006/relationships/hyperlink" Target="https://www.sec.gov/Archives/edgar/data/1318484/000155837020006617/ctrn-20200201ex421c67fa8.htm" TargetMode="External"/><Relationship Id="rId9" Type="http://schemas.openxmlformats.org/officeDocument/2006/relationships/hyperlink" Target="https://www.sec.gov/Archives/edgar/data/1318484/000110465918038871/a18-15022_1ex3d1.htm" TargetMode="External"/><Relationship Id="rId10" Type="http://schemas.openxmlformats.org/officeDocument/2006/relationships/hyperlink" Target="https://www.sec.gov/Archives/edgar/data/1318484/000110465922113020/tm2229093d1_ex3-2.htm" TargetMode="External"/><Relationship Id="rId11" Type="http://schemas.openxmlformats.org/officeDocument/2006/relationships/hyperlink" Target="https://www.sec.gov/Archives/edgar/data/1318484/000095012305005222/y05802a2exv4w1.txt" TargetMode="External"/><Relationship Id="rId12" Type="http://schemas.openxmlformats.org/officeDocument/2006/relationships/hyperlink" Target="https://www.sec.gov/Archives/edgar/data/1318484/000155837020006617/ctrn-20200201ex421c67fa8.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10365</Words>
  <Characters>56023</Characters>
  <CharactersWithSpaces>66987</CharactersWithSpaces>
  <Paragraphs>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