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394970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86" w:lineRule="exact"/>
        <w:rPr>
          <w:sz w:val="24"/>
          <w:szCs w:val="24"/>
          <w:color w:val="auto"/>
        </w:rPr>
      </w:pPr>
    </w:p>
    <w:p>
      <w:pPr>
        <w:ind w:left="660" w:hanging="401"/>
        <w:spacing w:after="0"/>
        <w:tabs>
          <w:tab w:leader="none" w:pos="6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August 2, 2025</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302" w:lineRule="exact"/>
        <w:rPr>
          <w:sz w:val="24"/>
          <w:szCs w:val="24"/>
          <w:color w:val="auto"/>
        </w:rPr>
      </w:pPr>
    </w:p>
    <w:p>
      <w:pPr>
        <w:ind w:left="3580" w:right="980" w:hanging="3321"/>
        <w:spacing w:after="0" w:line="457" w:lineRule="auto"/>
        <w:tabs>
          <w:tab w:leader="none" w:pos="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Commission File Number 000-41886</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381" w:lineRule="exact"/>
        <w:rPr>
          <w:sz w:val="24"/>
          <w:szCs w:val="24"/>
          <w:color w:val="auto"/>
        </w:rPr>
      </w:pPr>
    </w:p>
    <w:tbl>
      <w:tblPr>
        <w:tblLayout w:type="fixed"/>
        <w:tblInd w:w="800" w:type="dxa"/>
        <w:tblCellMar>
          <w:top w:w="0" w:type="dxa"/>
          <w:left w:w="0" w:type="dxa"/>
          <w:bottom w:w="0" w:type="dxa"/>
          <w:right w:w="0" w:type="dxa"/>
        </w:tblCellMar>
      </w:tblPr>
      <w:tr>
        <w:trPr>
          <w:trHeight w:val="189"/>
        </w:trPr>
        <w:tc>
          <w:tcPr>
            <w:tcW w:w="4680" w:type="dxa"/>
            <w:vAlign w:val="bottom"/>
          </w:tcPr>
          <w:p>
            <w:pPr>
              <w:jc w:val="center"/>
              <w:ind w:right="1319"/>
              <w:spacing w:after="0"/>
              <w:rPr>
                <w:sz w:val="20"/>
                <w:szCs w:val="20"/>
                <w:color w:val="auto"/>
              </w:rPr>
            </w:pPr>
            <w:r>
              <w:rPr>
                <w:rFonts w:ascii="Arial" w:cs="Arial" w:eastAsia="Arial" w:hAnsi="Arial"/>
                <w:sz w:val="16"/>
                <w:szCs w:val="16"/>
                <w:b w:val="1"/>
                <w:bCs w:val="1"/>
                <w:color w:val="auto"/>
              </w:rPr>
              <w:t>Delaware</w:t>
            </w:r>
          </w:p>
        </w:tc>
        <w:tc>
          <w:tcPr>
            <w:tcW w:w="2640" w:type="dxa"/>
            <w:vAlign w:val="bottom"/>
          </w:tcPr>
          <w:p>
            <w:pPr>
              <w:jc w:val="right"/>
              <w:ind w:right="119"/>
              <w:spacing w:after="0"/>
              <w:rPr>
                <w:sz w:val="20"/>
                <w:szCs w:val="20"/>
                <w:color w:val="auto"/>
              </w:rPr>
            </w:pPr>
            <w:r>
              <w:rPr>
                <w:rFonts w:ascii="Arial" w:cs="Arial" w:eastAsia="Arial" w:hAnsi="Arial"/>
                <w:sz w:val="16"/>
                <w:szCs w:val="16"/>
                <w:b w:val="1"/>
                <w:bCs w:val="1"/>
                <w:color w:val="auto"/>
              </w:rPr>
              <w:t>52-2150697</w:t>
            </w:r>
          </w:p>
        </w:tc>
      </w:tr>
      <w:tr>
        <w:trPr>
          <w:trHeight w:val="189"/>
        </w:trPr>
        <w:tc>
          <w:tcPr>
            <w:tcW w:w="4680" w:type="dxa"/>
            <w:vAlign w:val="bottom"/>
          </w:tcPr>
          <w:p>
            <w:pPr>
              <w:jc w:val="center"/>
              <w:ind w:right="1319"/>
              <w:spacing w:after="0"/>
              <w:rPr>
                <w:sz w:val="20"/>
                <w:szCs w:val="20"/>
                <w:color w:val="auto"/>
              </w:rPr>
            </w:pPr>
            <w:r>
              <w:rPr>
                <w:rFonts w:ascii="Arial" w:cs="Arial" w:eastAsia="Arial" w:hAnsi="Arial"/>
                <w:sz w:val="16"/>
                <w:szCs w:val="16"/>
                <w:color w:val="auto"/>
              </w:rPr>
              <w:t>(State or other jurisdiction of</w:t>
            </w:r>
          </w:p>
        </w:tc>
        <w:tc>
          <w:tcPr>
            <w:tcW w:w="2640" w:type="dxa"/>
            <w:vAlign w:val="bottom"/>
          </w:tcPr>
          <w:p>
            <w:pPr>
              <w:jc w:val="center"/>
              <w:ind w:left="1299"/>
              <w:spacing w:after="0"/>
              <w:rPr>
                <w:sz w:val="20"/>
                <w:szCs w:val="20"/>
                <w:color w:val="auto"/>
              </w:rPr>
            </w:pPr>
            <w:r>
              <w:rPr>
                <w:rFonts w:ascii="Arial" w:cs="Arial" w:eastAsia="Arial" w:hAnsi="Arial"/>
                <w:sz w:val="16"/>
                <w:szCs w:val="16"/>
                <w:color w:val="auto"/>
              </w:rPr>
              <w:t>(I.R.S. Employer</w:t>
            </w:r>
          </w:p>
        </w:tc>
      </w:tr>
      <w:tr>
        <w:trPr>
          <w:trHeight w:val="215"/>
        </w:trPr>
        <w:tc>
          <w:tcPr>
            <w:tcW w:w="4680" w:type="dxa"/>
            <w:vAlign w:val="bottom"/>
          </w:tcPr>
          <w:p>
            <w:pPr>
              <w:jc w:val="center"/>
              <w:ind w:right="1319"/>
              <w:spacing w:after="0"/>
              <w:rPr>
                <w:sz w:val="20"/>
                <w:szCs w:val="20"/>
                <w:color w:val="auto"/>
              </w:rPr>
            </w:pPr>
            <w:r>
              <w:rPr>
                <w:rFonts w:ascii="Arial" w:cs="Arial" w:eastAsia="Arial" w:hAnsi="Arial"/>
                <w:sz w:val="16"/>
                <w:szCs w:val="16"/>
                <w:color w:val="auto"/>
              </w:rPr>
              <w:t>incorporation or organization)</w:t>
            </w:r>
          </w:p>
        </w:tc>
        <w:tc>
          <w:tcPr>
            <w:tcW w:w="2640" w:type="dxa"/>
            <w:vAlign w:val="bottom"/>
          </w:tcPr>
          <w:p>
            <w:pPr>
              <w:jc w:val="center"/>
              <w:ind w:left="1299"/>
              <w:spacing w:after="0"/>
              <w:rPr>
                <w:sz w:val="20"/>
                <w:szCs w:val="20"/>
                <w:color w:val="auto"/>
              </w:rPr>
            </w:pPr>
            <w:r>
              <w:rPr>
                <w:rFonts w:ascii="Arial" w:cs="Arial" w:eastAsia="Arial" w:hAnsi="Arial"/>
                <w:sz w:val="16"/>
                <w:szCs w:val="16"/>
                <w:color w:val="auto"/>
              </w:rPr>
              <w:t>Identification No.)</w:t>
            </w:r>
          </w:p>
        </w:tc>
      </w:tr>
      <w:tr>
        <w:trPr>
          <w:trHeight w:val="352"/>
        </w:trPr>
        <w:tc>
          <w:tcPr>
            <w:tcW w:w="4680" w:type="dxa"/>
            <w:vAlign w:val="bottom"/>
          </w:tcPr>
          <w:p>
            <w:pPr>
              <w:jc w:val="center"/>
              <w:ind w:right="1319"/>
              <w:spacing w:after="0"/>
              <w:rPr>
                <w:sz w:val="20"/>
                <w:szCs w:val="20"/>
                <w:color w:val="auto"/>
              </w:rPr>
            </w:pPr>
            <w:r>
              <w:rPr>
                <w:rFonts w:ascii="Arial" w:cs="Arial" w:eastAsia="Arial" w:hAnsi="Arial"/>
                <w:sz w:val="16"/>
                <w:szCs w:val="16"/>
                <w:b w:val="1"/>
                <w:bCs w:val="1"/>
                <w:color w:val="auto"/>
              </w:rPr>
              <w:t>17 Park of Commerce Boulevard, Suite 200</w:t>
            </w:r>
          </w:p>
        </w:tc>
        <w:tc>
          <w:tcPr>
            <w:tcW w:w="2640" w:type="dxa"/>
            <w:vAlign w:val="bottom"/>
          </w:tcPr>
          <w:p>
            <w:pPr>
              <w:spacing w:after="0"/>
              <w:rPr>
                <w:sz w:val="24"/>
                <w:szCs w:val="24"/>
                <w:color w:val="auto"/>
              </w:rPr>
            </w:pPr>
          </w:p>
        </w:tc>
      </w:tr>
      <w:tr>
        <w:trPr>
          <w:trHeight w:val="189"/>
        </w:trPr>
        <w:tc>
          <w:tcPr>
            <w:tcW w:w="4680" w:type="dxa"/>
            <w:vAlign w:val="bottom"/>
          </w:tcPr>
          <w:p>
            <w:pPr>
              <w:jc w:val="center"/>
              <w:ind w:right="1319"/>
              <w:spacing w:after="0"/>
              <w:rPr>
                <w:sz w:val="20"/>
                <w:szCs w:val="20"/>
                <w:color w:val="auto"/>
              </w:rPr>
            </w:pPr>
            <w:r>
              <w:rPr>
                <w:rFonts w:ascii="Arial" w:cs="Arial" w:eastAsia="Arial" w:hAnsi="Arial"/>
                <w:sz w:val="16"/>
                <w:szCs w:val="16"/>
                <w:b w:val="1"/>
                <w:bCs w:val="1"/>
                <w:color w:val="auto"/>
              </w:rPr>
              <w:t>Savannah, Georgia</w:t>
            </w:r>
          </w:p>
        </w:tc>
        <w:tc>
          <w:tcPr>
            <w:tcW w:w="2640" w:type="dxa"/>
            <w:vAlign w:val="bottom"/>
          </w:tcPr>
          <w:p>
            <w:pPr>
              <w:jc w:val="right"/>
              <w:ind w:right="319"/>
              <w:spacing w:after="0"/>
              <w:rPr>
                <w:sz w:val="20"/>
                <w:szCs w:val="20"/>
                <w:color w:val="auto"/>
              </w:rPr>
            </w:pPr>
            <w:r>
              <w:rPr>
                <w:rFonts w:ascii="Arial" w:cs="Arial" w:eastAsia="Arial" w:hAnsi="Arial"/>
                <w:sz w:val="16"/>
                <w:szCs w:val="16"/>
                <w:b w:val="1"/>
                <w:bCs w:val="1"/>
                <w:color w:val="auto"/>
              </w:rPr>
              <w:t>31405</w:t>
            </w:r>
          </w:p>
        </w:tc>
      </w:tr>
      <w:tr>
        <w:trPr>
          <w:trHeight w:val="215"/>
        </w:trPr>
        <w:tc>
          <w:tcPr>
            <w:tcW w:w="4680" w:type="dxa"/>
            <w:vAlign w:val="bottom"/>
          </w:tcPr>
          <w:p>
            <w:pPr>
              <w:jc w:val="center"/>
              <w:ind w:right="1319"/>
              <w:spacing w:after="0"/>
              <w:rPr>
                <w:sz w:val="20"/>
                <w:szCs w:val="20"/>
                <w:color w:val="auto"/>
              </w:rPr>
            </w:pPr>
            <w:r>
              <w:rPr>
                <w:rFonts w:ascii="Arial" w:cs="Arial" w:eastAsia="Arial" w:hAnsi="Arial"/>
                <w:sz w:val="16"/>
                <w:szCs w:val="16"/>
                <w:color w:val="auto"/>
              </w:rPr>
              <w:t>(Address of principal executive offices)</w:t>
            </w:r>
          </w:p>
        </w:tc>
        <w:tc>
          <w:tcPr>
            <w:tcW w:w="2640" w:type="dxa"/>
            <w:vAlign w:val="bottom"/>
          </w:tcPr>
          <w:p>
            <w:pPr>
              <w:jc w:val="center"/>
              <w:ind w:left="1319"/>
              <w:spacing w:after="0"/>
              <w:rPr>
                <w:sz w:val="20"/>
                <w:szCs w:val="20"/>
                <w:color w:val="auto"/>
              </w:rPr>
            </w:pPr>
            <w:r>
              <w:rPr>
                <w:rFonts w:ascii="Arial" w:cs="Arial" w:eastAsia="Arial" w:hAnsi="Arial"/>
                <w:sz w:val="16"/>
                <w:szCs w:val="16"/>
                <w:color w:val="auto"/>
              </w:rPr>
              <w:t>(Zip Code)</w:t>
            </w:r>
          </w:p>
        </w:tc>
      </w:tr>
    </w:tbl>
    <w:p>
      <w:pPr>
        <w:spacing w:after="0" w:line="9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 (</w:t>
      </w:r>
      <w:r>
        <w:rPr>
          <w:rFonts w:ascii="Arial" w:cs="Arial" w:eastAsia="Arial" w:hAnsi="Arial"/>
          <w:sz w:val="16"/>
          <w:szCs w:val="16"/>
          <w:b w:val="1"/>
          <w:bCs w:val="1"/>
          <w:color w:val="auto"/>
        </w:rPr>
        <w:t>912) 236-1561</w:t>
      </w:r>
    </w:p>
    <w:p>
      <w:pPr>
        <w:spacing w:after="0" w:line="34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5"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3140" w:type="dxa"/>
            <w:vAlign w:val="bottom"/>
            <w:tcBorders>
              <w:top w:val="single" w:sz="8" w:color="auto"/>
              <w:left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Title of each class</w:t>
            </w:r>
          </w:p>
        </w:tc>
        <w:tc>
          <w:tcPr>
            <w:tcW w:w="25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Trading symbol</w:t>
            </w:r>
          </w:p>
        </w:tc>
        <w:tc>
          <w:tcPr>
            <w:tcW w:w="4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83"/>
        </w:trPr>
        <w:tc>
          <w:tcPr>
            <w:tcW w:w="2900" w:type="dxa"/>
            <w:vAlign w:val="bottom"/>
            <w:tcBorders>
              <w:top w:val="single" w:sz="8" w:color="auto"/>
              <w:left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Common Stock, $0.01 par value</w:t>
            </w:r>
          </w:p>
        </w:tc>
        <w:tc>
          <w:tcPr>
            <w:tcW w:w="240" w:type="dxa"/>
            <w:vAlign w:val="bottom"/>
            <w:tcBorders>
              <w:bottom w:val="single" w:sz="8" w:color="auto"/>
            </w:tcBorders>
          </w:tcPr>
          <w:p>
            <w:pPr>
              <w:spacing w:after="0"/>
              <w:rPr>
                <w:sz w:val="15"/>
                <w:szCs w:val="15"/>
                <w:color w:val="auto"/>
              </w:rPr>
            </w:pPr>
          </w:p>
        </w:tc>
        <w:tc>
          <w:tcPr>
            <w:tcW w:w="2300" w:type="dxa"/>
            <w:vAlign w:val="bottom"/>
            <w:tcBorders>
              <w:top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CTRN</w:t>
            </w:r>
          </w:p>
        </w:tc>
        <w:tc>
          <w:tcPr>
            <w:tcW w:w="260" w:type="dxa"/>
            <w:vAlign w:val="bottom"/>
            <w:tcBorders>
              <w:bottom w:val="single" w:sz="8" w:color="auto"/>
            </w:tcBorders>
          </w:tcPr>
          <w:p>
            <w:pPr>
              <w:spacing w:after="0"/>
              <w:rPr>
                <w:sz w:val="15"/>
                <w:szCs w:val="15"/>
                <w:color w:val="auto"/>
              </w:rPr>
            </w:pPr>
          </w:p>
        </w:tc>
        <w:tc>
          <w:tcPr>
            <w:tcW w:w="4240" w:type="dxa"/>
            <w:vAlign w:val="bottom"/>
            <w:tcBorders>
              <w:top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NASDAQ Stock Market</w:t>
            </w:r>
          </w:p>
        </w:tc>
      </w:tr>
    </w:tbl>
    <w:p>
      <w:pPr>
        <w:spacing w:after="0" w:line="80" w:lineRule="exact"/>
        <w:rPr>
          <w:sz w:val="24"/>
          <w:szCs w:val="24"/>
          <w:color w:val="auto"/>
        </w:rPr>
      </w:pPr>
    </w:p>
    <w:p>
      <w:pPr>
        <w:ind w:right="60"/>
        <w:spacing w:after="0" w:line="272"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84" w:lineRule="exact"/>
        <w:tabs>
          <w:tab w:leader="none" w:pos="5580" w:val="left"/>
        </w:tabs>
        <w:rPr>
          <w:sz w:val="20"/>
          <w:szCs w:val="20"/>
          <w:color w:val="auto"/>
        </w:rPr>
      </w:pPr>
      <w:r>
        <w:rPr>
          <w:rFonts w:ascii="Arial" w:cs="Arial" w:eastAsia="Arial" w:hAnsi="Arial"/>
          <w:sz w:val="16"/>
          <w:szCs w:val="16"/>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8" w:lineRule="exact"/>
        <w:rPr>
          <w:sz w:val="24"/>
          <w:szCs w:val="24"/>
          <w:color w:val="auto"/>
        </w:rPr>
      </w:pPr>
    </w:p>
    <w:p>
      <w:pPr>
        <w:ind w:right="60"/>
        <w:spacing w:after="0" w:line="21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9" w:lineRule="exact"/>
        <w:rPr>
          <w:sz w:val="24"/>
          <w:szCs w:val="24"/>
          <w:color w:val="auto"/>
        </w:rPr>
      </w:pPr>
    </w:p>
    <w:p>
      <w:pPr>
        <w:jc w:val="both"/>
        <w:ind w:right="160"/>
        <w:spacing w:after="0" w:line="29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spacing w:after="0" w:line="10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11" w:lineRule="exact"/>
        <w:rPr>
          <w:sz w:val="24"/>
          <w:szCs w:val="24"/>
          <w:color w:val="auto"/>
        </w:rPr>
      </w:pPr>
    </w:p>
    <w:p>
      <w:pPr>
        <w:sectPr>
          <w:pgSz w:w="11900" w:h="16838" w:orient="portrait"/>
          <w:cols w:equalWidth="0" w:num="3">
            <w:col w:w="2960" w:space="720"/>
            <w:col w:w="2140" w:space="720"/>
            <w:col w:w="3400"/>
          </w:cols>
          <w:pgMar w:left="980" w:top="661" w:right="979" w:bottom="1440" w:gutter="0" w:footer="0" w:header="0"/>
          <w:type w:val="continuous"/>
        </w:sectPr>
      </w:pPr>
    </w:p>
    <w:p>
      <w:pPr>
        <w:spacing w:after="0" w:line="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6" w:lineRule="exact"/>
        <w:rPr>
          <w:sz w:val="24"/>
          <w:szCs w:val="24"/>
          <w:color w:val="auto"/>
        </w:rPr>
      </w:pPr>
    </w:p>
    <w:p>
      <w:pPr>
        <w:sectPr>
          <w:pgSz w:w="11900" w:h="16838" w:orient="portrait"/>
          <w:cols w:equalWidth="0" w:num="2">
            <w:col w:w="5820" w:space="720"/>
            <w:col w:w="3400"/>
          </w:cols>
          <w:pgMar w:left="980" w:top="661" w:right="979" w:bottom="1440" w:gutter="0" w:footer="0" w:header="0"/>
          <w:type w:val="continuous"/>
        </w:sectPr>
      </w:pPr>
    </w:p>
    <w:p>
      <w:pPr>
        <w:ind w:right="78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ind w:right="760"/>
        <w:spacing w:after="0" w:line="29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29, 2025, the registrant had 8,305,912 outstanding shares of common stock, $0.01 par value per share</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529590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152400</wp:posOffset>
            </wp:positionV>
            <wp:extent cx="629221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135255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900" w:type="dxa"/>
            <w:vAlign w:val="bottom"/>
            <w:gridSpan w:val="13"/>
          </w:tcPr>
          <w:p>
            <w:pPr>
              <w:jc w:val="center"/>
              <w:ind w:right="3180"/>
              <w:spacing w:after="0"/>
              <w:rPr>
                <w:sz w:val="20"/>
                <w:szCs w:val="20"/>
                <w:color w:val="auto"/>
              </w:rPr>
            </w:pPr>
            <w:r>
              <w:rPr>
                <w:rFonts w:ascii="Arial" w:cs="Arial" w:eastAsia="Arial" w:hAnsi="Arial"/>
                <w:sz w:val="16"/>
                <w:szCs w:val="16"/>
                <w:b w:val="1"/>
                <w:bCs w:val="1"/>
                <w:color w:val="auto"/>
              </w:rPr>
              <w:t>CITI TRENDS, INC.</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8"/>
          </w:tcPr>
          <w:p>
            <w:pPr>
              <w:jc w:val="center"/>
              <w:ind w:right="280"/>
              <w:spacing w:after="0" w:line="169" w:lineRule="exact"/>
              <w:rPr>
                <w:sz w:val="20"/>
                <w:szCs w:val="20"/>
                <w:color w:val="auto"/>
              </w:rPr>
            </w:pPr>
            <w:r>
              <w:rPr>
                <w:rFonts w:ascii="Arial" w:cs="Arial" w:eastAsia="Arial" w:hAnsi="Arial"/>
                <w:sz w:val="16"/>
                <w:szCs w:val="16"/>
                <w:b w:val="1"/>
                <w:bCs w:val="1"/>
                <w:color w:val="auto"/>
              </w:rPr>
              <w:t>FORM 10-Q</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w w:val="74"/>
              </w:rPr>
              <w:t>TABLE</w:t>
            </w: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10"/>
          </w:tcPr>
          <w:p>
            <w:pPr>
              <w:ind w:left="40"/>
              <w:spacing w:after="0" w:line="169" w:lineRule="exact"/>
              <w:rPr>
                <w:sz w:val="20"/>
                <w:szCs w:val="20"/>
                <w:color w:val="auto"/>
              </w:rPr>
            </w:pPr>
            <w:r>
              <w:rPr>
                <w:rFonts w:ascii="Arial" w:cs="Arial" w:eastAsia="Arial" w:hAnsi="Arial"/>
                <w:sz w:val="16"/>
                <w:szCs w:val="16"/>
                <w:b w:val="1"/>
                <w:bCs w:val="1"/>
                <w:color w:val="auto"/>
              </w:rPr>
              <w:t>OF CONTENTS</w:t>
            </w: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0" w:type="dxa"/>
            <w:vAlign w:val="bottom"/>
          </w:tcPr>
          <w:p>
            <w:pPr>
              <w:spacing w:after="0"/>
              <w:rPr>
                <w:sz w:val="1"/>
                <w:szCs w:val="1"/>
                <w:color w:val="auto"/>
              </w:rPr>
            </w:pPr>
          </w:p>
        </w:tc>
      </w:tr>
      <w:tr>
        <w:trPr>
          <w:trHeight w:val="169"/>
        </w:trPr>
        <w:tc>
          <w:tcPr>
            <w:tcW w:w="520" w:type="dxa"/>
            <w:vAlign w:val="bottom"/>
            <w:tcBorders>
              <w:bottom w:val="single" w:sz="8" w:color="0000EE"/>
            </w:tcBorders>
            <w:gridSpan w:val="2"/>
          </w:tcPr>
          <w:p>
            <w:pPr>
              <w:spacing w:after="0" w:line="169" w:lineRule="exact"/>
              <w:rPr>
                <w:sz w:val="20"/>
                <w:szCs w:val="20"/>
                <w:color w:val="auto"/>
              </w:rPr>
            </w:pPr>
            <w:r>
              <w:rPr>
                <w:rFonts w:ascii="Arial" w:cs="Arial" w:eastAsia="Arial" w:hAnsi="Arial"/>
                <w:sz w:val="16"/>
                <w:szCs w:val="16"/>
                <w:color w:val="0000EE"/>
                <w:w w:val="96"/>
              </w:rPr>
              <w:t>PART I</w:t>
            </w:r>
          </w:p>
        </w:tc>
        <w:tc>
          <w:tcPr>
            <w:tcW w:w="420" w:type="dxa"/>
            <w:vAlign w:val="bottom"/>
            <w:gridSpan w:val="2"/>
          </w:tcPr>
          <w:p>
            <w:pPr>
              <w:spacing w:after="0"/>
              <w:rPr>
                <w:sz w:val="14"/>
                <w:szCs w:val="14"/>
                <w:color w:val="auto"/>
              </w:rPr>
            </w:pPr>
          </w:p>
        </w:tc>
        <w:tc>
          <w:tcPr>
            <w:tcW w:w="2020" w:type="dxa"/>
            <w:vAlign w:val="bottom"/>
            <w:tcBorders>
              <w:bottom w:val="single" w:sz="8" w:color="0000EE"/>
            </w:tcBorders>
            <w:gridSpan w:val="8"/>
          </w:tcPr>
          <w:p>
            <w:pPr>
              <w:spacing w:after="0" w:line="169" w:lineRule="exact"/>
              <w:rPr>
                <w:sz w:val="20"/>
                <w:szCs w:val="20"/>
                <w:color w:val="auto"/>
              </w:rPr>
            </w:pPr>
            <w:r>
              <w:rPr>
                <w:rFonts w:ascii="Arial" w:cs="Arial" w:eastAsia="Arial" w:hAnsi="Arial"/>
                <w:sz w:val="16"/>
                <w:szCs w:val="16"/>
                <w:color w:val="0000EE"/>
                <w:w w:val="99"/>
              </w:rPr>
              <w:t>FINANCIAL INFORMATION</w:t>
            </w:r>
          </w:p>
        </w:tc>
        <w:tc>
          <w:tcPr>
            <w:tcW w:w="6040" w:type="dxa"/>
            <w:vAlign w:val="bottom"/>
            <w:gridSpan w:val="17"/>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Item 1</w:t>
            </w:r>
          </w:p>
        </w:tc>
        <w:tc>
          <w:tcPr>
            <w:tcW w:w="480" w:type="dxa"/>
            <w:vAlign w:val="bottom"/>
            <w:gridSpan w:val="3"/>
          </w:tcPr>
          <w:p>
            <w:pPr>
              <w:spacing w:after="0"/>
              <w:rPr>
                <w:sz w:val="24"/>
                <w:szCs w:val="24"/>
                <w:color w:val="auto"/>
              </w:rPr>
            </w:pPr>
          </w:p>
        </w:tc>
        <w:tc>
          <w:tcPr>
            <w:tcW w:w="238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rPr>
              <w:t>Financial Statements (unaudited)</w:t>
            </w:r>
          </w:p>
        </w:tc>
        <w:tc>
          <w:tcPr>
            <w:tcW w:w="5680" w:type="dxa"/>
            <w:vAlign w:val="bottom"/>
            <w:gridSpan w:val="15"/>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Condensed Consolidated Balance Sheets</w:t>
            </w:r>
          </w:p>
        </w:tc>
        <w:tc>
          <w:tcPr>
            <w:tcW w:w="5060" w:type="dxa"/>
            <w:vAlign w:val="bottom"/>
            <w:gridSpan w:val="1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Condensed Consolidated Statements of Operations</w:t>
            </w: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rPr>
              <w:t>Condensed Consolidated Statements of Cash Flows</w:t>
            </w:r>
          </w:p>
        </w:tc>
        <w:tc>
          <w:tcPr>
            <w:tcW w:w="430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8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rPr>
              <w:t>Condensed Consolidated Statements of Stockholders’ Equity</w:t>
            </w:r>
          </w:p>
        </w:tc>
        <w:tc>
          <w:tcPr>
            <w:tcW w:w="368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0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rPr>
              <w:t>Notes to the Condensed Consolidated Financial Statements</w:t>
            </w:r>
          </w:p>
        </w:tc>
        <w:tc>
          <w:tcPr>
            <w:tcW w:w="376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Item 2</w:t>
            </w:r>
          </w:p>
        </w:tc>
        <w:tc>
          <w:tcPr>
            <w:tcW w:w="480" w:type="dxa"/>
            <w:vAlign w:val="bottom"/>
            <w:gridSpan w:val="3"/>
          </w:tcPr>
          <w:p>
            <w:pPr>
              <w:spacing w:after="0"/>
              <w:rPr>
                <w:sz w:val="24"/>
                <w:szCs w:val="24"/>
                <w:color w:val="auto"/>
              </w:rPr>
            </w:pPr>
          </w:p>
        </w:tc>
        <w:tc>
          <w:tcPr>
            <w:tcW w:w="6380" w:type="dxa"/>
            <w:vAlign w:val="bottom"/>
            <w:tcBorders>
              <w:bottom w:val="single" w:sz="8" w:color="0000EE"/>
            </w:tcBorders>
            <w:gridSpan w:val="24"/>
          </w:tcPr>
          <w:p>
            <w:pPr>
              <w:spacing w:after="0"/>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1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3</w:t>
            </w:r>
          </w:p>
        </w:tc>
        <w:tc>
          <w:tcPr>
            <w:tcW w:w="480" w:type="dxa"/>
            <w:vAlign w:val="bottom"/>
            <w:gridSpan w:val="3"/>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Quantitative and Qualitative Disclosures About Market Risk</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8"/>
              </w:rPr>
              <w:t>Item 4</w:t>
            </w:r>
          </w:p>
        </w:tc>
        <w:tc>
          <w:tcPr>
            <w:tcW w:w="480" w:type="dxa"/>
            <w:vAlign w:val="bottom"/>
            <w:gridSpan w:val="3"/>
          </w:tcPr>
          <w:p>
            <w:pPr>
              <w:spacing w:after="0"/>
              <w:rPr>
                <w:sz w:val="24"/>
                <w:szCs w:val="24"/>
                <w:color w:val="auto"/>
              </w:rPr>
            </w:pPr>
          </w:p>
        </w:tc>
        <w:tc>
          <w:tcPr>
            <w:tcW w:w="180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6"/>
                <w:szCs w:val="16"/>
                <w:color w:val="0000EE"/>
              </w:rPr>
              <w:t>Controls and Procedures</w:t>
            </w:r>
          </w:p>
        </w:tc>
        <w:tc>
          <w:tcPr>
            <w:tcW w:w="2440" w:type="dxa"/>
            <w:vAlign w:val="bottom"/>
            <w:tcBorders>
              <w:top w:val="single" w:sz="8" w:color="0000EE"/>
            </w:tcBorders>
            <w:gridSpan w:val="10"/>
          </w:tcPr>
          <w:p>
            <w:pPr>
              <w:spacing w:after="0"/>
              <w:rPr>
                <w:sz w:val="24"/>
                <w:szCs w:val="24"/>
                <w:color w:val="auto"/>
              </w:rPr>
            </w:pPr>
          </w:p>
        </w:tc>
        <w:tc>
          <w:tcPr>
            <w:tcW w:w="382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6"/>
              </w:rPr>
              <w:t>PART II</w:t>
            </w:r>
          </w:p>
        </w:tc>
        <w:tc>
          <w:tcPr>
            <w:tcW w:w="380" w:type="dxa"/>
            <w:vAlign w:val="bottom"/>
          </w:tcPr>
          <w:p>
            <w:pPr>
              <w:spacing w:after="0"/>
              <w:rPr>
                <w:sz w:val="24"/>
                <w:szCs w:val="24"/>
                <w:color w:val="auto"/>
              </w:rPr>
            </w:pPr>
          </w:p>
        </w:tc>
        <w:tc>
          <w:tcPr>
            <w:tcW w:w="17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w w:val="99"/>
              </w:rPr>
              <w:t>OTHER INFORMATION</w:t>
            </w:r>
          </w:p>
        </w:tc>
        <w:tc>
          <w:tcPr>
            <w:tcW w:w="6320" w:type="dxa"/>
            <w:vAlign w:val="bottom"/>
            <w:gridSpan w:val="19"/>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1</w:t>
            </w:r>
          </w:p>
        </w:tc>
        <w:tc>
          <w:tcPr>
            <w:tcW w:w="480" w:type="dxa"/>
            <w:vAlign w:val="bottom"/>
            <w:gridSpan w:val="3"/>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Legal Proceedings</w:t>
            </w: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4"/>
          </w:tcPr>
          <w:p>
            <w:pPr>
              <w:spacing w:after="0"/>
              <w:rPr>
                <w:sz w:val="20"/>
                <w:szCs w:val="20"/>
                <w:color w:val="auto"/>
              </w:rPr>
            </w:pPr>
            <w:r>
              <w:rPr>
                <w:rFonts w:ascii="Arial" w:cs="Arial" w:eastAsia="Arial" w:hAnsi="Arial"/>
                <w:sz w:val="16"/>
                <w:szCs w:val="16"/>
                <w:color w:val="0000EE"/>
              </w:rPr>
              <w:t>Item 1A</w:t>
            </w:r>
          </w:p>
        </w:tc>
        <w:tc>
          <w:tcPr>
            <w:tcW w:w="8060" w:type="dxa"/>
            <w:vAlign w:val="bottom"/>
            <w:gridSpan w:val="25"/>
          </w:tcPr>
          <w:p>
            <w:pPr>
              <w:spacing w:after="0"/>
              <w:rPr>
                <w:sz w:val="20"/>
                <w:szCs w:val="20"/>
                <w:color w:val="auto"/>
              </w:rPr>
            </w:pPr>
            <w:r>
              <w:rPr>
                <w:rFonts w:ascii="Arial" w:cs="Arial" w:eastAsia="Arial" w:hAnsi="Arial"/>
                <w:sz w:val="16"/>
                <w:szCs w:val="16"/>
                <w:color w:val="0000EE"/>
              </w:rPr>
              <w:t>Risk Factors</w:t>
            </w: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2</w:t>
            </w:r>
          </w:p>
        </w:tc>
        <w:tc>
          <w:tcPr>
            <w:tcW w:w="10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Unregistered Sales of Equity Securities and Use of Proceeds</w:t>
            </w: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8"/>
              </w:rPr>
              <w:t>Item 3</w:t>
            </w:r>
          </w:p>
        </w:tc>
        <w:tc>
          <w:tcPr>
            <w:tcW w:w="480" w:type="dxa"/>
            <w:vAlign w:val="bottom"/>
            <w:gridSpan w:val="3"/>
          </w:tcPr>
          <w:p>
            <w:pPr>
              <w:spacing w:after="0"/>
              <w:rPr>
                <w:sz w:val="24"/>
                <w:szCs w:val="24"/>
                <w:color w:val="auto"/>
              </w:rPr>
            </w:pPr>
          </w:p>
        </w:tc>
        <w:tc>
          <w:tcPr>
            <w:tcW w:w="230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6"/>
                <w:szCs w:val="16"/>
                <w:color w:val="0000EE"/>
              </w:rPr>
              <w:t>Defaults Upon Senior Securities</w:t>
            </w:r>
          </w:p>
        </w:tc>
        <w:tc>
          <w:tcPr>
            <w:tcW w:w="2060" w:type="dxa"/>
            <w:vAlign w:val="bottom"/>
            <w:tcBorders>
              <w:top w:val="single" w:sz="8" w:color="0000EE"/>
            </w:tcBorders>
            <w:gridSpan w:val="10"/>
          </w:tcPr>
          <w:p>
            <w:pPr>
              <w:spacing w:after="0"/>
              <w:rPr>
                <w:sz w:val="24"/>
                <w:szCs w:val="24"/>
                <w:color w:val="auto"/>
              </w:rPr>
            </w:pPr>
          </w:p>
        </w:tc>
        <w:tc>
          <w:tcPr>
            <w:tcW w:w="370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Item 4</w:t>
            </w:r>
          </w:p>
        </w:tc>
        <w:tc>
          <w:tcPr>
            <w:tcW w:w="480" w:type="dxa"/>
            <w:vAlign w:val="bottom"/>
            <w:gridSpan w:val="3"/>
          </w:tcPr>
          <w:p>
            <w:pPr>
              <w:spacing w:after="0"/>
              <w:rPr>
                <w:sz w:val="24"/>
                <w:szCs w:val="24"/>
                <w:color w:val="auto"/>
              </w:rPr>
            </w:pPr>
          </w:p>
        </w:tc>
        <w:tc>
          <w:tcPr>
            <w:tcW w:w="17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Mine Safety Disclosures</w:t>
            </w:r>
          </w:p>
        </w:tc>
        <w:tc>
          <w:tcPr>
            <w:tcW w:w="632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5</w:t>
            </w:r>
          </w:p>
        </w:tc>
        <w:tc>
          <w:tcPr>
            <w:tcW w:w="480" w:type="dxa"/>
            <w:vAlign w:val="bottom"/>
            <w:gridSpan w:val="3"/>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Other Information</w:t>
            </w: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tcBorders>
          </w:tcPr>
          <w:p>
            <w:pPr>
              <w:spacing w:after="0"/>
              <w:rPr>
                <w:sz w:val="20"/>
                <w:szCs w:val="20"/>
                <w:color w:val="auto"/>
              </w:rPr>
            </w:pPr>
            <w:r>
              <w:rPr>
                <w:rFonts w:ascii="Arial" w:cs="Arial" w:eastAsia="Arial" w:hAnsi="Arial"/>
                <w:sz w:val="16"/>
                <w:szCs w:val="16"/>
                <w:color w:val="0000EE"/>
                <w:w w:val="98"/>
              </w:rPr>
              <w:t>Item 6</w:t>
            </w:r>
          </w:p>
        </w:tc>
        <w:tc>
          <w:tcPr>
            <w:tcW w:w="480" w:type="dxa"/>
            <w:vAlign w:val="bottom"/>
            <w:gridSpan w:val="3"/>
          </w:tcPr>
          <w:p>
            <w:pPr>
              <w:spacing w:after="0"/>
              <w:rPr>
                <w:sz w:val="24"/>
                <w:szCs w:val="24"/>
                <w:color w:val="auto"/>
              </w:rPr>
            </w:pPr>
          </w:p>
        </w:tc>
        <w:tc>
          <w:tcPr>
            <w:tcW w:w="1260" w:type="dxa"/>
            <w:vAlign w:val="bottom"/>
            <w:tcBorders>
              <w:top w:val="single" w:sz="8" w:color="0000EE"/>
            </w:tcBorders>
            <w:gridSpan w:val="4"/>
          </w:tcPr>
          <w:p>
            <w:pPr>
              <w:spacing w:after="0"/>
              <w:rPr>
                <w:sz w:val="20"/>
                <w:szCs w:val="20"/>
                <w:color w:val="auto"/>
              </w:rPr>
            </w:pPr>
            <w:r>
              <w:rPr>
                <w:rFonts w:ascii="Arial" w:cs="Arial" w:eastAsia="Arial" w:hAnsi="Arial"/>
                <w:sz w:val="16"/>
                <w:szCs w:val="16"/>
                <w:color w:val="0000EE"/>
              </w:rPr>
              <w:t>Exhibits</w:t>
            </w:r>
          </w:p>
        </w:tc>
        <w:tc>
          <w:tcPr>
            <w:tcW w:w="6800" w:type="dxa"/>
            <w:vAlign w:val="bottom"/>
            <w:gridSpan w:val="2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20" w:type="dxa"/>
            <w:vAlign w:val="bottom"/>
            <w:gridSpan w:val="2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SIGNATURES</w:t>
            </w: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2,</w:t>
            </w:r>
          </w:p>
        </w:tc>
        <w:tc>
          <w:tcPr>
            <w:tcW w:w="2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February 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EFF"/>
          </w:tcPr>
          <w:p>
            <w:pPr>
              <w:ind w:left="3240"/>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50,397</w:t>
            </w:r>
          </w:p>
        </w:tc>
        <w:tc>
          <w:tcPr>
            <w:tcW w:w="2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61,085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Arial" w:cs="Arial" w:eastAsia="Arial" w:hAnsi="Arial"/>
                <w:sz w:val="16"/>
                <w:szCs w:val="16"/>
                <w:color w:val="auto"/>
              </w:rPr>
              <w:t>Inventory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117,566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122,640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and other current 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Income tax receivable</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3,119</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4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189,204</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197,060</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40" w:type="dxa"/>
            <w:vAlign w:val="bottom"/>
          </w:tcPr>
          <w:p>
            <w:pPr>
              <w:ind w:left="200"/>
              <w:spacing w:after="0" w:line="175" w:lineRule="exact"/>
              <w:rPr>
                <w:sz w:val="20"/>
                <w:szCs w:val="20"/>
                <w:color w:val="auto"/>
              </w:rPr>
            </w:pPr>
            <w:r>
              <w:rPr>
                <w:rFonts w:ascii="Arial" w:cs="Arial" w:eastAsia="Arial" w:hAnsi="Arial"/>
                <w:sz w:val="16"/>
                <w:szCs w:val="16"/>
                <w:color w:val="auto"/>
              </w:rPr>
              <w:t>Property and equipment, net of accumulated depreciation of $293,603 and $297,396 as of</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Arial" w:cs="Arial" w:eastAsia="Arial" w:hAnsi="Arial"/>
                <w:sz w:val="16"/>
                <w:szCs w:val="16"/>
                <w:color w:val="auto"/>
              </w:rPr>
              <w:t>August 2, 2025 and February 1, 2025, respectively.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50,522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50,715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right of use 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216,420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214,148</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40" w:type="dxa"/>
            <w:vAlign w:val="bottom"/>
            <w:tcBorders>
              <w:bottom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457,408</w:t>
            </w: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462,769</w:t>
            </w:r>
          </w:p>
        </w:tc>
        <w:tc>
          <w:tcPr>
            <w:tcW w:w="2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ind w:left="214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96,245</w:t>
            </w:r>
          </w:p>
        </w:tc>
        <w:tc>
          <w:tcPr>
            <w:tcW w:w="2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102,456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43,344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47,724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Arial" w:cs="Arial" w:eastAsia="Arial" w:hAnsi="Arial"/>
                <w:sz w:val="16"/>
                <w:szCs w:val="16"/>
                <w:color w:val="auto"/>
              </w:rPr>
              <w:t>Accrued compensation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9,172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7,176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Layaway deposits</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40" w:type="dxa"/>
            <w:vAlign w:val="bottom"/>
          </w:tcPr>
          <w:p>
            <w:pPr>
              <w:ind w:left="320"/>
              <w:spacing w:after="0" w:line="183" w:lineRule="exact"/>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167,376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174,391</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6"/>
                <w:szCs w:val="16"/>
                <w:color w:val="auto"/>
              </w:rPr>
              <w:t>Noncurrent operating lease liabilities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174,145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172,675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Arial" w:cs="Arial" w:eastAsia="Arial" w:hAnsi="Arial"/>
                <w:sz w:val="16"/>
                <w:szCs w:val="16"/>
                <w:color w:val="auto"/>
              </w:rPr>
              <w:t>Deferred Tax Liability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4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344,168</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349,593</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40" w:type="dxa"/>
            <w:vAlign w:val="bottom"/>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40" w:type="dxa"/>
            <w:vAlign w:val="bottom"/>
            <w:shd w:val="clear" w:color="auto" w:fill="CCEEFF"/>
          </w:tcPr>
          <w:p>
            <w:pPr>
              <w:ind w:left="200"/>
              <w:spacing w:after="0" w:line="175" w:lineRule="exact"/>
              <w:rPr>
                <w:sz w:val="20"/>
                <w:szCs w:val="20"/>
                <w:color w:val="auto"/>
              </w:rPr>
            </w:pPr>
            <w:r>
              <w:rPr>
                <w:rFonts w:ascii="Arial" w:cs="Arial" w:eastAsia="Arial" w:hAnsi="Arial"/>
                <w:sz w:val="16"/>
                <w:szCs w:val="16"/>
                <w:color w:val="auto"/>
              </w:rPr>
              <w:t>Common stock, $0.01 par value. Authorized 32,000,000 shares; 16,505,718 shares issued as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of August 2, 2025 and 16,497,092 shares issued as of February 1, 2025; 8,305,912 shares</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outstanding as of August 2, 2025 and 8,547,841 shares outstanding as of February 1, 2025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Pr>
          <w:p>
            <w:pPr>
              <w:ind w:left="200"/>
              <w:spacing w:after="0"/>
              <w:rPr>
                <w:sz w:val="20"/>
                <w:szCs w:val="20"/>
                <w:color w:val="auto"/>
              </w:rPr>
            </w:pPr>
            <w:r>
              <w:rPr>
                <w:rFonts w:ascii="Arial" w:cs="Arial" w:eastAsia="Arial" w:hAnsi="Arial"/>
                <w:sz w:val="16"/>
                <w:szCs w:val="16"/>
                <w:color w:val="auto"/>
              </w:rPr>
              <w:t>Paid in capital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109,791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108,101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Retained earnings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280,590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275,901</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40" w:type="dxa"/>
            <w:vAlign w:val="bottom"/>
          </w:tcPr>
          <w:p>
            <w:pPr>
              <w:ind w:left="200"/>
              <w:spacing w:after="0" w:line="175" w:lineRule="exact"/>
              <w:rPr>
                <w:sz w:val="20"/>
                <w:szCs w:val="20"/>
                <w:color w:val="auto"/>
              </w:rPr>
            </w:pPr>
            <w:r>
              <w:rPr>
                <w:rFonts w:ascii="Arial" w:cs="Arial" w:eastAsia="Arial" w:hAnsi="Arial"/>
                <w:sz w:val="16"/>
                <w:szCs w:val="16"/>
                <w:color w:val="auto"/>
              </w:rPr>
              <w:t>Treasury stock, at cost; 8,199,806 shares held as of August 2, 2025 and 7,949,251 shares held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as of February 1, 2025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(277,303)</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(270,988)</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4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stockholders’ equity</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113,240</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113,176</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tcPr>
          <w:p>
            <w:pPr>
              <w:ind w:left="20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457,408</w:t>
            </w:r>
          </w:p>
        </w:tc>
        <w:tc>
          <w:tcPr>
            <w:tcW w:w="22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462,769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rPr>
              <w:t>August 2,</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00"/>
              <w:spacing w:after="0" w:line="147" w:lineRule="exact"/>
              <w:rPr>
                <w:sz w:val="20"/>
                <w:szCs w:val="20"/>
                <w:color w:val="auto"/>
              </w:rPr>
            </w:pPr>
            <w:r>
              <w:rPr>
                <w:rFonts w:ascii="Arial" w:cs="Arial" w:eastAsia="Arial" w:hAnsi="Arial"/>
                <w:sz w:val="14"/>
                <w:szCs w:val="14"/>
                <w:b w:val="1"/>
                <w:bCs w:val="1"/>
                <w:color w:val="auto"/>
              </w:rPr>
              <w:t>August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3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190,750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176,552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w:t>
            </w:r>
          </w:p>
        </w:tc>
        <w:tc>
          <w:tcPr>
            <w:tcW w:w="3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(114,477)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(78,905)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(73,780)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Asset impairment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Gain on sale of building</w:t>
            </w:r>
          </w:p>
        </w:tc>
        <w:tc>
          <w:tcPr>
            <w:tcW w:w="3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tcPr>
          <w:p>
            <w:pPr>
              <w:ind w:left="320"/>
              <w:spacing w:after="0" w:line="183" w:lineRule="exact"/>
              <w:rPr>
                <w:sz w:val="20"/>
                <w:szCs w:val="20"/>
                <w:color w:val="auto"/>
              </w:rPr>
            </w:pPr>
            <w:r>
              <w:rPr>
                <w:rFonts w:ascii="Arial" w:cs="Arial" w:eastAsia="Arial" w:hAnsi="Arial"/>
                <w:sz w:val="16"/>
                <w:szCs w:val="16"/>
                <w:color w:val="auto"/>
              </w:rPr>
              <w:t>Income (loss) from operations</w:t>
            </w: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3,517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(24,895)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Income (loss) before income taxes</w:t>
            </w:r>
          </w:p>
        </w:tc>
        <w:tc>
          <w:tcPr>
            <w:tcW w:w="3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3,818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(24,364)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Income tax benefit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tcBorders>
              <w:top w:val="single" w:sz="8" w:color="CCEEFF"/>
              <w:bottom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Net income (loss)</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left w:val="single" w:sz="8" w:color="CCEEFF"/>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3,818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(18,413)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Basic net earnings (loss)per common share</w:t>
            </w:r>
          </w:p>
        </w:tc>
        <w:tc>
          <w:tcPr>
            <w:tcW w:w="50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00" w:type="dxa"/>
            <w:vAlign w:val="bottom"/>
            <w:shd w:val="clear" w:color="auto" w:fill="CCEEFF"/>
          </w:tcPr>
          <w:p>
            <w:pPr>
              <w:spacing w:after="0"/>
              <w:rPr>
                <w:sz w:val="16"/>
                <w:szCs w:val="16"/>
                <w:color w:val="auto"/>
              </w:rPr>
            </w:pPr>
          </w:p>
        </w:tc>
        <w:tc>
          <w:tcPr>
            <w:tcW w:w="240" w:type="dxa"/>
            <w:vAlign w:val="bottom"/>
            <w:gridSpan w:val="3"/>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6"/>
                <w:szCs w:val="16"/>
                <w:color w:val="auto"/>
              </w:rPr>
              <w:t>Diluted net earnings (loss) per common share</w:t>
            </w:r>
          </w:p>
        </w:tc>
        <w:tc>
          <w:tcPr>
            <w:tcW w:w="3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60" w:type="dxa"/>
            <w:vAlign w:val="bottom"/>
            <w:tcBorders>
              <w:bottom w:val="single" w:sz="8" w:color="auto"/>
            </w:tcBorders>
          </w:tcPr>
          <w:p>
            <w:pPr>
              <w:jc w:val="right"/>
              <w:ind w:right="1"/>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0.46</w:t>
            </w:r>
          </w:p>
        </w:tc>
        <w:tc>
          <w:tcPr>
            <w:tcW w:w="10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Borders>
              <w:bottom w:val="single" w:sz="8" w:color="auto"/>
            </w:tcBorders>
            <w:gridSpan w:val="2"/>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2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left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Weighted average number of shares outstanding</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left w:val="single" w:sz="8" w:color="CCEEFF"/>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8,033</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8,337</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ind w:left="20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2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8,314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8,337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jc w:val="center"/>
              <w:ind w:left="2519"/>
              <w:spacing w:after="0"/>
              <w:rPr>
                <w:sz w:val="20"/>
                <w:szCs w:val="20"/>
                <w:color w:val="auto"/>
              </w:rPr>
            </w:pPr>
            <w:r>
              <w:rPr>
                <w:rFonts w:ascii="Arial" w:cs="Arial" w:eastAsia="Arial" w:hAnsi="Arial"/>
                <w:sz w:val="16"/>
                <w:szCs w:val="16"/>
                <w:b w:val="1"/>
                <w:bCs w:val="1"/>
                <w:color w:val="auto"/>
                <w:w w:val="99"/>
              </w:rPr>
              <w:t>Citi Trends, Inc.</w:t>
            </w: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jc w:val="center"/>
              <w:ind w:left="2519"/>
              <w:spacing w:after="0"/>
              <w:rPr>
                <w:sz w:val="20"/>
                <w:szCs w:val="20"/>
                <w:color w:val="auto"/>
              </w:rPr>
            </w:pPr>
            <w:r>
              <w:rPr>
                <w:rFonts w:ascii="Arial" w:cs="Arial" w:eastAsia="Arial" w:hAnsi="Arial"/>
                <w:sz w:val="16"/>
                <w:szCs w:val="16"/>
                <w:b w:val="1"/>
                <w:bCs w:val="1"/>
                <w:color w:val="auto"/>
              </w:rPr>
              <w:t>Condensed Consolidated Statements of Operations</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jc w:val="center"/>
              <w:ind w:left="2539"/>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jc w:val="center"/>
              <w:ind w:left="2539"/>
              <w:spacing w:after="0"/>
              <w:rPr>
                <w:sz w:val="20"/>
                <w:szCs w:val="20"/>
                <w:color w:val="auto"/>
              </w:rPr>
            </w:pPr>
            <w:r>
              <w:rPr>
                <w:rFonts w:ascii="Arial" w:cs="Arial" w:eastAsia="Arial" w:hAnsi="Arial"/>
                <w:sz w:val="16"/>
                <w:szCs w:val="16"/>
                <w:b w:val="1"/>
                <w:bCs w:val="1"/>
                <w:color w:val="auto"/>
              </w:rPr>
              <w:t>(in thousands, except per share amounts)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7" w:lineRule="exact"/>
              <w:rPr>
                <w:sz w:val="20"/>
                <w:szCs w:val="20"/>
                <w:color w:val="auto"/>
              </w:rPr>
            </w:pPr>
            <w:r>
              <w:rPr>
                <w:rFonts w:ascii="Arial" w:cs="Arial" w:eastAsia="Arial" w:hAnsi="Arial"/>
                <w:sz w:val="14"/>
                <w:szCs w:val="14"/>
                <w:b w:val="1"/>
                <w:bCs w:val="1"/>
                <w:color w:val="auto"/>
              </w:rPr>
              <w:t>August 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August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3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392,478</w:t>
            </w:r>
          </w:p>
        </w:tc>
        <w:tc>
          <w:tcPr>
            <w:tcW w:w="160" w:type="dxa"/>
            <w:vAlign w:val="bottom"/>
            <w:gridSpan w:val="2"/>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362,841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w:t>
            </w:r>
          </w:p>
        </w:tc>
        <w:tc>
          <w:tcPr>
            <w:tcW w:w="34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(236,395)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(235,878)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(153,792)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(147,991)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(8,918)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Asset impairment</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(327)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(1,261)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Gain on sale of building</w:t>
            </w:r>
          </w:p>
        </w:tc>
        <w:tc>
          <w:tcPr>
            <w:tcW w:w="340" w:type="dxa"/>
            <w:vAlign w:val="bottom"/>
            <w:shd w:val="clear" w:color="auto" w:fill="CCEEFF"/>
          </w:tcPr>
          <w:p>
            <w:pPr>
              <w:spacing w:after="0"/>
              <w:rPr>
                <w:sz w:val="16"/>
                <w:szCs w:val="16"/>
                <w:color w:val="auto"/>
              </w:rPr>
            </w:pPr>
          </w:p>
        </w:tc>
        <w:tc>
          <w:tcPr>
            <w:tcW w:w="160" w:type="dxa"/>
            <w:vAlign w:val="bottom"/>
            <w:tcBorders>
              <w:left w:val="single" w:sz="8" w:color="CCEEFF"/>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10,960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tcPr>
          <w:p>
            <w:pPr>
              <w:ind w:left="320"/>
              <w:spacing w:after="0" w:line="183" w:lineRule="exact"/>
              <w:rPr>
                <w:sz w:val="20"/>
                <w:szCs w:val="20"/>
                <w:color w:val="auto"/>
              </w:rPr>
            </w:pPr>
            <w:r>
              <w:rPr>
                <w:rFonts w:ascii="Arial" w:cs="Arial" w:eastAsia="Arial" w:hAnsi="Arial"/>
                <w:sz w:val="16"/>
                <w:szCs w:val="16"/>
                <w:color w:val="auto"/>
              </w:rPr>
              <w:t>Income (loss) from operations</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4,006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(31,865)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847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(164)</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Income (loss) before income taxes</w:t>
            </w:r>
          </w:p>
        </w:tc>
        <w:tc>
          <w:tcPr>
            <w:tcW w:w="3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4,689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(30,563)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benefit</w:t>
            </w: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8,724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tcBorders>
              <w:bottom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left w:val="single" w:sz="8" w:color="CCEEFF"/>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4,689</w:t>
            </w:r>
          </w:p>
        </w:tc>
        <w:tc>
          <w:tcPr>
            <w:tcW w:w="16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(21,839)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Basic net earnings (loss)per common share</w:t>
            </w:r>
          </w:p>
        </w:tc>
        <w:tc>
          <w:tcPr>
            <w:tcW w:w="34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0.58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6"/>
                <w:szCs w:val="16"/>
                <w:color w:val="auto"/>
              </w:rPr>
              <w:t>Diluted net earnings (loss) per common share</w:t>
            </w:r>
          </w:p>
        </w:tc>
        <w:tc>
          <w:tcPr>
            <w:tcW w:w="3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gridSpan w:val="2"/>
          </w:tcPr>
          <w:p>
            <w:pPr>
              <w:jc w:val="right"/>
              <w:ind w:right="60"/>
              <w:spacing w:after="0" w:line="170" w:lineRule="exact"/>
              <w:rPr>
                <w:sz w:val="20"/>
                <w:szCs w:val="20"/>
                <w:color w:val="auto"/>
              </w:rPr>
            </w:pPr>
            <w:r>
              <w:rPr>
                <w:rFonts w:ascii="Arial" w:cs="Arial" w:eastAsia="Arial" w:hAnsi="Arial"/>
                <w:sz w:val="16"/>
                <w:szCs w:val="16"/>
                <w:color w:val="auto"/>
              </w:rPr>
              <w:t>0.57</w:t>
            </w:r>
          </w:p>
        </w:tc>
        <w:tc>
          <w:tcPr>
            <w:tcW w:w="16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72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left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Weighted average number of shares outstanding</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left w:val="single" w:sz="8" w:color="CCEEFF"/>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8,033</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ind w:left="20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2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60"/>
              <w:spacing w:after="0" w:line="170" w:lineRule="exact"/>
              <w:rPr>
                <w:sz w:val="20"/>
                <w:szCs w:val="20"/>
                <w:color w:val="auto"/>
              </w:rPr>
            </w:pPr>
            <w:r>
              <w:rPr>
                <w:rFonts w:ascii="Arial" w:cs="Arial" w:eastAsia="Arial" w:hAnsi="Arial"/>
                <w:sz w:val="16"/>
                <w:szCs w:val="16"/>
                <w:color w:val="auto"/>
              </w:rPr>
              <w:t>8,242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60"/>
              <w:spacing w:after="0" w:line="170" w:lineRule="exact"/>
              <w:rPr>
                <w:sz w:val="20"/>
                <w:szCs w:val="20"/>
                <w:color w:val="auto"/>
              </w:rPr>
            </w:pPr>
            <w:r>
              <w:rPr>
                <w:rFonts w:ascii="Arial" w:cs="Arial" w:eastAsia="Arial" w:hAnsi="Arial"/>
                <w:sz w:val="16"/>
                <w:szCs w:val="16"/>
                <w:color w:val="auto"/>
              </w:rPr>
              <w:t>8,295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ectPr>
          <w:pgSz w:w="11900" w:h="16838" w:orient="portrait"/>
          <w:cols w:equalWidth="0" w:num="1">
            <w:col w:w="9920"/>
          </w:cols>
          <w:pgMar w:left="980" w:top="512"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369570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420"/>
              <w:spacing w:after="0" w:line="147" w:lineRule="exact"/>
              <w:rPr>
                <w:sz w:val="20"/>
                <w:szCs w:val="20"/>
                <w:color w:val="auto"/>
              </w:rPr>
            </w:pPr>
            <w:r>
              <w:rPr>
                <w:rFonts w:ascii="Arial" w:cs="Arial" w:eastAsia="Arial" w:hAnsi="Arial"/>
                <w:sz w:val="14"/>
                <w:szCs w:val="14"/>
                <w:b w:val="1"/>
                <w:bCs w:val="1"/>
                <w:color w:val="auto"/>
              </w:rPr>
              <w:t>August 2,</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20"/>
              <w:spacing w:after="0" w:line="147" w:lineRule="exact"/>
              <w:rPr>
                <w:sz w:val="20"/>
                <w:szCs w:val="20"/>
                <w:color w:val="auto"/>
              </w:rPr>
            </w:pPr>
            <w:r>
              <w:rPr>
                <w:rFonts w:ascii="Arial" w:cs="Arial" w:eastAsia="Arial" w:hAnsi="Arial"/>
                <w:sz w:val="14"/>
                <w:szCs w:val="14"/>
                <w:b w:val="1"/>
                <w:bCs w:val="1"/>
                <w:color w:val="auto"/>
              </w:rPr>
              <w:t>August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activities:</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4,689</w:t>
            </w:r>
          </w:p>
        </w:tc>
        <w:tc>
          <w:tcPr>
            <w:tcW w:w="240" w:type="dxa"/>
            <w:vAlign w:val="bottom"/>
          </w:tcPr>
          <w:p>
            <w:pPr>
              <w:spacing w:after="0"/>
              <w:rPr>
                <w:sz w:val="17"/>
                <w:szCs w:val="17"/>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(21,839)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8,918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Asset impairment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20"/>
              <w:spacing w:after="0"/>
              <w:rPr>
                <w:sz w:val="20"/>
                <w:szCs w:val="20"/>
                <w:color w:val="auto"/>
              </w:rPr>
            </w:pPr>
            <w:r>
              <w:rPr>
                <w:rFonts w:ascii="Arial" w:cs="Arial" w:eastAsia="Arial" w:hAnsi="Arial"/>
                <w:sz w:val="16"/>
                <w:szCs w:val="16"/>
                <w:color w:val="auto"/>
              </w:rPr>
              <w:t>Non-cash operating lease costs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24,340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24,605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 on disposal of property and equipment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20"/>
              <w:spacing w:after="0"/>
              <w:rPr>
                <w:sz w:val="20"/>
                <w:szCs w:val="20"/>
                <w:color w:val="auto"/>
              </w:rPr>
            </w:pPr>
            <w:r>
              <w:rPr>
                <w:rFonts w:ascii="Arial" w:cs="Arial" w:eastAsia="Arial" w:hAnsi="Arial"/>
                <w:sz w:val="16"/>
                <w:szCs w:val="16"/>
                <w:color w:val="auto"/>
              </w:rPr>
              <w:t>Deferred income taxes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(8,610)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stock-based compensation expense</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2,451</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20"/>
              <w:spacing w:after="0"/>
              <w:rPr>
                <w:sz w:val="20"/>
                <w:szCs w:val="20"/>
                <w:color w:val="auto"/>
              </w:rPr>
            </w:pPr>
            <w:r>
              <w:rPr>
                <w:rFonts w:ascii="Arial" w:cs="Arial" w:eastAsia="Arial" w:hAnsi="Arial"/>
                <w:sz w:val="16"/>
                <w:szCs w:val="16"/>
                <w:color w:val="auto"/>
              </w:rPr>
              <w:t>Gain on sale of building</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(10,960)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assets and liabilities:</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420"/>
              <w:spacing w:after="0"/>
              <w:rPr>
                <w:sz w:val="20"/>
                <w:szCs w:val="20"/>
                <w:color w:val="auto"/>
              </w:rPr>
            </w:pPr>
            <w:r>
              <w:rPr>
                <w:rFonts w:ascii="Arial" w:cs="Arial" w:eastAsia="Arial" w:hAnsi="Arial"/>
                <w:sz w:val="16"/>
                <w:szCs w:val="16"/>
                <w:color w:val="auto"/>
              </w:rPr>
              <w:t>Inventory</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5,074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(4,564)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Prepaid and other current assets</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(9,419)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420"/>
              <w:spacing w:after="0"/>
              <w:rPr>
                <w:sz w:val="20"/>
                <w:szCs w:val="20"/>
                <w:color w:val="auto"/>
              </w:rPr>
            </w:pPr>
            <w:r>
              <w:rPr>
                <w:rFonts w:ascii="Arial" w:cs="Arial" w:eastAsia="Arial" w:hAnsi="Arial"/>
                <w:sz w:val="16"/>
                <w:szCs w:val="16"/>
                <w:color w:val="auto"/>
              </w:rPr>
              <w:t>Other assets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(416)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Accounts payable</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(7,125)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420"/>
              <w:spacing w:after="0"/>
              <w:rPr>
                <w:sz w:val="20"/>
                <w:szCs w:val="20"/>
                <w:color w:val="auto"/>
              </w:rPr>
            </w:pPr>
            <w:r>
              <w:rPr>
                <w:rFonts w:ascii="Arial" w:cs="Arial" w:eastAsia="Arial" w:hAnsi="Arial"/>
                <w:sz w:val="16"/>
                <w:szCs w:val="16"/>
                <w:color w:val="auto"/>
              </w:rPr>
              <w:t>Accrued expenses and other long-term liabilities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(29,602)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(21,865)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Accrued compensation</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420"/>
              <w:spacing w:after="0"/>
              <w:rPr>
                <w:sz w:val="20"/>
                <w:szCs w:val="20"/>
                <w:color w:val="auto"/>
              </w:rPr>
            </w:pPr>
            <w:r>
              <w:rPr>
                <w:rFonts w:ascii="Arial" w:cs="Arial" w:eastAsia="Arial" w:hAnsi="Arial"/>
                <w:sz w:val="16"/>
                <w:szCs w:val="16"/>
                <w:color w:val="auto"/>
              </w:rPr>
              <w:t>Income tax receivable/payable</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Layaway deposits</w:t>
            </w:r>
          </w:p>
        </w:tc>
        <w:tc>
          <w:tcPr>
            <w:tcW w:w="7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tcBorders>
              <w:bottom w:val="single" w:sz="8" w:color="CCEEFF"/>
            </w:tcBorders>
          </w:tcPr>
          <w:p>
            <w:pPr>
              <w:ind w:left="640"/>
              <w:spacing w:after="0" w:line="183" w:lineRule="exact"/>
              <w:rPr>
                <w:sz w:val="20"/>
                <w:szCs w:val="20"/>
                <w:color w:val="auto"/>
              </w:rPr>
            </w:pPr>
            <w:r>
              <w:rPr>
                <w:rFonts w:ascii="Arial" w:cs="Arial" w:eastAsia="Arial" w:hAnsi="Arial"/>
                <w:sz w:val="16"/>
                <w:szCs w:val="16"/>
                <w:color w:val="auto"/>
              </w:rPr>
              <w:t>Net cash used in operating activities</w:t>
            </w:r>
          </w:p>
        </w:tc>
        <w:tc>
          <w:tcPr>
            <w:tcW w:w="7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(7,114)</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(13,996)</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Investing activities:</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200"/>
              <w:spacing w:after="0"/>
              <w:rPr>
                <w:sz w:val="20"/>
                <w:szCs w:val="20"/>
                <w:color w:val="auto"/>
              </w:rPr>
            </w:pPr>
            <w:r>
              <w:rPr>
                <w:rFonts w:ascii="Arial" w:cs="Arial" w:eastAsia="Arial" w:hAnsi="Arial"/>
                <w:sz w:val="16"/>
                <w:szCs w:val="16"/>
                <w:color w:val="auto"/>
              </w:rPr>
              <w:t>Purchases of property and equipment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(7,705)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(5,552)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sale of building</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11,206</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tcBorders>
              <w:bottom w:val="single" w:sz="8" w:color="CCEEFF"/>
            </w:tcBorders>
          </w:tcPr>
          <w:p>
            <w:pPr>
              <w:ind w:left="640"/>
              <w:spacing w:after="0" w:line="183" w:lineRule="exact"/>
              <w:rPr>
                <w:sz w:val="20"/>
                <w:szCs w:val="20"/>
                <w:color w:val="auto"/>
              </w:rPr>
            </w:pPr>
            <w:r>
              <w:rPr>
                <w:rFonts w:ascii="Arial" w:cs="Arial" w:eastAsia="Arial" w:hAnsi="Arial"/>
                <w:sz w:val="16"/>
                <w:szCs w:val="16"/>
                <w:color w:val="auto"/>
              </w:rPr>
              <w:t>Net cash provided by (used in) investing activities</w:t>
            </w:r>
          </w:p>
        </w:tc>
        <w:tc>
          <w:tcPr>
            <w:tcW w:w="7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3,501</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(5,552)</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Financing activities:</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200"/>
              <w:spacing w:after="0"/>
              <w:rPr>
                <w:sz w:val="20"/>
                <w:szCs w:val="20"/>
                <w:color w:val="auto"/>
              </w:rPr>
            </w:pPr>
            <w:r>
              <w:rPr>
                <w:rFonts w:ascii="Arial" w:cs="Arial" w:eastAsia="Arial" w:hAnsi="Arial"/>
                <w:sz w:val="16"/>
                <w:szCs w:val="16"/>
                <w:color w:val="auto"/>
              </w:rPr>
              <w:t>Cash used to settle withholding taxes on the vesting of nonvested restricted stock</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(760)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Repurchases of common stock</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(6,315)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tcBorders>
              <w:bottom w:val="single" w:sz="8" w:color="CCEEFF"/>
            </w:tcBorders>
          </w:tcPr>
          <w:p>
            <w:pPr>
              <w:ind w:left="640"/>
              <w:spacing w:after="0" w:line="183" w:lineRule="exact"/>
              <w:rPr>
                <w:sz w:val="20"/>
                <w:szCs w:val="20"/>
                <w:color w:val="auto"/>
              </w:rPr>
            </w:pPr>
            <w:r>
              <w:rPr>
                <w:rFonts w:ascii="Arial" w:cs="Arial" w:eastAsia="Arial" w:hAnsi="Arial"/>
                <w:sz w:val="16"/>
                <w:szCs w:val="16"/>
                <w:color w:val="auto"/>
              </w:rPr>
              <w:t>Net cash used in financing activities</w:t>
            </w:r>
          </w:p>
        </w:tc>
        <w:tc>
          <w:tcPr>
            <w:tcW w:w="7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(7,075)</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(856)</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0" w:type="dxa"/>
            <w:vAlign w:val="bottom"/>
            <w:shd w:val="clear" w:color="auto" w:fill="CCEEFF"/>
          </w:tcPr>
          <w:p>
            <w:pPr>
              <w:ind w:left="640"/>
              <w:spacing w:after="0" w:line="183" w:lineRule="exact"/>
              <w:rPr>
                <w:sz w:val="20"/>
                <w:szCs w:val="20"/>
                <w:color w:val="auto"/>
              </w:rPr>
            </w:pPr>
            <w:r>
              <w:rPr>
                <w:rFonts w:ascii="Arial" w:cs="Arial" w:eastAsia="Arial" w:hAnsi="Arial"/>
                <w:sz w:val="16"/>
                <w:szCs w:val="16"/>
                <w:color w:val="auto"/>
              </w:rPr>
              <w:t>Net decrease in cash and cash equivalents</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(10,688)</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(20,404)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Beginning of period</w:t>
            </w:r>
          </w:p>
        </w:tc>
        <w:tc>
          <w:tcPr>
            <w:tcW w:w="7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61,085</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79,706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End of period</w:t>
            </w:r>
          </w:p>
        </w:tc>
        <w:tc>
          <w:tcPr>
            <w:tcW w:w="7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50,397</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59,302</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68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6"/>
                <w:szCs w:val="16"/>
                <w:color w:val="auto"/>
              </w:rPr>
              <w:t>Supplemental disclosures of cash flow information:</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Cash paid for interest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24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bottom w:val="single" w:sz="8" w:color="CCEEFF"/>
            </w:tcBorders>
            <w:vMerge w:val="restart"/>
          </w:tcPr>
          <w:p>
            <w:pPr>
              <w:ind w:left="640"/>
              <w:spacing w:after="0"/>
              <w:rPr>
                <w:sz w:val="20"/>
                <w:szCs w:val="20"/>
                <w:color w:val="auto"/>
              </w:rPr>
            </w:pPr>
            <w:r>
              <w:rPr>
                <w:rFonts w:ascii="Arial" w:cs="Arial" w:eastAsia="Arial" w:hAnsi="Arial"/>
                <w:sz w:val="16"/>
                <w:szCs w:val="16"/>
                <w:color w:val="auto"/>
              </w:rPr>
              <w:t>Cash refunds of income taxes</w:t>
            </w:r>
          </w:p>
        </w:tc>
        <w:tc>
          <w:tcPr>
            <w:tcW w:w="7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tcBorders>
              <w:bottom w:val="single" w:sz="8" w:color="CCEEFF"/>
            </w:tcBorders>
            <w:vMerge w:val="continue"/>
          </w:tcPr>
          <w:p>
            <w:pPr>
              <w:spacing w:after="0"/>
              <w:rPr>
                <w:sz w:val="18"/>
                <w:szCs w:val="18"/>
                <w:color w:val="auto"/>
              </w:rPr>
            </w:pPr>
          </w:p>
        </w:tc>
        <w:tc>
          <w:tcPr>
            <w:tcW w:w="7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(1,453)</w:t>
            </w:r>
          </w:p>
        </w:tc>
        <w:tc>
          <w:tcPr>
            <w:tcW w:w="24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(341)</w:t>
            </w:r>
          </w:p>
        </w:tc>
        <w:tc>
          <w:tcPr>
            <w:tcW w:w="6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80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Supplemental disclosures of non-cash investing activities:</w:t>
            </w: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0" w:type="dxa"/>
            <w:vAlign w:val="bottom"/>
          </w:tcPr>
          <w:p>
            <w:pPr>
              <w:ind w:left="640"/>
              <w:spacing w:after="0"/>
              <w:rPr>
                <w:sz w:val="20"/>
                <w:szCs w:val="20"/>
                <w:color w:val="auto"/>
              </w:rPr>
            </w:pPr>
            <w:r>
              <w:rPr>
                <w:rFonts w:ascii="Arial" w:cs="Arial" w:eastAsia="Arial" w:hAnsi="Arial"/>
                <w:sz w:val="16"/>
                <w:szCs w:val="16"/>
                <w:color w:val="auto"/>
              </w:rPr>
              <w:t>Accrual for purchases of property and equipment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1,688</w:t>
            </w:r>
          </w:p>
        </w:tc>
        <w:tc>
          <w:tcPr>
            <w:tcW w:w="240" w:type="dxa"/>
            <w:vAlign w:val="bottom"/>
          </w:tcPr>
          <w:p>
            <w:pPr>
              <w:spacing w:after="0"/>
              <w:rPr>
                <w:sz w:val="16"/>
                <w:szCs w:val="16"/>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80"/>
              <w:spacing w:after="0"/>
              <w:rPr>
                <w:sz w:val="20"/>
                <w:szCs w:val="20"/>
                <w:color w:val="auto"/>
              </w:rPr>
            </w:pPr>
            <w:r>
              <w:rPr>
                <w:rFonts w:ascii="Arial" w:cs="Arial" w:eastAsia="Arial" w:hAnsi="Arial"/>
                <w:sz w:val="14"/>
                <w:szCs w:val="14"/>
                <w:b w:val="1"/>
                <w:bCs w:val="1"/>
                <w:color w:val="auto"/>
              </w:rPr>
              <w:t>Paid in</w:t>
            </w:r>
          </w:p>
        </w:tc>
        <w:tc>
          <w:tcPr>
            <w:tcW w:w="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7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940" w:type="dxa"/>
            <w:vAlign w:val="bottom"/>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780" w:type="dxa"/>
            <w:vAlign w:val="bottom"/>
          </w:tcPr>
          <w:p>
            <w:pPr>
              <w:jc w:val="right"/>
              <w:ind w:right="8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820" w:type="dxa"/>
            <w:vAlign w:val="bottom"/>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40" w:type="dxa"/>
            <w:vAlign w:val="bottom"/>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8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February 1, 2025</w:t>
            </w:r>
          </w:p>
        </w:tc>
        <w:tc>
          <w:tcPr>
            <w:tcW w:w="9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16,497,092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162</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$ 108,101</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$ 275,901</w:t>
            </w: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7,949,251</w:t>
            </w: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(270,988)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113,176</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Grant of restricted shares</w:t>
            </w:r>
          </w:p>
        </w:tc>
        <w:tc>
          <w:tcPr>
            <w:tcW w:w="940" w:type="dxa"/>
            <w:vAlign w:val="bottom"/>
          </w:tcPr>
          <w:p>
            <w:pPr>
              <w:jc w:val="right"/>
              <w:spacing w:after="0"/>
              <w:rPr>
                <w:sz w:val="20"/>
                <w:szCs w:val="20"/>
                <w:color w:val="auto"/>
              </w:rPr>
            </w:pPr>
            <w:r>
              <w:rPr>
                <w:rFonts w:ascii="Arial" w:cs="Arial" w:eastAsia="Arial" w:hAnsi="Arial"/>
                <w:sz w:val="16"/>
                <w:szCs w:val="16"/>
                <w:color w:val="auto"/>
              </w:rPr>
              <w:t>2,089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Forfeiture of restricted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968</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Shares withheld for settlement of employee taxes</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on vesting</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250,555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(6,315)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(6,315)</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Balances — May 3, 2025</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16,472,844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162</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$ 108,928</w:t>
            </w:r>
          </w:p>
        </w:tc>
        <w:tc>
          <w:tcPr>
            <w:tcW w:w="8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$ 276,772</w:t>
            </w:r>
          </w:p>
        </w:tc>
        <w:tc>
          <w:tcPr>
            <w:tcW w:w="6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8,199,806</w:t>
            </w:r>
          </w:p>
        </w:tc>
        <w:tc>
          <w:tcPr>
            <w:tcW w:w="12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(277,303)</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108,559</w:t>
            </w:r>
          </w:p>
        </w:tc>
        <w:tc>
          <w:tcPr>
            <w:tcW w:w="0" w:type="dxa"/>
            <w:vAlign w:val="bottom"/>
          </w:tcPr>
          <w:p>
            <w:pPr>
              <w:spacing w:after="0"/>
              <w:rPr>
                <w:sz w:val="1"/>
                <w:szCs w:val="1"/>
                <w:color w:val="auto"/>
              </w:rPr>
            </w:pPr>
          </w:p>
        </w:tc>
      </w:tr>
      <w:tr>
        <w:trPr>
          <w:trHeight w:val="170"/>
        </w:trPr>
        <w:tc>
          <w:tcPr>
            <w:tcW w:w="382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Grant of restricted shares</w:t>
            </w: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60,357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Forfeiture of restricted shares</w:t>
            </w:r>
          </w:p>
        </w:tc>
        <w:tc>
          <w:tcPr>
            <w:tcW w:w="940" w:type="dxa"/>
            <w:vAlign w:val="bottom"/>
          </w:tcPr>
          <w:p>
            <w:pPr>
              <w:jc w:val="right"/>
              <w:spacing w:after="0"/>
              <w:rPr>
                <w:sz w:val="20"/>
                <w:szCs w:val="20"/>
                <w:color w:val="auto"/>
              </w:rPr>
            </w:pPr>
            <w:r>
              <w:rPr>
                <w:rFonts w:ascii="Arial" w:cs="Arial" w:eastAsia="Arial" w:hAnsi="Arial"/>
                <w:sz w:val="16"/>
                <w:szCs w:val="16"/>
                <w:color w:val="auto"/>
              </w:rPr>
              <w:t>(2,620)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1,483</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w:t>
            </w:r>
          </w:p>
        </w:tc>
        <w:tc>
          <w:tcPr>
            <w:tcW w:w="0" w:type="dxa"/>
            <w:vAlign w:val="bottom"/>
          </w:tcPr>
          <w:p>
            <w:pPr>
              <w:spacing w:after="0"/>
              <w:rPr>
                <w:sz w:val="1"/>
                <w:szCs w:val="1"/>
                <w:color w:val="auto"/>
              </w:rPr>
            </w:pPr>
          </w:p>
        </w:tc>
      </w:tr>
      <w:tr>
        <w:trPr>
          <w:trHeight w:val="175"/>
        </w:trPr>
        <w:tc>
          <w:tcPr>
            <w:tcW w:w="3820" w:type="dxa"/>
            <w:vAlign w:val="bottom"/>
          </w:tcPr>
          <w:p>
            <w:pPr>
              <w:spacing w:after="0" w:line="175" w:lineRule="exact"/>
              <w:rPr>
                <w:sz w:val="20"/>
                <w:szCs w:val="20"/>
                <w:color w:val="auto"/>
              </w:rPr>
            </w:pPr>
            <w:r>
              <w:rPr>
                <w:rFonts w:ascii="Arial" w:cs="Arial" w:eastAsia="Arial" w:hAnsi="Arial"/>
                <w:sz w:val="16"/>
                <w:szCs w:val="16"/>
                <w:color w:val="auto"/>
              </w:rPr>
              <w:t>Shares withheld for settlement of employee taxes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20"/>
                <w:szCs w:val="20"/>
                <w:color w:val="auto"/>
              </w:rPr>
            </w:pPr>
            <w:r>
              <w:rPr>
                <w:rFonts w:ascii="Arial" w:cs="Arial" w:eastAsia="Arial" w:hAnsi="Arial"/>
                <w:sz w:val="16"/>
                <w:szCs w:val="16"/>
                <w:color w:val="auto"/>
              </w:rPr>
              <w:t>on vesting</w:t>
            </w:r>
          </w:p>
        </w:tc>
        <w:tc>
          <w:tcPr>
            <w:tcW w:w="940" w:type="dxa"/>
            <w:vAlign w:val="bottom"/>
          </w:tcPr>
          <w:p>
            <w:pPr>
              <w:jc w:val="right"/>
              <w:spacing w:after="0"/>
              <w:rPr>
                <w:sz w:val="20"/>
                <w:szCs w:val="20"/>
                <w:color w:val="auto"/>
              </w:rPr>
            </w:pPr>
            <w:r>
              <w:rPr>
                <w:rFonts w:ascii="Arial" w:cs="Arial" w:eastAsia="Arial" w:hAnsi="Arial"/>
                <w:sz w:val="16"/>
                <w:szCs w:val="16"/>
                <w:color w:val="auto"/>
              </w:rPr>
              <w:t>(24,863)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(620)</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3,818</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3,818</w:t>
            </w:r>
          </w:p>
        </w:tc>
        <w:tc>
          <w:tcPr>
            <w:tcW w:w="0" w:type="dxa"/>
            <w:vAlign w:val="bottom"/>
          </w:tcPr>
          <w:p>
            <w:pPr>
              <w:spacing w:after="0"/>
              <w:rPr>
                <w:sz w:val="1"/>
                <w:szCs w:val="1"/>
                <w:color w:val="auto"/>
              </w:rPr>
            </w:pPr>
          </w:p>
        </w:tc>
      </w:tr>
      <w:tr>
        <w:trPr>
          <w:trHeight w:val="183"/>
        </w:trPr>
        <w:tc>
          <w:tcPr>
            <w:tcW w:w="3820" w:type="dxa"/>
            <w:vAlign w:val="bottom"/>
          </w:tcPr>
          <w:p>
            <w:pPr>
              <w:spacing w:after="0" w:line="183" w:lineRule="exact"/>
              <w:rPr>
                <w:sz w:val="20"/>
                <w:szCs w:val="20"/>
                <w:color w:val="auto"/>
              </w:rPr>
            </w:pPr>
            <w:r>
              <w:rPr>
                <w:rFonts w:ascii="Arial" w:cs="Arial" w:eastAsia="Arial" w:hAnsi="Arial"/>
                <w:sz w:val="16"/>
                <w:szCs w:val="16"/>
                <w:color w:val="auto"/>
              </w:rPr>
              <w:t>Balances — August 2, 2025</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16,505,718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$ 109,791</w:t>
            </w:r>
          </w:p>
        </w:tc>
        <w:tc>
          <w:tcPr>
            <w:tcW w:w="8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$ 280,590</w:t>
            </w:r>
          </w:p>
        </w:tc>
        <w:tc>
          <w:tcPr>
            <w:tcW w:w="6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8,199,806</w:t>
            </w:r>
          </w:p>
        </w:tc>
        <w:tc>
          <w:tcPr>
            <w:tcW w:w="12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(277,303)</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113,240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20" w:type="dxa"/>
            <w:vAlign w:val="bottom"/>
          </w:tcPr>
          <w:p>
            <w:pPr>
              <w:spacing w:after="0"/>
              <w:rPr>
                <w:sz w:val="24"/>
                <w:szCs w:val="24"/>
                <w:color w:val="auto"/>
              </w:rPr>
            </w:pPr>
          </w:p>
        </w:tc>
        <w:tc>
          <w:tcPr>
            <w:tcW w:w="158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jc w:val="right"/>
              <w:ind w:right="80"/>
              <w:spacing w:after="0"/>
              <w:rPr>
                <w:sz w:val="20"/>
                <w:szCs w:val="20"/>
                <w:color w:val="auto"/>
              </w:rPr>
            </w:pPr>
            <w:r>
              <w:rPr>
                <w:rFonts w:ascii="Arial" w:cs="Arial" w:eastAsia="Arial" w:hAnsi="Arial"/>
                <w:sz w:val="14"/>
                <w:szCs w:val="14"/>
                <w:b w:val="1"/>
                <w:bCs w:val="1"/>
                <w:color w:val="auto"/>
              </w:rPr>
              <w:t>Paid in</w:t>
            </w:r>
          </w:p>
        </w:tc>
        <w:tc>
          <w:tcPr>
            <w:tcW w:w="80" w:type="dxa"/>
            <w:vAlign w:val="bottom"/>
          </w:tcPr>
          <w:p>
            <w:pPr>
              <w:spacing w:after="0"/>
              <w:rPr>
                <w:sz w:val="24"/>
                <w:szCs w:val="2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7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940" w:type="dxa"/>
            <w:vAlign w:val="bottom"/>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780" w:type="dxa"/>
            <w:vAlign w:val="bottom"/>
          </w:tcPr>
          <w:p>
            <w:pPr>
              <w:jc w:val="right"/>
              <w:ind w:right="8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820" w:type="dxa"/>
            <w:vAlign w:val="bottom"/>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40" w:type="dxa"/>
            <w:vAlign w:val="bottom"/>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8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February 3, 2024</w:t>
            </w:r>
          </w:p>
        </w:tc>
        <w:tc>
          <w:tcPr>
            <w:tcW w:w="9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16,354,714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160</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$ 105,686</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$ 319,071</w:t>
            </w: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7,804,013</w:t>
            </w: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(267,211)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157,706</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Grant of restricted shares</w:t>
            </w:r>
          </w:p>
        </w:tc>
        <w:tc>
          <w:tcPr>
            <w:tcW w:w="940" w:type="dxa"/>
            <w:vAlign w:val="bottom"/>
          </w:tcPr>
          <w:p>
            <w:pPr>
              <w:jc w:val="right"/>
              <w:spacing w:after="0"/>
              <w:rPr>
                <w:sz w:val="20"/>
                <w:szCs w:val="20"/>
                <w:color w:val="auto"/>
              </w:rPr>
            </w:pPr>
            <w:r>
              <w:rPr>
                <w:rFonts w:ascii="Arial" w:cs="Arial" w:eastAsia="Arial" w:hAnsi="Arial"/>
                <w:sz w:val="16"/>
                <w:szCs w:val="16"/>
                <w:color w:val="auto"/>
              </w:rPr>
              <w:t>2,811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Forfeiture of restricted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884</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Shares withheld for settlement of employee taxes</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on vesting</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Net income (loss)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(3,426)</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(3,426)</w:t>
            </w:r>
          </w:p>
        </w:tc>
        <w:tc>
          <w:tcPr>
            <w:tcW w:w="0" w:type="dxa"/>
            <w:vAlign w:val="bottom"/>
          </w:tcPr>
          <w:p>
            <w:pPr>
              <w:spacing w:after="0"/>
              <w:rPr>
                <w:sz w:val="1"/>
                <w:szCs w:val="1"/>
                <w:color w:val="auto"/>
              </w:rPr>
            </w:pPr>
          </w:p>
        </w:tc>
      </w:tr>
      <w:tr>
        <w:trPr>
          <w:trHeight w:val="183"/>
        </w:trPr>
        <w:tc>
          <w:tcPr>
            <w:tcW w:w="382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May 4, 2024</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16,340,729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$ 106,237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$ 315,645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7,804,013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(267,211)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154,832</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6"/>
                <w:szCs w:val="16"/>
                <w:color w:val="auto"/>
              </w:rPr>
              <w:t>Vesting of nonvested restricted stock units</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vMerge w:val="continue"/>
          </w:tcPr>
          <w:p>
            <w:pPr>
              <w:spacing w:after="0"/>
              <w:rPr>
                <w:sz w:val="14"/>
                <w:szCs w:val="14"/>
                <w:color w:val="auto"/>
              </w:rPr>
            </w:pPr>
          </w:p>
        </w:tc>
        <w:tc>
          <w:tcPr>
            <w:tcW w:w="94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jc w:val="right"/>
              <w:spacing w:after="0" w:line="170" w:lineRule="exact"/>
              <w:rPr>
                <w:sz w:val="20"/>
                <w:szCs w:val="20"/>
                <w:color w:val="auto"/>
              </w:rPr>
            </w:pPr>
            <w:r>
              <w:rPr>
                <w:rFonts w:ascii="Arial" w:cs="Arial" w:eastAsia="Arial" w:hAnsi="Arial"/>
                <w:sz w:val="16"/>
                <w:szCs w:val="16"/>
                <w:color w:val="auto"/>
              </w:rPr>
              <w:t>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vMerge w:val="continue"/>
          </w:tcPr>
          <w:p>
            <w:pPr>
              <w:spacing w:after="0"/>
              <w:rPr>
                <w:sz w:val="14"/>
                <w:szCs w:val="14"/>
                <w:color w:val="auto"/>
              </w:rPr>
            </w:pPr>
          </w:p>
        </w:tc>
        <w:tc>
          <w:tcPr>
            <w:tcW w:w="82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Grant of restricted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Grant of vested shares</w:t>
            </w:r>
          </w:p>
        </w:tc>
        <w:tc>
          <w:tcPr>
            <w:tcW w:w="940" w:type="dxa"/>
            <w:vAlign w:val="bottom"/>
          </w:tcPr>
          <w:p>
            <w:pPr>
              <w:jc w:val="right"/>
              <w:spacing w:after="0"/>
              <w:rPr>
                <w:sz w:val="20"/>
                <w:szCs w:val="20"/>
                <w:color w:val="auto"/>
              </w:rPr>
            </w:pPr>
            <w:r>
              <w:rPr>
                <w:rFonts w:ascii="Arial" w:cs="Arial" w:eastAsia="Arial" w:hAnsi="Arial"/>
                <w:sz w:val="16"/>
                <w:szCs w:val="16"/>
                <w:color w:val="auto"/>
              </w:rPr>
              <w:t>16,373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Forfeiture of restricted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694</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Shares withheld for settlement of employee taxes</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on vesting</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Net income (loss)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(18,413)</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(18,413)</w:t>
            </w:r>
          </w:p>
        </w:tc>
        <w:tc>
          <w:tcPr>
            <w:tcW w:w="0" w:type="dxa"/>
            <w:vAlign w:val="bottom"/>
          </w:tcPr>
          <w:p>
            <w:pPr>
              <w:spacing w:after="0"/>
              <w:rPr>
                <w:sz w:val="1"/>
                <w:szCs w:val="1"/>
                <w:color w:val="auto"/>
              </w:rPr>
            </w:pPr>
          </w:p>
        </w:tc>
      </w:tr>
      <w:tr>
        <w:trPr>
          <w:trHeight w:val="183"/>
        </w:trPr>
        <w:tc>
          <w:tcPr>
            <w:tcW w:w="382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August 3, 2024</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16,419,356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$ 106,407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$ 297,232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7,804,013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(267,211)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136,590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Citi Trends,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Notes to the Condensed Consolidated Financial Statements (unaudited)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August 2, 2025</w:t>
      </w:r>
    </w:p>
    <w:p>
      <w:pPr>
        <w:spacing w:after="0" w:line="28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Significant Accounting Policies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w:t>
      </w:r>
    </w:p>
    <w:p>
      <w:pPr>
        <w:spacing w:after="0" w:line="30" w:lineRule="exact"/>
        <w:rPr>
          <w:sz w:val="20"/>
          <w:szCs w:val="20"/>
          <w:color w:val="auto"/>
        </w:rPr>
      </w:pPr>
    </w:p>
    <w:p>
      <w:pPr>
        <w:jc w:val="both"/>
        <w:ind w:right="160"/>
        <w:spacing w:after="0" w:line="284" w:lineRule="auto"/>
        <w:rPr>
          <w:sz w:val="20"/>
          <w:szCs w:val="20"/>
          <w:color w:val="auto"/>
        </w:rPr>
      </w:pPr>
      <w:r>
        <w:rPr>
          <w:rFonts w:ascii="Arial" w:cs="Arial" w:eastAsia="Arial" w:hAnsi="Arial"/>
          <w:sz w:val="16"/>
          <w:szCs w:val="16"/>
          <w:color w:val="auto"/>
        </w:rPr>
        <w:t>Citi Trends, Inc. and its subsidiary (the “Company”) is a leading off-price value retailer of apparel, accessories and home trends primarily for African American families in the United States. As of August 2, 2025, the Company operated 590 stores in urban, suburban and rural markets in 33 states.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condensed consolidated financial statements are prepared in accordance with U.S. generally accepted accounting principles (“U.S. GAAP”) for interim reporting and are unaudited. In the opinion of management, the condensed consolidated financial statements reflect all adjustments, which are normal and recurring in nature, necessary for fair financial statement presentation. The condensed consolidated balance sheet as of February 1, 2025 is derived from the audited financial statements in the Company’s Annual Report on Form 10-K for the fiscal year ended February 1, 2025 (the “2024 Form 10-K”). These condensed consolidated financial statements should be read in conjunction with the audited consolidated financial statements and notes thereto included in the 2024 Form 10-K. Operating results for the first half of 2025 are not necessarily indicative of the results that may be expected for the fiscal year as a result of the seasonality of the business, and the current economic uncertainty.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w:t>
      </w:r>
    </w:p>
    <w:p>
      <w:pPr>
        <w:spacing w:after="0" w:line="29" w:lineRule="exact"/>
        <w:rPr>
          <w:sz w:val="20"/>
          <w:szCs w:val="20"/>
          <w:color w:val="auto"/>
        </w:rPr>
      </w:pPr>
    </w:p>
    <w:p>
      <w:pPr>
        <w:ind w:right="180"/>
        <w:spacing w:after="0" w:line="305" w:lineRule="auto"/>
        <w:rPr>
          <w:sz w:val="20"/>
          <w:szCs w:val="20"/>
          <w:color w:val="auto"/>
        </w:rPr>
      </w:pPr>
      <w:r>
        <w:rPr>
          <w:rFonts w:ascii="Arial" w:cs="Arial" w:eastAsia="Arial" w:hAnsi="Arial"/>
          <w:sz w:val="16"/>
          <w:szCs w:val="16"/>
          <w:color w:val="auto"/>
        </w:rPr>
        <w:t>The following contains references to fiscal years 2025 and 2024, which represent fiscal years ending or ended on January 31, 2026 and February 1, 2025, respectively. Fiscal 2025 and fiscal 2024 both have 52-week accounting periods.</w:t>
      </w:r>
    </w:p>
    <w:p>
      <w:pPr>
        <w:spacing w:after="0" w:line="19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Cash and Cash Equivalents/Concentration of Credit Risk</w:t>
      </w:r>
    </w:p>
    <w:p>
      <w:pPr>
        <w:spacing w:after="0" w:line="235"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21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Earnings per Share</w:t>
      </w:r>
    </w:p>
    <w:p>
      <w:pPr>
        <w:spacing w:after="0" w:line="248"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25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dilutive effect of stock-based compensation arrangements is accounted for using the treasury stock method. The Company includes the amount of compensation cost attributed to future services and not yet recognized as assumed proceeds. For the second quarter of 2025 and 2024, there were 0 and 178,000 shares of nonvested restricted stock, respectively, excluded from the calculation of diluted earnings per share because of antidilution. For the twenty-six weeks ended August 2, 2025 and August 3, 2024, there were 0 and 234,000 shares of nonvested restricted stock, respectively, excluded from the calculation of diluted earnings per share because of antidilution.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2" w:right="101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The following table provides the weighted average number of common shares outstanding used to calculate basic earnings per share to the number of common shares and common stock equivalents outstanding used in calculating diluted earnings per share: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5"/>
        </w:trPr>
        <w:tc>
          <w:tcPr>
            <w:tcW w:w="7280" w:type="dxa"/>
            <w:vAlign w:val="bottom"/>
          </w:tcPr>
          <w:p>
            <w:pPr>
              <w:spacing w:after="0"/>
              <w:rPr>
                <w:sz w:val="13"/>
                <w:szCs w:val="13"/>
                <w:color w:val="auto"/>
              </w:rPr>
            </w:pPr>
          </w:p>
        </w:tc>
        <w:tc>
          <w:tcPr>
            <w:tcW w:w="14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August 2, 2025</w:t>
            </w:r>
          </w:p>
        </w:tc>
        <w:tc>
          <w:tcPr>
            <w:tcW w:w="1220" w:type="dxa"/>
            <w:vAlign w:val="bottom"/>
          </w:tcPr>
          <w:p>
            <w:pPr>
              <w:jc w:val="right"/>
              <w:ind w:right="21"/>
              <w:spacing w:after="0" w:line="155" w:lineRule="exact"/>
              <w:rPr>
                <w:sz w:val="20"/>
                <w:szCs w:val="20"/>
                <w:color w:val="auto"/>
              </w:rPr>
            </w:pPr>
            <w:r>
              <w:rPr>
                <w:rFonts w:ascii="Arial" w:cs="Arial" w:eastAsia="Arial" w:hAnsi="Arial"/>
                <w:sz w:val="14"/>
                <w:szCs w:val="14"/>
                <w:b w:val="1"/>
                <w:bCs w:val="1"/>
                <w:color w:val="auto"/>
              </w:rPr>
              <w:t>August 3, 2024</w:t>
            </w:r>
          </w:p>
        </w:tc>
        <w:tc>
          <w:tcPr>
            <w:tcW w:w="0" w:type="dxa"/>
            <w:vAlign w:val="bottom"/>
          </w:tcPr>
          <w:p>
            <w:pPr>
              <w:spacing w:after="0"/>
              <w:rPr>
                <w:sz w:val="1"/>
                <w:szCs w:val="1"/>
                <w:color w:val="auto"/>
              </w:rPr>
            </w:pPr>
          </w:p>
        </w:tc>
      </w:tr>
      <w:tr>
        <w:trPr>
          <w:trHeight w:val="183"/>
        </w:trPr>
        <w:tc>
          <w:tcPr>
            <w:tcW w:w="7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outstanding (basic)</w:t>
            </w:r>
          </w:p>
        </w:tc>
        <w:tc>
          <w:tcPr>
            <w:tcW w:w="1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8,033,100</w:t>
            </w: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8,336,629</w:t>
            </w:r>
          </w:p>
        </w:tc>
        <w:tc>
          <w:tcPr>
            <w:tcW w:w="0" w:type="dxa"/>
            <w:vAlign w:val="bottom"/>
          </w:tcPr>
          <w:p>
            <w:pPr>
              <w:spacing w:after="0"/>
              <w:rPr>
                <w:sz w:val="1"/>
                <w:szCs w:val="1"/>
                <w:color w:val="auto"/>
              </w:rPr>
            </w:pPr>
          </w:p>
        </w:tc>
      </w:tr>
      <w:tr>
        <w:trPr>
          <w:trHeight w:val="189"/>
        </w:trPr>
        <w:tc>
          <w:tcPr>
            <w:tcW w:w="7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280,741</w:t>
            </w:r>
          </w:p>
        </w:tc>
        <w:tc>
          <w:tcPr>
            <w:tcW w:w="2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72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Weighted average number of common shares and common stock equivalents outstanding</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8,313,841</w:t>
            </w:r>
          </w:p>
        </w:tc>
        <w:tc>
          <w:tcPr>
            <w:tcW w:w="2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8,336,629</w:t>
            </w:r>
          </w:p>
        </w:tc>
        <w:tc>
          <w:tcPr>
            <w:tcW w:w="0" w:type="dxa"/>
            <w:vAlign w:val="bottom"/>
          </w:tcPr>
          <w:p>
            <w:pPr>
              <w:spacing w:after="0"/>
              <w:rPr>
                <w:sz w:val="1"/>
                <w:szCs w:val="1"/>
                <w:color w:val="auto"/>
              </w:rPr>
            </w:pPr>
          </w:p>
        </w:tc>
      </w:tr>
      <w:tr>
        <w:trPr>
          <w:trHeight w:val="190"/>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(diluted)</w:t>
            </w: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280" w:type="dxa"/>
            <w:vAlign w:val="bottom"/>
          </w:tcPr>
          <w:p>
            <w:pPr>
              <w:spacing w:after="0"/>
              <w:rPr>
                <w:sz w:val="24"/>
                <w:szCs w:val="24"/>
                <w:color w:val="auto"/>
              </w:rPr>
            </w:pPr>
          </w:p>
        </w:tc>
        <w:tc>
          <w:tcPr>
            <w:tcW w:w="264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56"/>
        </w:trPr>
        <w:tc>
          <w:tcPr>
            <w:tcW w:w="7280" w:type="dxa"/>
            <w:vAlign w:val="bottom"/>
          </w:tcPr>
          <w:p>
            <w:pPr>
              <w:spacing w:after="0"/>
              <w:rPr>
                <w:sz w:val="13"/>
                <w:szCs w:val="13"/>
                <w:color w:val="auto"/>
              </w:rPr>
            </w:pPr>
          </w:p>
        </w:tc>
        <w:tc>
          <w:tcPr>
            <w:tcW w:w="14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August 2, 2025</w:t>
            </w:r>
          </w:p>
        </w:tc>
        <w:tc>
          <w:tcPr>
            <w:tcW w:w="1220" w:type="dxa"/>
            <w:vAlign w:val="bottom"/>
          </w:tcPr>
          <w:p>
            <w:pPr>
              <w:jc w:val="right"/>
              <w:ind w:right="21"/>
              <w:spacing w:after="0" w:line="155" w:lineRule="exact"/>
              <w:rPr>
                <w:sz w:val="20"/>
                <w:szCs w:val="20"/>
                <w:color w:val="auto"/>
              </w:rPr>
            </w:pPr>
            <w:r>
              <w:rPr>
                <w:rFonts w:ascii="Arial" w:cs="Arial" w:eastAsia="Arial" w:hAnsi="Arial"/>
                <w:sz w:val="14"/>
                <w:szCs w:val="14"/>
                <w:b w:val="1"/>
                <w:bCs w:val="1"/>
                <w:color w:val="auto"/>
              </w:rPr>
              <w:t>August 3, 2024</w:t>
            </w:r>
          </w:p>
        </w:tc>
        <w:tc>
          <w:tcPr>
            <w:tcW w:w="0" w:type="dxa"/>
            <w:vAlign w:val="bottom"/>
          </w:tcPr>
          <w:p>
            <w:pPr>
              <w:spacing w:after="0"/>
              <w:rPr>
                <w:sz w:val="1"/>
                <w:szCs w:val="1"/>
                <w:color w:val="auto"/>
              </w:rPr>
            </w:pPr>
          </w:p>
        </w:tc>
      </w:tr>
      <w:tr>
        <w:trPr>
          <w:trHeight w:val="183"/>
        </w:trPr>
        <w:tc>
          <w:tcPr>
            <w:tcW w:w="7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outstanding (basic)</w:t>
            </w:r>
          </w:p>
        </w:tc>
        <w:tc>
          <w:tcPr>
            <w:tcW w:w="1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8,033,361</w:t>
            </w: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8,294,593</w:t>
            </w:r>
          </w:p>
        </w:tc>
        <w:tc>
          <w:tcPr>
            <w:tcW w:w="0" w:type="dxa"/>
            <w:vAlign w:val="bottom"/>
          </w:tcPr>
          <w:p>
            <w:pPr>
              <w:spacing w:after="0"/>
              <w:rPr>
                <w:sz w:val="1"/>
                <w:szCs w:val="1"/>
                <w:color w:val="auto"/>
              </w:rPr>
            </w:pPr>
          </w:p>
        </w:tc>
      </w:tr>
      <w:tr>
        <w:trPr>
          <w:trHeight w:val="189"/>
        </w:trPr>
        <w:tc>
          <w:tcPr>
            <w:tcW w:w="7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208,787</w:t>
            </w:r>
          </w:p>
        </w:tc>
        <w:tc>
          <w:tcPr>
            <w:tcW w:w="2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72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Weighted average number of common shares and common stock equivalents outstanding</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8,242,148</w:t>
            </w:r>
          </w:p>
        </w:tc>
        <w:tc>
          <w:tcPr>
            <w:tcW w:w="2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8,294,593</w:t>
            </w:r>
          </w:p>
        </w:tc>
        <w:tc>
          <w:tcPr>
            <w:tcW w:w="0" w:type="dxa"/>
            <w:vAlign w:val="bottom"/>
          </w:tcPr>
          <w:p>
            <w:pPr>
              <w:spacing w:after="0"/>
              <w:rPr>
                <w:sz w:val="1"/>
                <w:szCs w:val="1"/>
                <w:color w:val="auto"/>
              </w:rPr>
            </w:pPr>
          </w:p>
        </w:tc>
      </w:tr>
      <w:tr>
        <w:trPr>
          <w:trHeight w:val="190"/>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(diluted)</w:t>
            </w: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Revolving Credit Facility</w:t>
      </w:r>
    </w:p>
    <w:p>
      <w:pPr>
        <w:spacing w:after="0" w:line="23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October 2011, the Company entered into a five-year, $50 million credit facility with Bank of America. The facility was amended in August 2015, May 2020 and April 2021 to modify terms and extend the maturity dates. The facility was further amended on April 10, 2025 to extend the maturity date to April 10, 2030. The amended facility provides a $75 million credit commitment and a $25 million uncommitted “accordion” feature that under certain circumstances could allow the Company to increase the size of the facility to $100 million.</w:t>
      </w:r>
    </w:p>
    <w:p>
      <w:pPr>
        <w:spacing w:after="0" w:line="266"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w:t>
      </w:r>
    </w:p>
    <w:p>
      <w:pPr>
        <w:spacing w:after="0" w:line="25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Borrowings under the credit facility bear interest (a) for SOFR Loans, at a rate equal to the SOFR Rate plus a SOFR adjustment equal to 0.10% plus either 1.50%, 1.75% or 2.00%, or (b) for Base Rate Loans, at a rate equal to the highest of (i) the prime rate, (ii) the Federal Funds Rate plus 0.5% and (iii) the Term SOFR Rate plus 1.0%, plus, in each case either 0.50%, 0.75% or 1.00%, based in any such case on the average daily availability for borrowings under the facility.</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As of August 2, 2025, the Company had no borrowings under the credit facility and $2.2 million of letters of credit outstanding.</w:t>
      </w:r>
    </w:p>
    <w:p>
      <w:pPr>
        <w:spacing w:after="0" w:line="329"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Impairment of Assets</w:t>
      </w:r>
    </w:p>
    <w:p>
      <w:pPr>
        <w:spacing w:after="0" w:line="24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If facts and circumstances indicate that a long-lived asset or operating lease right-of-use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In the first half of 2025, non-cash impairment expense related to underperforming stores totaled $0.3 million, comprised of $0.2</w:t>
      </w:r>
      <w:r>
        <w:rPr>
          <w:sz w:val="1"/>
          <w:szCs w:val="1"/>
          <w:color w:val="auto"/>
        </w:rPr>
        <w:drawing>
          <wp:inline distT="0" distB="0" distL="0" distR="0">
            <wp:extent cx="25400" cy="1200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400" cy="120015"/>
                    </a:xfrm>
                    <a:prstGeom prst="rect">
                      <a:avLst/>
                    </a:prstGeom>
                    <a:noFill/>
                    <a:ln>
                      <a:noFill/>
                    </a:ln>
                  </pic:spPr>
                </pic:pic>
              </a:graphicData>
            </a:graphic>
          </wp:inline>
        </w:drawing>
      </w:r>
      <w:r>
        <w:rPr>
          <w:rFonts w:ascii="Arial" w:cs="Arial" w:eastAsia="Arial" w:hAnsi="Arial"/>
          <w:sz w:val="16"/>
          <w:szCs w:val="16"/>
          <w:color w:val="auto"/>
        </w:rPr>
        <w:t>million for leasehold improvements and fixtures and equipment, and $0.1 million for operating lease right of use assets. In the first half of 2024, non-cash impairment expense related to underperforming stores totaled $1.3 million, comprised of $0.7 million for leasehold improvements and fixtures and equipment, and $0.6 million for operating lease right of use assets.</w:t>
      </w:r>
    </w:p>
    <w:p>
      <w:pPr>
        <w:spacing w:after="0" w:line="294"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Income Taxes</w:t>
      </w:r>
    </w:p>
    <w:p>
      <w:pPr>
        <w:spacing w:after="0" w:line="235"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portion or all of the deferred tax assets will not be realized. If realization of the deferred tax asset is not considered more likely than not, then a valuation allowance is recorded to reduce the deferred tax asset to its net realizable value.</w:t>
      </w:r>
    </w:p>
    <w:p>
      <w:pPr>
        <w:spacing w:after="0" w:line="16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and income tax credits may be utilized, management believes sufficient negative evidence exists to require a valuation allowance. We intend to maintain a valuation allowance until sufficient positive evidence exists to support its reversal, resulting in no deferred tax asset balance being recognized.</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On July 4, 2025, the President signed H.R. 1, the “One Big Beautiful Bill Act,” into law. The legislation has multiple effective dates, with certain provisions effective in 2025 and others implemented through 2027.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The Company expects to utilize the more favorable tax legislation in its corresponding tax filings.</w:t>
      </w:r>
    </w:p>
    <w:p>
      <w:pPr>
        <w:spacing w:after="0" w:line="153"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Commitments and Contingencies</w:t>
      </w:r>
    </w:p>
    <w:p>
      <w:pPr>
        <w:spacing w:after="0" w:line="235"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The Company from time to time is involved in various legal proceedings incidental to the conduct of its business, including claims by customers, landlords, employees or former employees. Once it becomes probable that the Company will incur costs in connection with a legal proceeding and such costs can be reasonably estimated, the Company establishes appropriate reserves.</w:t>
      </w:r>
    </w:p>
    <w:p>
      <w:pPr>
        <w:spacing w:after="0" w:line="165"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16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Stock Repurchases</w:t>
      </w:r>
    </w:p>
    <w:p>
      <w:pPr>
        <w:spacing w:after="0" w:line="248"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Company periodically repurchases shares of its common stock under board-authorized repurchase programs. Such repurchases may be made in the open market, through block trades or through other negotiated transactions. Share repurchases were as follows (in thousands, except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Thirteen Weeks Ended</w:t>
            </w: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Twenty-Six Weeks Ended</w:t>
            </w:r>
          </w:p>
        </w:tc>
      </w:tr>
      <w:tr>
        <w:trPr>
          <w:trHeight w:val="169"/>
        </w:trPr>
        <w:tc>
          <w:tcPr>
            <w:tcW w:w="43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August 2, 2025</w:t>
            </w:r>
          </w:p>
        </w:tc>
        <w:tc>
          <w:tcPr>
            <w:tcW w:w="1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August 3, 2024</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w w:val="99"/>
              </w:rPr>
              <w:t>August 2, 2025</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August 3, 2024</w:t>
            </w:r>
          </w:p>
        </w:tc>
      </w:tr>
      <w:tr>
        <w:trPr>
          <w:trHeight w:val="183"/>
        </w:trPr>
        <w:tc>
          <w:tcPr>
            <w:tcW w:w="43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number of shares purchased</w:t>
            </w: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ind w:left="620"/>
              <w:spacing w:after="0" w:line="183"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ind w:left="80"/>
              <w:spacing w:after="0" w:line="183"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ind w:left="900"/>
              <w:spacing w:after="0" w:line="183" w:lineRule="exact"/>
              <w:rPr>
                <w:sz w:val="20"/>
                <w:szCs w:val="20"/>
                <w:color w:val="auto"/>
              </w:rPr>
            </w:pPr>
            <w:r>
              <w:rPr>
                <w:rFonts w:ascii="Arial" w:cs="Arial" w:eastAsia="Arial" w:hAnsi="Arial"/>
                <w:sz w:val="16"/>
                <w:szCs w:val="16"/>
                <w:color w:val="auto"/>
              </w:rPr>
              <w:t>—</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Average price paid per share (including commissions)</w:t>
            </w:r>
          </w:p>
        </w:tc>
        <w:tc>
          <w:tcPr>
            <w:tcW w:w="74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8"/>
              <w:spacing w:after="0"/>
              <w:rPr>
                <w:sz w:val="20"/>
                <w:szCs w:val="20"/>
                <w:color w:val="auto"/>
              </w:rPr>
            </w:pPr>
            <w:r>
              <w:rPr>
                <w:rFonts w:ascii="Arial" w:cs="Arial" w:eastAsia="Arial" w:hAnsi="Arial"/>
                <w:sz w:val="16"/>
                <w:szCs w:val="16"/>
                <w:color w:val="auto"/>
              </w:rPr>
              <w:t>$</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ind w:left="900"/>
              <w:spacing w:after="0"/>
              <w:rPr>
                <w:sz w:val="20"/>
                <w:szCs w:val="20"/>
                <w:color w:val="auto"/>
              </w:rPr>
            </w:pPr>
            <w:r>
              <w:rPr>
                <w:rFonts w:ascii="Arial" w:cs="Arial" w:eastAsia="Arial" w:hAnsi="Arial"/>
                <w:sz w:val="16"/>
                <w:szCs w:val="16"/>
                <w:color w:val="auto"/>
              </w:rPr>
              <w:t>—</w:t>
            </w:r>
          </w:p>
        </w:tc>
      </w:tr>
      <w:tr>
        <w:trPr>
          <w:trHeight w:val="189"/>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w:t>
            </w: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8"/>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r>
    </w:tbl>
    <w:p>
      <w:pPr>
        <w:spacing w:after="0" w:line="17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On November 30, 2021, the Company announced that its board of directors approved a $30 million stock repurchase program. On March 15, 2022, the Company announced that its board of directors approved an additional $30 million stock repurchase program. The programs do not have expiration dates.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At August 2, 2025, $40.0 million remained available under the Company’s stock repurchase authorization.</w:t>
      </w:r>
    </w:p>
    <w:p>
      <w:pPr>
        <w:spacing w:after="0" w:line="22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Recent Accounting Pronouncements</w:t>
      </w:r>
    </w:p>
    <w:p>
      <w:pPr>
        <w:spacing w:after="0" w:line="235"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In December 2023, the FASB issued ASU 2023-09, “Improvement to Income Tax Disclosures (Topic 740)”, (“ASU 2023-09”) which requires additional disclosures for income tax rate reconciliations, income taxes paid, and certain other tax disclosures.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Adoption is required for annual periods beginning after December 15, 2024. The Company is currently evaluating the impact this standard will have on its consolidated financial statements and related disclosures.</w:t>
      </w:r>
    </w:p>
    <w:p>
      <w:pPr>
        <w:spacing w:after="0" w:line="175"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In November 2024, the FASB issued ASU 2024-03, “Expense Disaggregation Disclosures (Topic 220): Disaggregation of Income Statement Expenses” which requires public entities to disclose additional information that disaggregates certain expense captions into specified categories in the Notes to the consolidated financial statements. The new standard is effective for fiscal years beginning after December 15, 2026, and interim periods after December 15, 2027, with early adoption permitted. The disclosure updates are required to be applied prospectively with the option for retrospective application. The Company is currently evaluating the impact this standard will have on its disclosures.</w:t>
      </w:r>
    </w:p>
    <w:p>
      <w:pPr>
        <w:sectPr>
          <w:pgSz w:w="11900" w:h="16838" w:orient="portrait"/>
          <w:cols w:equalWidth="0" w:num="1">
            <w:col w:w="9920"/>
          </w:cols>
          <w:pgMar w:left="980" w:top="512"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369570</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Revenue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30"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Company’s primary source of revenue is derived from the sale of clothing and accessories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Returns</w:t>
      </w:r>
    </w:p>
    <w:p>
      <w:pPr>
        <w:spacing w:after="0" w:line="29" w:lineRule="exact"/>
        <w:rPr>
          <w:sz w:val="20"/>
          <w:szCs w:val="20"/>
          <w:color w:val="auto"/>
        </w:rPr>
      </w:pPr>
    </w:p>
    <w:p>
      <w:pPr>
        <w:ind w:right="620"/>
        <w:spacing w:after="0" w:line="305" w:lineRule="auto"/>
        <w:rPr>
          <w:sz w:val="20"/>
          <w:szCs w:val="20"/>
          <w:color w:val="auto"/>
        </w:rPr>
      </w:pPr>
      <w:r>
        <w:rPr>
          <w:rFonts w:ascii="Arial" w:cs="Arial" w:eastAsia="Arial" w:hAnsi="Arial"/>
          <w:sz w:val="16"/>
          <w:szCs w:val="16"/>
          <w:color w:val="auto"/>
        </w:rPr>
        <w:t>The Company allows customers to return merchandise for up to 30 days after the date of sale. Expected refunds to customers are recorded based on estimated margin using historical return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Disaggregation of Revenue</w:t>
      </w:r>
    </w:p>
    <w:p>
      <w:pPr>
        <w:spacing w:after="0" w:line="30"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172"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In the following table, the Company’s revenue from contracts with customers is disaggregated by Division or product category. It also provides the percentage of net sales for each Division within the merchandise assortment.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4"/>
                <w:szCs w:val="14"/>
                <w:b w:val="1"/>
                <w:bCs w:val="1"/>
                <w:color w:val="auto"/>
              </w:rPr>
              <w:t>Twenty-Six Weeks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280" w:type="dxa"/>
            <w:vAlign w:val="bottom"/>
            <w:vMerge w:val="restart"/>
          </w:tcPr>
          <w:p>
            <w:pPr>
              <w:spacing w:after="0"/>
              <w:rPr>
                <w:sz w:val="20"/>
                <w:szCs w:val="20"/>
                <w:color w:val="auto"/>
              </w:rPr>
            </w:pPr>
            <w:r>
              <w:rPr>
                <w:rFonts w:ascii="Arial" w:cs="Arial" w:eastAsia="Arial" w:hAnsi="Arial"/>
                <w:sz w:val="16"/>
                <w:szCs w:val="16"/>
                <w:b w:val="1"/>
                <w:bCs w:val="1"/>
                <w:color w:val="auto"/>
              </w:rPr>
              <w:t>Division</w:t>
            </w:r>
          </w:p>
        </w:tc>
        <w:tc>
          <w:tcPr>
            <w:tcW w:w="1160" w:type="dxa"/>
            <w:vAlign w:val="bottom"/>
            <w:gridSpan w:val="3"/>
          </w:tcPr>
          <w:p>
            <w:pPr>
              <w:ind w:left="140"/>
              <w:spacing w:after="0"/>
              <w:rPr>
                <w:sz w:val="20"/>
                <w:szCs w:val="20"/>
                <w:color w:val="auto"/>
              </w:rPr>
            </w:pPr>
            <w:r>
              <w:rPr>
                <w:rFonts w:ascii="Arial" w:cs="Arial" w:eastAsia="Arial" w:hAnsi="Arial"/>
                <w:sz w:val="14"/>
                <w:szCs w:val="14"/>
                <w:b w:val="1"/>
                <w:bCs w:val="1"/>
                <w:color w:val="auto"/>
              </w:rPr>
              <w:t>August 2,</w:t>
            </w:r>
          </w:p>
        </w:tc>
        <w:tc>
          <w:tcPr>
            <w:tcW w:w="1260" w:type="dxa"/>
            <w:vAlign w:val="bottom"/>
            <w:gridSpan w:val="3"/>
          </w:tcPr>
          <w:p>
            <w:pPr>
              <w:ind w:left="120"/>
              <w:spacing w:after="0"/>
              <w:rPr>
                <w:sz w:val="20"/>
                <w:szCs w:val="20"/>
                <w:color w:val="auto"/>
              </w:rPr>
            </w:pPr>
            <w:r>
              <w:rPr>
                <w:rFonts w:ascii="Arial" w:cs="Arial" w:eastAsia="Arial" w:hAnsi="Arial"/>
                <w:sz w:val="14"/>
                <w:szCs w:val="14"/>
                <w:b w:val="1"/>
                <w:bCs w:val="1"/>
                <w:color w:val="auto"/>
              </w:rPr>
              <w:t>August 3,</w:t>
            </w:r>
          </w:p>
        </w:tc>
        <w:tc>
          <w:tcPr>
            <w:tcW w:w="1160" w:type="dxa"/>
            <w:vAlign w:val="bottom"/>
            <w:gridSpan w:val="3"/>
          </w:tcPr>
          <w:p>
            <w:pPr>
              <w:ind w:left="140"/>
              <w:spacing w:after="0"/>
              <w:rPr>
                <w:sz w:val="20"/>
                <w:szCs w:val="20"/>
                <w:color w:val="auto"/>
              </w:rPr>
            </w:pPr>
            <w:r>
              <w:rPr>
                <w:rFonts w:ascii="Arial" w:cs="Arial" w:eastAsia="Arial" w:hAnsi="Arial"/>
                <w:sz w:val="14"/>
                <w:szCs w:val="14"/>
                <w:b w:val="1"/>
                <w:bCs w:val="1"/>
                <w:color w:val="auto"/>
              </w:rPr>
              <w:t>August 2,</w:t>
            </w:r>
          </w:p>
        </w:tc>
        <w:tc>
          <w:tcPr>
            <w:tcW w:w="1060" w:type="dxa"/>
            <w:vAlign w:val="bottom"/>
            <w:gridSpan w:val="3"/>
          </w:tcPr>
          <w:p>
            <w:pPr>
              <w:ind w:left="160"/>
              <w:spacing w:after="0"/>
              <w:rPr>
                <w:sz w:val="20"/>
                <w:szCs w:val="20"/>
                <w:color w:val="auto"/>
              </w:rPr>
            </w:pPr>
            <w:r>
              <w:rPr>
                <w:rFonts w:ascii="Arial" w:cs="Arial" w:eastAsia="Arial" w:hAnsi="Arial"/>
                <w:sz w:val="14"/>
                <w:szCs w:val="14"/>
                <w:b w:val="1"/>
                <w:bCs w:val="1"/>
                <w:color w:val="auto"/>
              </w:rPr>
              <w:t>August 3,</w:t>
            </w:r>
          </w:p>
        </w:tc>
        <w:tc>
          <w:tcPr>
            <w:tcW w:w="0" w:type="dxa"/>
            <w:vAlign w:val="bottom"/>
          </w:tcPr>
          <w:p>
            <w:pPr>
              <w:spacing w:after="0"/>
              <w:rPr>
                <w:sz w:val="1"/>
                <w:szCs w:val="1"/>
                <w:color w:val="auto"/>
              </w:rPr>
            </w:pPr>
          </w:p>
        </w:tc>
      </w:tr>
      <w:tr>
        <w:trPr>
          <w:trHeight w:val="191"/>
        </w:trPr>
        <w:tc>
          <w:tcPr>
            <w:tcW w:w="52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Womens</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27</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rPr>
              <w:t>27</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w:t>
            </w: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28</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29</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line="189" w:lineRule="exact"/>
              <w:rPr>
                <w:sz w:val="20"/>
                <w:szCs w:val="20"/>
                <w:color w:val="auto"/>
              </w:rPr>
            </w:pPr>
            <w:r>
              <w:rPr>
                <w:rFonts w:ascii="Arial" w:cs="Arial" w:eastAsia="Arial" w:hAnsi="Arial"/>
                <w:sz w:val="17"/>
                <w:szCs w:val="17"/>
                <w:color w:val="auto"/>
              </w:rPr>
              <w:t>Kids</w:t>
            </w:r>
          </w:p>
        </w:tc>
        <w:tc>
          <w:tcPr>
            <w:tcW w:w="66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Mens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line="189" w:lineRule="exact"/>
              <w:rPr>
                <w:sz w:val="20"/>
                <w:szCs w:val="20"/>
                <w:color w:val="auto"/>
              </w:rPr>
            </w:pPr>
            <w:r>
              <w:rPr>
                <w:rFonts w:ascii="Arial" w:cs="Arial" w:eastAsia="Arial" w:hAnsi="Arial"/>
                <w:sz w:val="17"/>
                <w:szCs w:val="17"/>
                <w:color w:val="auto"/>
              </w:rPr>
              <w:t>Accessories &amp; Beauty</w:t>
            </w: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Home &amp; Lifestyle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280" w:type="dxa"/>
            <w:vAlign w:val="bottom"/>
          </w:tcPr>
          <w:p>
            <w:pPr>
              <w:spacing w:after="0"/>
              <w:rPr>
                <w:sz w:val="20"/>
                <w:szCs w:val="20"/>
                <w:color w:val="auto"/>
              </w:rPr>
            </w:pPr>
            <w:r>
              <w:rPr>
                <w:rFonts w:ascii="Arial" w:cs="Arial" w:eastAsia="Arial" w:hAnsi="Arial"/>
                <w:sz w:val="17"/>
                <w:szCs w:val="17"/>
                <w:color w:val="auto"/>
              </w:rPr>
              <w:t>Footwear</w:t>
            </w: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Leases</w:t>
      </w:r>
    </w:p>
    <w:p>
      <w:pPr>
        <w:spacing w:after="0" w:line="235"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Company leases its retail store locations, distribution centers, and certain office space and equipment. Leases for store locations are typically for a term of five years with options to extend for one or more five-year periods.</w:t>
      </w:r>
    </w:p>
    <w:p>
      <w:pPr>
        <w:spacing w:after="0" w:line="168"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Company analyzes all leases at inception to determine if a right-of-use asset and lease liability should be recognized. Leases with an initial term of 12 months or less and leases with mutual termination clauses are not included on the condensed consolidated balance sheets. The lease liability is measured at the present value of future lease payments as of the lease commencement date.</w:t>
      </w:r>
    </w:p>
    <w:p>
      <w:pPr>
        <w:spacing w:after="0" w:line="165" w:lineRule="exact"/>
        <w:rPr>
          <w:sz w:val="20"/>
          <w:szCs w:val="20"/>
          <w:color w:val="auto"/>
        </w:rPr>
      </w:pPr>
    </w:p>
    <w:p>
      <w:pPr>
        <w:jc w:val="both"/>
        <w:ind w:right="480"/>
        <w:spacing w:after="0" w:line="292" w:lineRule="auto"/>
        <w:rPr>
          <w:sz w:val="20"/>
          <w:szCs w:val="20"/>
          <w:color w:val="auto"/>
        </w:rPr>
      </w:pPr>
      <w:r>
        <w:rPr>
          <w:rFonts w:ascii="Arial" w:cs="Arial" w:eastAsia="Arial" w:hAnsi="Arial"/>
          <w:sz w:val="16"/>
          <w:szCs w:val="16"/>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4"/>
                <w:szCs w:val="14"/>
                <w:b w:val="1"/>
                <w:bCs w:val="1"/>
                <w:color w:val="auto"/>
              </w:rPr>
              <w:t>Twenty-Six Weeks Ended</w:t>
            </w:r>
          </w:p>
        </w:tc>
      </w:tr>
      <w:tr>
        <w:trPr>
          <w:trHeight w:val="196"/>
        </w:trPr>
        <w:tc>
          <w:tcPr>
            <w:tcW w:w="45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August 2, 2025</w:t>
            </w:r>
          </w:p>
        </w:tc>
        <w:tc>
          <w:tcPr>
            <w:tcW w:w="20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August 3, 2024</w:t>
            </w:r>
          </w:p>
        </w:tc>
        <w:tc>
          <w:tcPr>
            <w:tcW w:w="200" w:type="dxa"/>
            <w:vAlign w:val="bottom"/>
          </w:tcPr>
          <w:p>
            <w:pPr>
              <w:spacing w:after="0"/>
              <w:rPr>
                <w:sz w:val="17"/>
                <w:szCs w:val="17"/>
                <w:color w:val="auto"/>
              </w:rPr>
            </w:pPr>
          </w:p>
        </w:tc>
        <w:tc>
          <w:tcPr>
            <w:tcW w:w="1400" w:type="dxa"/>
            <w:vAlign w:val="bottom"/>
            <w:gridSpan w:val="3"/>
          </w:tcPr>
          <w:p>
            <w:pPr>
              <w:ind w:left="100"/>
              <w:spacing w:after="0"/>
              <w:rPr>
                <w:sz w:val="20"/>
                <w:szCs w:val="20"/>
                <w:color w:val="auto"/>
              </w:rPr>
            </w:pPr>
            <w:r>
              <w:rPr>
                <w:rFonts w:ascii="Arial" w:cs="Arial" w:eastAsia="Arial" w:hAnsi="Arial"/>
                <w:sz w:val="14"/>
                <w:szCs w:val="14"/>
                <w:b w:val="1"/>
                <w:bCs w:val="1"/>
                <w:color w:val="auto"/>
              </w:rPr>
              <w:t>August 2, 2025</w:t>
            </w:r>
          </w:p>
        </w:tc>
        <w:tc>
          <w:tcPr>
            <w:tcW w:w="80" w:type="dxa"/>
            <w:vAlign w:val="bottom"/>
          </w:tcPr>
          <w:p>
            <w:pPr>
              <w:spacing w:after="0"/>
              <w:rPr>
                <w:sz w:val="17"/>
                <w:szCs w:val="17"/>
                <w:color w:val="auto"/>
              </w:rPr>
            </w:pPr>
          </w:p>
        </w:tc>
        <w:tc>
          <w:tcPr>
            <w:tcW w:w="1120" w:type="dxa"/>
            <w:vAlign w:val="bottom"/>
          </w:tcPr>
          <w:p>
            <w:pPr>
              <w:jc w:val="right"/>
              <w:ind w:right="21"/>
              <w:spacing w:after="0"/>
              <w:rPr>
                <w:sz w:val="20"/>
                <w:szCs w:val="20"/>
                <w:color w:val="auto"/>
              </w:rPr>
            </w:pPr>
            <w:r>
              <w:rPr>
                <w:rFonts w:ascii="Arial" w:cs="Arial" w:eastAsia="Arial" w:hAnsi="Arial"/>
                <w:sz w:val="14"/>
                <w:szCs w:val="14"/>
                <w:b w:val="1"/>
                <w:bCs w:val="1"/>
                <w:color w:val="auto"/>
              </w:rPr>
              <w:t>August 3, 2024</w:t>
            </w:r>
          </w:p>
        </w:tc>
      </w:tr>
      <w:tr>
        <w:trPr>
          <w:trHeight w:val="196"/>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15,219</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14,400</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30,386</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29,790</w:t>
            </w:r>
          </w:p>
        </w:tc>
      </w:tr>
      <w:tr>
        <w:trPr>
          <w:trHeight w:val="216"/>
        </w:trPr>
        <w:tc>
          <w:tcPr>
            <w:tcW w:w="4580" w:type="dxa"/>
            <w:vAlign w:val="bottom"/>
          </w:tcPr>
          <w:p>
            <w:pPr>
              <w:spacing w:after="0"/>
              <w:rPr>
                <w:sz w:val="20"/>
                <w:szCs w:val="20"/>
                <w:color w:val="auto"/>
              </w:rPr>
            </w:pPr>
            <w:r>
              <w:rPr>
                <w:rFonts w:ascii="Arial" w:cs="Arial" w:eastAsia="Arial" w:hAnsi="Arial"/>
                <w:sz w:val="16"/>
                <w:szCs w:val="16"/>
                <w:color w:val="auto"/>
              </w:rPr>
              <w:t>Variable lease cost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3,205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3,541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6,163</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Short term lease cost</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w:t>
            </w:r>
          </w:p>
        </w:tc>
      </w:tr>
      <w:tr>
        <w:trPr>
          <w:trHeight w:val="183"/>
        </w:trPr>
        <w:tc>
          <w:tcPr>
            <w:tcW w:w="4580" w:type="dxa"/>
            <w:vAlign w:val="bottom"/>
          </w:tcPr>
          <w:p>
            <w:pPr>
              <w:spacing w:after="0" w:line="183" w:lineRule="exact"/>
              <w:rPr>
                <w:sz w:val="20"/>
                <w:szCs w:val="20"/>
                <w:color w:val="auto"/>
              </w:rPr>
            </w:pPr>
            <w:r>
              <w:rPr>
                <w:rFonts w:ascii="Arial" w:cs="Arial" w:eastAsia="Arial" w:hAnsi="Arial"/>
                <w:sz w:val="16"/>
                <w:szCs w:val="16"/>
                <w:color w:val="auto"/>
              </w:rPr>
              <w:t>Total lease cost</w:t>
            </w:r>
          </w:p>
        </w:tc>
        <w:tc>
          <w:tcPr>
            <w:tcW w:w="200" w:type="dxa"/>
            <w:vAlign w:val="bottom"/>
            <w:tcBorders>
              <w:bottom w:val="single" w:sz="8" w:color="auto"/>
            </w:tcBorders>
          </w:tcPr>
          <w:p>
            <w:pPr>
              <w:jc w:val="right"/>
              <w:ind w:right="22"/>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18,846</w:t>
            </w:r>
          </w:p>
        </w:tc>
        <w:tc>
          <w:tcPr>
            <w:tcW w:w="200" w:type="dxa"/>
            <w:vAlign w:val="bottom"/>
          </w:tcPr>
          <w:p>
            <w:pPr>
              <w:spacing w:after="0"/>
              <w:rPr>
                <w:sz w:val="15"/>
                <w:szCs w:val="15"/>
                <w:color w:val="auto"/>
              </w:rPr>
            </w:pPr>
          </w:p>
        </w:tc>
        <w:tc>
          <w:tcPr>
            <w:tcW w:w="360" w:type="dxa"/>
            <w:vAlign w:val="bottom"/>
            <w:tcBorders>
              <w:bottom w:val="single" w:sz="8" w:color="auto"/>
            </w:tcBorders>
          </w:tcPr>
          <w:p>
            <w:pPr>
              <w:jc w:val="right"/>
              <w:ind w:right="182"/>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18,322</w:t>
            </w:r>
          </w:p>
        </w:tc>
        <w:tc>
          <w:tcPr>
            <w:tcW w:w="200" w:type="dxa"/>
            <w:vAlign w:val="bottom"/>
          </w:tcPr>
          <w:p>
            <w:pPr>
              <w:spacing w:after="0"/>
              <w:rPr>
                <w:sz w:val="15"/>
                <w:szCs w:val="15"/>
                <w:color w:val="auto"/>
              </w:rPr>
            </w:pPr>
          </w:p>
        </w:tc>
        <w:tc>
          <w:tcPr>
            <w:tcW w:w="260" w:type="dxa"/>
            <w:vAlign w:val="bottom"/>
            <w:tcBorders>
              <w:bottom w:val="single" w:sz="8" w:color="auto"/>
            </w:tcBorders>
          </w:tcPr>
          <w:p>
            <w:pPr>
              <w:jc w:val="right"/>
              <w:ind w:right="82"/>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37,199</w:t>
            </w:r>
          </w:p>
        </w:tc>
        <w:tc>
          <w:tcPr>
            <w:tcW w:w="2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37,047</w:t>
            </w: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89"/>
        </w:trPr>
        <w:tc>
          <w:tcPr>
            <w:tcW w:w="4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601"/>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49"/>
        </w:trPr>
        <w:tc>
          <w:tcPr>
            <w:tcW w:w="4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2"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as of August 2, 2025 are as follows (in thousands):</w:t>
      </w:r>
    </w:p>
    <w:p>
      <w:pPr>
        <w:spacing w:after="0" w:line="145"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Lease Costs</w:t>
            </w:r>
          </w:p>
        </w:tc>
        <w:tc>
          <w:tcPr>
            <w:tcW w:w="480" w:type="dxa"/>
            <w:vAlign w:val="bottom"/>
            <w:tcBorders>
              <w:bottom w:val="single" w:sz="8" w:color="CCEEFF"/>
            </w:tcBorders>
          </w:tcPr>
          <w:p>
            <w:pPr>
              <w:spacing w:after="0"/>
              <w:rPr>
                <w:sz w:val="14"/>
                <w:szCs w:val="14"/>
                <w:color w:val="auto"/>
              </w:rPr>
            </w:pPr>
          </w:p>
        </w:tc>
      </w:tr>
      <w:tr>
        <w:trPr>
          <w:trHeight w:val="183"/>
        </w:trPr>
        <w:tc>
          <w:tcPr>
            <w:tcW w:w="60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Remainder of 2025</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36,175</w:t>
            </w:r>
          </w:p>
        </w:tc>
        <w:tc>
          <w:tcPr>
            <w:tcW w:w="480" w:type="dxa"/>
            <w:vAlign w:val="bottom"/>
            <w:shd w:val="clear" w:color="auto" w:fill="CCEEFF"/>
          </w:tcPr>
          <w:p>
            <w:pPr>
              <w:spacing w:after="0"/>
              <w:rPr>
                <w:sz w:val="15"/>
                <w:szCs w:val="15"/>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2026</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56,521</w:t>
            </w:r>
          </w:p>
        </w:tc>
        <w:tc>
          <w:tcPr>
            <w:tcW w:w="480" w:type="dxa"/>
            <w:vAlign w:val="bottom"/>
          </w:tcPr>
          <w:p>
            <w:pPr>
              <w:spacing w:after="0"/>
              <w:rPr>
                <w:sz w:val="16"/>
                <w:szCs w:val="16"/>
                <w:color w:val="auto"/>
              </w:rPr>
            </w:pPr>
          </w:p>
        </w:tc>
      </w:tr>
      <w:tr>
        <w:trPr>
          <w:trHeight w:val="189"/>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45,081</w:t>
            </w:r>
          </w:p>
        </w:tc>
        <w:tc>
          <w:tcPr>
            <w:tcW w:w="480" w:type="dxa"/>
            <w:vAlign w:val="bottom"/>
            <w:shd w:val="clear" w:color="auto" w:fill="CCEEFF"/>
          </w:tcPr>
          <w:p>
            <w:pPr>
              <w:spacing w:after="0"/>
              <w:rPr>
                <w:sz w:val="16"/>
                <w:szCs w:val="16"/>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2028</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36,281</w:t>
            </w:r>
          </w:p>
        </w:tc>
        <w:tc>
          <w:tcPr>
            <w:tcW w:w="480" w:type="dxa"/>
            <w:vAlign w:val="bottom"/>
          </w:tcPr>
          <w:p>
            <w:pPr>
              <w:spacing w:after="0"/>
              <w:rPr>
                <w:sz w:val="16"/>
                <w:szCs w:val="16"/>
                <w:color w:val="auto"/>
              </w:rPr>
            </w:pPr>
          </w:p>
        </w:tc>
      </w:tr>
      <w:tr>
        <w:trPr>
          <w:trHeight w:val="189"/>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2029</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27,541</w:t>
            </w:r>
          </w:p>
        </w:tc>
        <w:tc>
          <w:tcPr>
            <w:tcW w:w="480" w:type="dxa"/>
            <w:vAlign w:val="bottom"/>
            <w:shd w:val="clear" w:color="auto" w:fill="CCEEFF"/>
          </w:tcPr>
          <w:p>
            <w:pPr>
              <w:spacing w:after="0"/>
              <w:rPr>
                <w:sz w:val="16"/>
                <w:szCs w:val="16"/>
                <w:color w:val="auto"/>
              </w:rPr>
            </w:pPr>
          </w:p>
        </w:tc>
      </w:tr>
      <w:tr>
        <w:trPr>
          <w:trHeight w:val="189"/>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93,552</w:t>
            </w:r>
          </w:p>
        </w:tc>
        <w:tc>
          <w:tcPr>
            <w:tcW w:w="480" w:type="dxa"/>
            <w:vAlign w:val="bottom"/>
            <w:tcBorders>
              <w:bottom w:val="single" w:sz="8" w:color="CCEEFF"/>
            </w:tcBorders>
          </w:tcPr>
          <w:p>
            <w:pPr>
              <w:spacing w:after="0"/>
              <w:rPr>
                <w:sz w:val="16"/>
                <w:szCs w:val="16"/>
                <w:color w:val="auto"/>
              </w:rPr>
            </w:pPr>
          </w:p>
        </w:tc>
      </w:tr>
      <w:tr>
        <w:trPr>
          <w:trHeight w:val="183"/>
        </w:trPr>
        <w:tc>
          <w:tcPr>
            <w:tcW w:w="60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future minimum lease payments</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295,151</w:t>
            </w:r>
          </w:p>
        </w:tc>
        <w:tc>
          <w:tcPr>
            <w:tcW w:w="480" w:type="dxa"/>
            <w:vAlign w:val="bottom"/>
            <w:shd w:val="clear" w:color="auto" w:fill="CCEEFF"/>
          </w:tcPr>
          <w:p>
            <w:pPr>
              <w:spacing w:after="0"/>
              <w:rPr>
                <w:sz w:val="15"/>
                <w:szCs w:val="15"/>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Less: imputed interest</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2"/>
          </w:tcPr>
          <w:p>
            <w:pPr>
              <w:jc w:val="right"/>
              <w:ind w:right="197"/>
              <w:spacing w:after="0"/>
              <w:rPr>
                <w:sz w:val="20"/>
                <w:szCs w:val="20"/>
                <w:color w:val="auto"/>
              </w:rPr>
            </w:pPr>
            <w:r>
              <w:rPr>
                <w:rFonts w:ascii="Arial" w:cs="Arial" w:eastAsia="Arial" w:hAnsi="Arial"/>
                <w:sz w:val="16"/>
                <w:szCs w:val="16"/>
                <w:color w:val="auto"/>
              </w:rPr>
              <w:t xml:space="preserve">(77,662) </w:t>
            </w:r>
            <w:r>
              <w:rPr>
                <w:rFonts w:ascii="Arial" w:cs="Arial" w:eastAsia="Arial" w:hAnsi="Arial"/>
                <w:sz w:val="12"/>
                <w:szCs w:val="12"/>
                <w:color w:val="auto"/>
              </w:rPr>
              <w:t>(1)</w:t>
            </w:r>
          </w:p>
        </w:tc>
      </w:tr>
      <w:tr>
        <w:trPr>
          <w:trHeight w:val="183"/>
        </w:trPr>
        <w:tc>
          <w:tcPr>
            <w:tcW w:w="60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present value of lease liabilities</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217,489</w:t>
            </w:r>
          </w:p>
        </w:tc>
        <w:tc>
          <w:tcPr>
            <w:tcW w:w="480" w:type="dxa"/>
            <w:vAlign w:val="bottom"/>
            <w:tcBorders>
              <w:top w:val="single" w:sz="8" w:color="CCEEFF"/>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(2)</w:t>
            </w:r>
          </w:p>
        </w:tc>
      </w:tr>
      <w:tr>
        <w:trPr>
          <w:trHeight w:val="20"/>
        </w:trPr>
        <w:tc>
          <w:tcPr>
            <w:tcW w:w="6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58" w:lineRule="exact"/>
        <w:rPr>
          <w:sz w:val="20"/>
          <w:szCs w:val="20"/>
          <w:color w:val="auto"/>
        </w:rPr>
      </w:pPr>
    </w:p>
    <w:p>
      <w:pPr>
        <w:ind w:left="1380" w:hanging="319"/>
        <w:spacing w:after="0"/>
        <w:tabs>
          <w:tab w:leader="none" w:pos="1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Calculated using the incremental borrowing rate for each lease.</w:t>
      </w:r>
    </w:p>
    <w:p>
      <w:pPr>
        <w:spacing w:after="0" w:line="55" w:lineRule="exact"/>
        <w:rPr>
          <w:rFonts w:ascii="Arial" w:cs="Arial" w:eastAsia="Arial" w:hAnsi="Arial"/>
          <w:sz w:val="14"/>
          <w:szCs w:val="14"/>
          <w:color w:val="auto"/>
        </w:rPr>
      </w:pPr>
    </w:p>
    <w:p>
      <w:pPr>
        <w:ind w:left="1380" w:hanging="319"/>
        <w:spacing w:after="0"/>
        <w:tabs>
          <w:tab w:leader="none" w:pos="1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short-term and long-term portions of operating lease liabilities.</w:t>
      </w:r>
    </w:p>
    <w:p>
      <w:pPr>
        <w:spacing w:after="0" w:line="320"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155" w:lineRule="exact"/>
        <w:rPr>
          <w:sz w:val="20"/>
          <w:szCs w:val="20"/>
          <w:color w:val="auto"/>
        </w:rPr>
      </w:pPr>
    </w:p>
    <w:p>
      <w:pPr>
        <w:ind w:right="420"/>
        <w:spacing w:after="0" w:line="276" w:lineRule="auto"/>
        <w:rPr>
          <w:sz w:val="20"/>
          <w:szCs w:val="20"/>
          <w:color w:val="auto"/>
        </w:rPr>
      </w:pPr>
      <w:r>
        <w:rPr>
          <w:rFonts w:ascii="Arial" w:cs="Arial" w:eastAsia="Arial" w:hAnsi="Arial"/>
          <w:sz w:val="16"/>
          <w:szCs w:val="16"/>
          <w:color w:val="auto"/>
        </w:rPr>
        <w:t>Supplemental cash flows and other information related to operating leases are as follows (in thousands, except for weighted average amounts):</w:t>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August 2, 2025</w:t>
            </w:r>
          </w:p>
        </w:tc>
        <w:tc>
          <w:tcPr>
            <w:tcW w:w="3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August 3, 2024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paid for operating leases</w:t>
            </w:r>
          </w:p>
        </w:tc>
        <w:tc>
          <w:tcPr>
            <w:tcW w:w="2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30,578</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30,784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color w:val="auto"/>
              </w:rPr>
              <w:t>Right of use assets obtained in exchange for new operating lease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26,675</w:t>
            </w:r>
          </w:p>
        </w:tc>
        <w:tc>
          <w:tcPr>
            <w:tcW w:w="50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19,307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color w:val="auto"/>
              </w:rPr>
              <w:t>Weighted average remaining lease term (years) - operating leases</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6.99</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discount rate - operating leases</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Segment Reporting</w:t>
      </w:r>
    </w:p>
    <w:p>
      <w:pPr>
        <w:spacing w:after="0" w:line="248"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The Company is an off-price value retailer of fashion apparel, accessories and home trends primarily for African American families. The retail operations represent a single operating segment based on the way the Company manages its business. The Company’s Chief Executive Officer, as our chief operating decision maker (“CODM”), manages and allocates resources to the operations of the Company on a consolidated basis. This enables the Chief Executive Officer to assess the Company’s overall level of available resources and determine how best to deploy these resources across retail stores that are in line with the Company’s long-term company-wide strategic goals. The Company’s retail stores sell similar products, use similar processes to sell those products, and sell their products to similar classes of customers. All sales and assets are located within the United States. The CODM assesses performance based on consolidated net (loss) income that is reported on the statement of operations as part of the annual budgeting and forecasting process. The CODM considers budget-to-actual variances on a monthly basis when making decisions about allocating capital and personnel. The CODM does not review assets in evaluating results, therefore such information is not provided.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The following table summarizes the Company’s one reportable segment profit or loss, including significant segment expenses, and includes the reconciliation to consolidated net (loss) income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Twenty-Six Weeks Ended</w:t>
            </w:r>
          </w:p>
        </w:tc>
      </w:tr>
      <w:tr>
        <w:trPr>
          <w:trHeight w:val="196"/>
        </w:trPr>
        <w:tc>
          <w:tcPr>
            <w:tcW w:w="48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August 2, 2025</w:t>
            </w: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August 3, 2024</w:t>
            </w:r>
          </w:p>
        </w:tc>
        <w:tc>
          <w:tcPr>
            <w:tcW w:w="1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August 2, 2025</w:t>
            </w: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August 3, 2024</w:t>
            </w: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190,750</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176,552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392,478</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362,841</w:t>
            </w:r>
          </w:p>
        </w:tc>
      </w:tr>
      <w:tr>
        <w:trPr>
          <w:trHeight w:val="216"/>
        </w:trPr>
        <w:tc>
          <w:tcPr>
            <w:tcW w:w="4860" w:type="dxa"/>
            <w:vAlign w:val="bottom"/>
          </w:tcPr>
          <w:p>
            <w:pPr>
              <w:spacing w:after="0"/>
              <w:rPr>
                <w:sz w:val="20"/>
                <w:szCs w:val="20"/>
                <w:color w:val="auto"/>
              </w:rPr>
            </w:pPr>
            <w:r>
              <w:rPr>
                <w:rFonts w:ascii="Arial" w:cs="Arial" w:eastAsia="Arial" w:hAnsi="Arial"/>
                <w:sz w:val="16"/>
                <w:szCs w:val="16"/>
                <w:color w:val="auto"/>
              </w:rPr>
              <w:t>Cost of sales (exclusive of depreciation shown separately below)</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Merchandising and other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(104,204)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(111,290)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(216,061)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(215,588)</w:t>
            </w:r>
          </w:p>
        </w:tc>
      </w:tr>
      <w:tr>
        <w:trPr>
          <w:trHeight w:val="216"/>
        </w:trPr>
        <w:tc>
          <w:tcPr>
            <w:tcW w:w="4860" w:type="dxa"/>
            <w:vAlign w:val="bottom"/>
          </w:tcPr>
          <w:p>
            <w:pPr>
              <w:ind w:left="120"/>
              <w:spacing w:after="0"/>
              <w:rPr>
                <w:sz w:val="20"/>
                <w:szCs w:val="20"/>
                <w:color w:val="auto"/>
              </w:rPr>
            </w:pPr>
            <w:r>
              <w:rPr>
                <w:rFonts w:ascii="Arial" w:cs="Arial" w:eastAsia="Arial" w:hAnsi="Arial"/>
                <w:sz w:val="16"/>
                <w:szCs w:val="16"/>
                <w:color w:val="auto"/>
              </w:rPr>
              <w:t>Freight in and out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(10,273)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(20,334)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(20,290)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6"/>
                <w:szCs w:val="16"/>
                <w:color w:val="auto"/>
              </w:rPr>
              <w:t>Store expenses - payroll and related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(23,548)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(22,269)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(46,033)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(44,404)</w:t>
            </w: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Store expenses - rent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(33,141)</w:t>
            </w:r>
          </w:p>
        </w:tc>
      </w:tr>
      <w:tr>
        <w:trPr>
          <w:trHeight w:val="216"/>
        </w:trPr>
        <w:tc>
          <w:tcPr>
            <w:tcW w:w="4860" w:type="dxa"/>
            <w:vAlign w:val="bottom"/>
          </w:tcPr>
          <w:p>
            <w:pPr>
              <w:ind w:left="120"/>
              <w:spacing w:after="0"/>
              <w:rPr>
                <w:sz w:val="20"/>
                <w:szCs w:val="20"/>
                <w:color w:val="auto"/>
              </w:rPr>
            </w:pPr>
            <w:r>
              <w:rPr>
                <w:rFonts w:ascii="Arial" w:cs="Arial" w:eastAsia="Arial" w:hAnsi="Arial"/>
                <w:sz w:val="16"/>
                <w:szCs w:val="16"/>
                <w:color w:val="auto"/>
              </w:rPr>
              <w:t>Corporate expenses - payroll and related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(7,273)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(14,556)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(15,458)</w:t>
            </w: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 center expenses - payroll and related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(8,172)</w:t>
            </w:r>
          </w:p>
        </w:tc>
      </w:tr>
      <w:tr>
        <w:trPr>
          <w:trHeight w:val="216"/>
        </w:trPr>
        <w:tc>
          <w:tcPr>
            <w:tcW w:w="4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Other segment expenses </w:t>
            </w:r>
            <w:r>
              <w:rPr>
                <w:rFonts w:ascii="Arial" w:cs="Arial" w:eastAsia="Arial" w:hAnsi="Arial"/>
                <w:sz w:val="24"/>
                <w:szCs w:val="24"/>
                <w:color w:val="auto"/>
                <w:vertAlign w:val="superscript"/>
              </w:rPr>
              <w:t>(1)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(26,548)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(23,693)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(50,785)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(46,816)</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Gain on sale of building</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860" w:type="dxa"/>
            <w:vAlign w:val="bottom"/>
          </w:tcPr>
          <w:p>
            <w:pPr>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(4,548)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(8,918)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(9,576)</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Asset impairment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w:t>
            </w:r>
          </w:p>
        </w:tc>
      </w:tr>
      <w:tr>
        <w:trPr>
          <w:trHeight w:val="216"/>
        </w:trPr>
        <w:tc>
          <w:tcPr>
            <w:tcW w:w="4860" w:type="dxa"/>
            <w:vAlign w:val="bottom"/>
          </w:tcPr>
          <w:p>
            <w:pPr>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6"/>
        </w:trPr>
        <w:tc>
          <w:tcPr>
            <w:tcW w:w="48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(provision) benefit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8,724</w:t>
            </w:r>
          </w:p>
        </w:tc>
      </w:tr>
      <w:tr>
        <w:trPr>
          <w:trHeight w:val="183"/>
        </w:trPr>
        <w:tc>
          <w:tcPr>
            <w:tcW w:w="48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3,818</w:t>
            </w:r>
          </w:p>
        </w:tc>
        <w:tc>
          <w:tcPr>
            <w:tcW w:w="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(18,413)</w:t>
            </w: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4,689</w:t>
            </w: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(21,839)</w:t>
            </w: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660" w:firstLine="8"/>
        <w:spacing w:after="0" w:line="235" w:lineRule="auto"/>
        <w:tabs>
          <w:tab w:leader="none" w:pos="193" w:val="left"/>
        </w:tabs>
        <w:numPr>
          <w:ilvl w:val="0"/>
          <w:numId w:val="16"/>
        </w:numPr>
        <w:rPr>
          <w:rFonts w:ascii="Arial" w:cs="Arial" w:eastAsia="Arial" w:hAnsi="Arial"/>
          <w:sz w:val="22"/>
          <w:szCs w:val="22"/>
          <w:color w:val="auto"/>
          <w:vertAlign w:val="superscript"/>
        </w:rPr>
      </w:pPr>
      <w:r>
        <w:rPr>
          <w:rFonts w:ascii="Arial" w:cs="Arial" w:eastAsia="Arial" w:hAnsi="Arial"/>
          <w:sz w:val="15"/>
          <w:szCs w:val="15"/>
          <w:color w:val="auto"/>
        </w:rPr>
        <w:t>Other segment expenses represent other store, corporate and distribution center expenses including utilities, repairs, supplies, insurance, professional fees and other miscellaneous fees.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as defined in the Private Securities Litigation Reform Act of 1995,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179"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The factors that may result in actual results differing from such forward-looking information include, but are not limited to: uncertainties relating to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the imposition of new taxes on imports, new tariffs and changes in existing tariff rates; the imposition of new trade restrictions and changes in existing trade restrictions; impact of natural disasters such as hurricanes; uncertainty and economic impact of pandemics, epidemics or other public health emergencies; transportation and distribution delays or interruptions; changes in freight rates; the Company’s ability to attract and retain workers; the Company’s ability to negotiate effectively the cost and purchase of merchandise; inventory risks due to shifts in market demand; the Company’s ability to gauge fashion trends and changing consumer preferences; consumer confidence and changes in consumer spending patterns; competition within the industry; competition in our markets; the duration and extent of any economic stimulus programs; changes in product mix; interruptions in suppliers’ businesses; risks related to cybersecurity, data privacy and intellectual property; temporary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changes in demand due to weather patterns; seasonality of the Company’s business; the results of pending or threatened litigation; delays associated with building, opening, remodeling and operating new stores; delays associated with building, opening or expanding new or existing distribution centers; and other factors described in the section titled “Item 1A. Risk Factors” and elsewhere in the Company’s Annual Report on Form 10-K for the fiscal year ended February 1, 2025 and in Part II, “Item 1A. Risk Factors” and elsewhere in the Company’s Quarterly Reports on Form 10-Q and any amendments thereto and in the other documents the Company files with the SEC, including reports on Form 8-K.</w:t>
      </w:r>
    </w:p>
    <w:p>
      <w:pPr>
        <w:spacing w:after="0" w:line="175"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235"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are a highly differentiated off-price value retailer known for trendy fashions, great brands and amazing prices. We offer culturally relevant fashion – what we call “Cultural Cachet” – in apparel, accessories and home trends primarily for African American families in the United States. We curate a three-tiered mix of products featuring well-known brands, core products and opening price goods, with intermittent extreme value deals. Our core product styles are curated trend-right, high quality, value for the price. We offer an assortment of opening price products for the price conscious customer; all sold at competitive prices. Plus, for the treasure hunters, we often have “extreme value” product deals on well-known branded product at 50% to 75% off the manufacturer’s suggested retail price. Consumer insights research validates that our unique culturally relevant styling, and strong value for the price, fosters deep customer loyalty and high shopping frequency in the neighborhoods in which we operate.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As of August 2, 2025, we operated 590 stores in urban, suburban and rural markets in 33 states.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Uncertainties and Challenges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Economic Conditions</w:t>
      </w:r>
    </w:p>
    <w:p>
      <w:pPr>
        <w:spacing w:after="0" w:line="233"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We expect that our operations in the short-term will continue to be influenced by general economic conditions, including on-going inflationary pressures, new tariff programs and changes in consumer sentiment. We continue to monitor the impacts on our business of unemployment levels, wage inflation, interest rates, inflation rates, housing costs, energy costs, consumer confidence, consumer perception of economic conditions, costs to source our merchandise and supply chain disruptions.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 and Weather Patterns</w:t>
      </w:r>
    </w:p>
    <w:p>
      <w:pPr>
        <w:spacing w:after="0" w:line="23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nature of our business is seasonal. Historically, sales in the first and fourth quarters have been higher than sales achieved in the second and third quarters of the fiscal year. In addition, sales of clothing are directly impacted by the timing of the seasons to which the clothing relates. While we have expanded our product offerings to balance discretionary with non-discretionary product, traffic to our stores is still influenced by weather patterns to some extent.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248"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w:t>
      </w:r>
    </w:p>
    <w:p>
      <w:pPr>
        <w:spacing w:after="0" w:line="17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following discussion contains references to fiscal years 2025 and 2024, which represent fiscal years ending or ended on January 31, 2026 and February 1, 2025, respectively. Fiscal 2025 and fiscal 2024 both have 52-week accounting periods. This discussion and analysis should be read with the unaudited condensed consolidated financial statements and the notes thereto contained in Part I, Item 1 of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35"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The following discussion of the Company’s financial performance is based on the unaudited condensed consolidated financial statements set forth herein. Expenses and, to a greater extent, operating income, vary by quarter. Results of a period shorter than a full</w:t>
      </w:r>
    </w:p>
    <w:p>
      <w:pPr>
        <w:sectPr>
          <w:pgSz w:w="11900" w:h="16838" w:orient="portrait"/>
          <w:cols w:equalWidth="0" w:num="1">
            <w:col w:w="9920"/>
          </w:cols>
          <w:pgMar w:left="980" w:top="512"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year may not be indicative of results expected for the entire year as a result of the seasonality of our business, and the current economic uncertainty.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Operating Statistics</w:t>
      </w:r>
    </w:p>
    <w:p>
      <w:pPr>
        <w:spacing w:after="0" w:line="23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measure performance using key operating statistics. One of the main performance measures we use is comparable store sales growth. We define a comparable store as a store that has been open for at least 14 full consecutive months without closure for more than</w:t>
      </w:r>
    </w:p>
    <w:p>
      <w:pPr>
        <w:spacing w:after="0" w:line="1" w:lineRule="exact"/>
        <w:rPr>
          <w:sz w:val="20"/>
          <w:szCs w:val="20"/>
          <w:color w:val="auto"/>
        </w:rPr>
      </w:pPr>
    </w:p>
    <w:p>
      <w:pPr>
        <w:jc w:val="both"/>
        <w:ind w:right="40"/>
        <w:spacing w:after="0" w:line="284" w:lineRule="auto"/>
        <w:rPr>
          <w:sz w:val="20"/>
          <w:szCs w:val="20"/>
          <w:color w:val="auto"/>
        </w:rPr>
      </w:pPr>
      <w:r>
        <w:rPr>
          <w:rFonts w:ascii="Arial" w:cs="Arial" w:eastAsia="Arial" w:hAnsi="Arial"/>
          <w:sz w:val="16"/>
          <w:szCs w:val="16"/>
          <w:color w:val="auto"/>
        </w:rPr>
        <w:t>seven days within the same fiscal month. Remodeled and relocated stores are included in the comparable store sales results if the selling square footage is not changed significantly, the store is not closed for more than five days in any fiscal month and the store remains in the same trade area.</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These results translate into store level contribution, which we use to evaluate the overall performance of each individual store. Finally, we monitor corporate and distribution center expenses against budgeted amounts.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Thirteen Weeks Ended August 2, 2025 and August 3, 2024</w:t>
      </w:r>
    </w:p>
    <w:p>
      <w:pPr>
        <w:spacing w:after="0" w:line="235"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$14.2 million, or 8.0%, to $190.8 million in the second quarter of 2025 from $176.6 million in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2024. Comparable store sales increased 9.2%, resulting in an increase of $16.0 million in sales. Net store opening and closing activity resulted in a net decrease of $1.9 million in sales.</w:t>
      </w:r>
    </w:p>
    <w:p>
      <w:pPr>
        <w:spacing w:after="0" w:line="16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decreased $7.1 million, or 5.8%, to $114.5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of 2025 from $121.6 million in the second quarter of 2024. Cost of sales as a percentage of sales decreased to 60.0% in the second quarter of 2025 from 68.9% in the second quarter of 2024. The 890 basis-point decrease was primarily driven by a 580 basis points decrease in markdowns, a 190 basis points decrease in shrink, and a 120 basis points decrease in other cost of sales.</w:t>
      </w:r>
    </w:p>
    <w:p>
      <w:pPr>
        <w:spacing w:after="0" w:line="185"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$5.1 million, or 6.9%, to $78.9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second quarter of 2025 from $73.8 million in the second quarter of 2024. The increase was driven by corporate expense (primarily payroll and incremental incentive compensation) of $3.9 million and occupancy expense of $1.0 million. As a percentage of sales, Selling, general and administrative expenses decreased to 41.4% in the second quarter of 2025 from 41.8% in the second quarter of 2024, primarily driven by the aforementioned items.</w:t>
      </w:r>
    </w:p>
    <w:p>
      <w:pPr>
        <w:spacing w:after="0" w:line="190"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expense decreased $0.2 million, or 4.9%, to $4.5 million in the second quarter of 2025 from $4.8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of 2024 due to the sale of our corporate office building.</w:t>
      </w:r>
    </w:p>
    <w:p>
      <w:pPr>
        <w:spacing w:after="0" w:line="155"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i w:val="1"/>
          <w:iCs w:val="1"/>
          <w:color w:val="auto"/>
        </w:rPr>
        <w:t xml:space="preserve">Impairment. </w:t>
      </w:r>
      <w:r>
        <w:rPr>
          <w:rFonts w:ascii="Arial" w:cs="Arial" w:eastAsia="Arial" w:hAnsi="Arial"/>
          <w:sz w:val="16"/>
          <w:szCs w:val="16"/>
          <w:color w:val="auto"/>
        </w:rPr>
        <w:t>Non-cash impairment expense related to underperforming stores totaled $0.2 million in the second quarter of 2025,</w:t>
      </w:r>
      <w:r>
        <w:rPr>
          <w:rFonts w:ascii="Arial" w:cs="Arial" w:eastAsia="Arial" w:hAnsi="Arial"/>
          <w:sz w:val="16"/>
          <w:szCs w:val="16"/>
          <w:i w:val="1"/>
          <w:iCs w:val="1"/>
          <w:color w:val="auto"/>
        </w:rPr>
        <w:t xml:space="preserve"> </w:t>
      </w:r>
      <w:r>
        <w:rPr>
          <w:rFonts w:ascii="Arial" w:cs="Arial" w:eastAsia="Arial" w:hAnsi="Arial"/>
          <w:sz w:val="16"/>
          <w:szCs w:val="16"/>
          <w:color w:val="auto"/>
        </w:rPr>
        <w:t>comprised of leasehold improvements and fixtures and equipment. Non-cash impairment expense related to underperforming stores totaled $1.3 million in the second quarter of 2024, comprised of $0.7 million for leasehold improvements and fixtures and equipment, and $0.6 million for operating lease right of use assets.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Gain on sale of building. </w:t>
      </w:r>
      <w:r>
        <w:rPr>
          <w:rFonts w:ascii="Arial" w:cs="Arial" w:eastAsia="Arial" w:hAnsi="Arial"/>
          <w:sz w:val="16"/>
          <w:szCs w:val="16"/>
          <w:color w:val="auto"/>
        </w:rPr>
        <w:t>Gain on the sale of the corporate office building was $11.0 million in the second quarter of 2025.</w:t>
      </w:r>
    </w:p>
    <w:p>
      <w:pPr>
        <w:spacing w:after="0" w:line="235"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i w:val="1"/>
          <w:iCs w:val="1"/>
          <w:color w:val="auto"/>
        </w:rPr>
        <w:t xml:space="preserve">Income Tax Benefit. </w:t>
      </w:r>
      <w:r>
        <w:rPr>
          <w:rFonts w:ascii="Arial" w:cs="Arial" w:eastAsia="Arial" w:hAnsi="Arial"/>
          <w:sz w:val="16"/>
          <w:szCs w:val="16"/>
          <w:color w:val="auto"/>
        </w:rPr>
        <w:t>There was no income tax benefit in the second quarter of 2025 compared to a benefit of $6.0 million in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2024. For the second quarter of 2025 and the second quarter of 2024, we used the annual effective tax rate to determine income tax benefit based upon interim period results.</w:t>
      </w:r>
    </w:p>
    <w:p>
      <w:pPr>
        <w:spacing w:after="0" w:line="165"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i w:val="1"/>
          <w:iCs w:val="1"/>
          <w:color w:val="auto"/>
        </w:rPr>
        <w:t xml:space="preserve">Net Income (Loss). </w:t>
      </w:r>
      <w:r>
        <w:rPr>
          <w:rFonts w:ascii="Arial" w:cs="Arial" w:eastAsia="Arial" w:hAnsi="Arial"/>
          <w:sz w:val="16"/>
          <w:szCs w:val="16"/>
          <w:color w:val="auto"/>
        </w:rPr>
        <w:t>Net income was $3.8 million in the second quarter of 2025 compared to net loss of $18.4 million in the second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2024 due to the factors discussed above.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2" w:right="101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Twenty-Six Weeks Ended August 2, 2025 and August 3, 2024</w:t>
      </w:r>
    </w:p>
    <w:p>
      <w:pPr>
        <w:spacing w:after="0" w:line="235" w:lineRule="exact"/>
        <w:rPr>
          <w:sz w:val="20"/>
          <w:szCs w:val="20"/>
          <w:color w:val="auto"/>
        </w:rPr>
      </w:pPr>
    </w:p>
    <w:p>
      <w:pPr>
        <w:jc w:val="both"/>
        <w:ind w:right="280"/>
        <w:spacing w:after="0" w:line="29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$29.6 million, or 8.2%, to $392.5 million in the first twenty-six weeks of 2025 from $362.8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of 2024. Comparable store sales increased 9.6%, resulting in an increase of $34.1 million in sales. Net store opening and closing activity resulted in a net decrease of $4.6 million in sales.</w:t>
      </w:r>
    </w:p>
    <w:p>
      <w:pPr>
        <w:spacing w:after="0" w:line="165"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increased $0.5 million, or 0.2%, to $236.4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twenty-six weeks of 2025 from $235.9 million in the same period of 2024. Cost of sales as a percentage of sales decreased to 60.2% in the first twenty-six weeks of 2025 from 65.0% in the same period of 2024. The 480 basis-point decrease was driven by a 250 basis points decrease in markdowns, a 130 basis points decrease in shrink, and a 100 basis points decrease in other cost of sales.</w:t>
      </w:r>
    </w:p>
    <w:p>
      <w:pPr>
        <w:spacing w:after="0" w:line="185"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$5.8 million, or 3.9%, to $153.8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first twenty-six weeks of 2025 from $148.0 million in the same period of 2024. The increase was primarily driven by stores selling and advertising expenses of $2.2 million, distribution center costs of $2.2 million, and corporate expenses (primarily incentive compensation) of $1.4 million. As a percentage of sales, Selling, general and administrative expenses decreased to 39.2% in the first twenty-six weeks of 2025 from 40.8% in the first twenty-six weeks of 2024, due to the aforementioned items.</w:t>
      </w:r>
    </w:p>
    <w:p>
      <w:pPr>
        <w:spacing w:after="0" w:line="176"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expense decreased $0.7 million, or 6.9%, to $8.9 million in the first twenty-six weeks of 2025 from $9.6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same period last year due to the sale of the corporate office building.</w:t>
      </w:r>
    </w:p>
    <w:p>
      <w:pPr>
        <w:spacing w:after="0" w:line="142"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i w:val="1"/>
          <w:iCs w:val="1"/>
          <w:color w:val="auto"/>
        </w:rPr>
        <w:t xml:space="preserve">Impairment. </w:t>
      </w:r>
      <w:r>
        <w:rPr>
          <w:rFonts w:ascii="Arial" w:cs="Arial" w:eastAsia="Arial" w:hAnsi="Arial"/>
          <w:sz w:val="16"/>
          <w:szCs w:val="16"/>
          <w:color w:val="auto"/>
        </w:rPr>
        <w:t>Non-cash impairment expense related to underperforming stores totaled $0.3 million in the first twenty-six weeks of 2025,</w:t>
      </w:r>
      <w:r>
        <w:rPr>
          <w:rFonts w:ascii="Arial" w:cs="Arial" w:eastAsia="Arial" w:hAnsi="Arial"/>
          <w:sz w:val="16"/>
          <w:szCs w:val="16"/>
          <w:i w:val="1"/>
          <w:iCs w:val="1"/>
          <w:color w:val="auto"/>
        </w:rPr>
        <w:t xml:space="preserve"> </w:t>
      </w:r>
      <w:r>
        <w:rPr>
          <w:rFonts w:ascii="Arial" w:cs="Arial" w:eastAsia="Arial" w:hAnsi="Arial"/>
          <w:sz w:val="16"/>
          <w:szCs w:val="16"/>
          <w:color w:val="auto"/>
        </w:rPr>
        <w:t>comprised of $0.2 million for leasehold improvements and fixtures and equipment, and $0.1 million for operating lease right of use assets. Non-cash impairment expense related to underperforming stores totaled $1.3 million in the first twenty-six weeks of 2024, comprised of $0.7 million for leasehold improvements and fixtures and equipment, and $0.6 million for operating lease right of use assets.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Gain on sale of building. </w:t>
      </w:r>
      <w:r>
        <w:rPr>
          <w:rFonts w:ascii="Arial" w:cs="Arial" w:eastAsia="Arial" w:hAnsi="Arial"/>
          <w:sz w:val="16"/>
          <w:szCs w:val="16"/>
          <w:color w:val="auto"/>
        </w:rPr>
        <w:t>Gain on sale of the corporate office building was $11.0 million in the first twenty-six weeks of 2025.</w:t>
      </w:r>
    </w:p>
    <w:p>
      <w:pPr>
        <w:spacing w:after="0" w:line="235" w:lineRule="exact"/>
        <w:rPr>
          <w:sz w:val="20"/>
          <w:szCs w:val="20"/>
          <w:color w:val="auto"/>
        </w:rPr>
      </w:pPr>
    </w:p>
    <w:p>
      <w:pPr>
        <w:jc w:val="both"/>
        <w:ind w:right="160"/>
        <w:spacing w:after="0" w:line="292" w:lineRule="auto"/>
        <w:rPr>
          <w:sz w:val="20"/>
          <w:szCs w:val="20"/>
          <w:color w:val="auto"/>
        </w:rPr>
      </w:pPr>
      <w:r>
        <w:rPr>
          <w:rFonts w:ascii="Arial" w:cs="Arial" w:eastAsia="Arial" w:hAnsi="Arial"/>
          <w:sz w:val="16"/>
          <w:szCs w:val="16"/>
          <w:i w:val="1"/>
          <w:iCs w:val="1"/>
          <w:color w:val="auto"/>
        </w:rPr>
        <w:t xml:space="preserve">Income Tax Benefit. </w:t>
      </w:r>
      <w:r>
        <w:rPr>
          <w:rFonts w:ascii="Arial" w:cs="Arial" w:eastAsia="Arial" w:hAnsi="Arial"/>
          <w:sz w:val="16"/>
          <w:szCs w:val="16"/>
          <w:color w:val="auto"/>
        </w:rPr>
        <w:t>There was no income tax benefit in the first twenty-six weeks of 2025 compared to $8.7 million in the first twenty-six</w:t>
      </w:r>
      <w:r>
        <w:rPr>
          <w:rFonts w:ascii="Arial" w:cs="Arial" w:eastAsia="Arial" w:hAnsi="Arial"/>
          <w:sz w:val="16"/>
          <w:szCs w:val="16"/>
          <w:i w:val="1"/>
          <w:iCs w:val="1"/>
          <w:color w:val="auto"/>
        </w:rPr>
        <w:t xml:space="preserve"> </w:t>
      </w:r>
      <w:r>
        <w:rPr>
          <w:rFonts w:ascii="Arial" w:cs="Arial" w:eastAsia="Arial" w:hAnsi="Arial"/>
          <w:sz w:val="16"/>
          <w:szCs w:val="16"/>
          <w:color w:val="auto"/>
        </w:rPr>
        <w:t>weeks of 2024. For the second half of 2025 and the second half of 2024, we used the annual effective tax rate to determine income tax benefit based upon interim period results.</w:t>
      </w:r>
    </w:p>
    <w:p>
      <w:pPr>
        <w:spacing w:after="0" w:line="165"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i w:val="1"/>
          <w:iCs w:val="1"/>
          <w:color w:val="auto"/>
        </w:rPr>
        <w:t xml:space="preserve">Net Income (Loss). </w:t>
      </w:r>
      <w:r>
        <w:rPr>
          <w:rFonts w:ascii="Arial" w:cs="Arial" w:eastAsia="Arial" w:hAnsi="Arial"/>
          <w:sz w:val="16"/>
          <w:szCs w:val="16"/>
          <w:color w:val="auto"/>
        </w:rPr>
        <w:t>Net income was $4.7 million in the first twenty-six weeks of 2025 compared to net loss of $21.8 million in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of 2024 due to the factors discussed above.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Allocation</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capital allocation strategy is to maintain adequate liquidity to prioritize investments in opportunities to profitably grow our business and maintain current operations, then to return excess cash to stockholders through our repurchase programs. Our quarter-end cash and cash equivalents balance was $50.4 million compared to cash and cash equivalents of $59.3 million at the end of the second quarter last year.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Until required for other purposes, we maintain cash and cash equivalents in deposit or money market accounts.</w:t>
      </w:r>
    </w:p>
    <w:p>
      <w:pPr>
        <w:spacing w:after="0" w:line="222"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Our principal sources of liquidity consist of: (i) cash and cash equivalents on hand; (ii) short-term trade credit arising from customary payment terms and trade practices with our vendors; (iii) cash generated from operations on an ongoing basis; and (iv) a revolving credit facility with a $75 million credit commitment.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Our quarter-end inventory balance was $117.6 million, down 12.9% compared to $135.0 million at the end of the second quarter last year.</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2" w:right="101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Expenditures</w:t>
      </w:r>
    </w:p>
    <w:p>
      <w:pPr>
        <w:spacing w:after="0" w:line="13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Capital expenditures in the first twenty-six weeks of 2025 were $7.7 million, an increase of $2.1 million over the first twenty-six weeks of 2024, as we increased our investments in new stores and remodels. We anticipate capital expenditures in fiscal 2025 to be in the range of $22 million to $25 million, primarily for the opening of three new stores and remodeling existing stores, combined with ongoing investments in our systems.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233"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In the first half of fiscal 2025, we returned $6.3 million to stockholders through share repurchases. See Part II, Item 2 of this Report and Note 8 to the Financial Statements for more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Revolving Credit Facility</w:t>
      </w:r>
    </w:p>
    <w:p>
      <w:pPr>
        <w:spacing w:after="0" w:line="23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We have a revolving credit facility that matures in April 2030 and provides a $75 million credit commitment and a $25 million uncommitted “accordion” feature. Additional details of the credit facility are in Note 4 to the Financial Statements. At the end of the second quarter of 2025, we had no borrowings under the credit facility and $2.2 million in letters of credit outstanding.</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48"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i w:val="1"/>
          <w:iCs w:val="1"/>
          <w:color w:val="auto"/>
        </w:rPr>
        <w:t>Cash Flows From Operating Activities</w:t>
      </w:r>
      <w:r>
        <w:rPr>
          <w:rFonts w:ascii="Arial" w:cs="Arial" w:eastAsia="Arial" w:hAnsi="Arial"/>
          <w:sz w:val="16"/>
          <w:szCs w:val="16"/>
          <w:color w:val="auto"/>
        </w:rPr>
        <w:t>. Net cash used in operating activities was $7.1 million in the first twenty-six weeks of 2025</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$14.0 million in the same period of 2024. Significant sources of cash for the first twenty-six weeks of 2025 included net income adjusted for non-cash items totaling $29.9 million (compared to net loss adjusted for non-cash items of $6.6 million in the first twenty-six weeks of 2024) and a decrease in inventory of $5.1 million in the first twenty-six weeks of 2025 (compared to an increase of $4.6 million in the first twenty-six weeks of 2024).</w:t>
      </w:r>
    </w:p>
    <w:p>
      <w:pPr>
        <w:spacing w:after="0" w:line="190"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Significant uses of cash from operating activities in the first twenty-six weeks of 2025 included (1) a $29.6 million decrease in accrued expenses and other long-term liabilities (compared to a $21.9 million decrease in the first twenty-six weeks of 2024) due primarily to payments of operating lease liabilities; (2) a $9.4 million increase in prepaid and other current assets (compared to a $6.1 million dollar increase in the first twenty-six weeks of 2024); and (3) a $7.1 million decrease in accounts payable (compared to a $10.0 million increase in the same period last year).</w:t>
      </w:r>
    </w:p>
    <w:p>
      <w:pPr>
        <w:spacing w:after="0" w:line="176"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Cash provided by investing activities was $3.5 million in the first twenty-six weeks of 2025</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cash used of $5.6 million in the same period last year. Sources of cash of $11.2 million in the first 26 weeks of 2025 was from the sale of a building. Cash used of $7.7 million in the first twenty-six weeks of fiscal 2025 and $5.6 million in the first twenty-six weeks of fiscal 2024 consisted of purchases of property and equipment.</w:t>
      </w:r>
    </w:p>
    <w:p>
      <w:pPr>
        <w:spacing w:after="0" w:line="185"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i w:val="1"/>
          <w:iCs w:val="1"/>
          <w:color w:val="auto"/>
        </w:rPr>
        <w:t xml:space="preserve">Cash Flows From Financing Activities. </w:t>
      </w:r>
      <w:r>
        <w:rPr>
          <w:rFonts w:ascii="Arial" w:cs="Arial" w:eastAsia="Arial" w:hAnsi="Arial"/>
          <w:sz w:val="16"/>
          <w:szCs w:val="16"/>
          <w:color w:val="auto"/>
        </w:rPr>
        <w:t>Cash used in financing activities was $7.1 million in the first twenty-six weeks of 2025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$0.9 million in the same period last year. Cash used in the first twenty-six weeks of fiscal 2025 was $0.8 million to settle withholding taxes on the vesting of restricted stock and $6.3 million for share repurchases, compared to $0.9 million used in the first twenty-six weeks of fiscal 2024 to settle withholding taxes on the vesting of restricted stock.</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Requirements and Commitments</w:t>
      </w:r>
    </w:p>
    <w:p>
      <w:pPr>
        <w:spacing w:after="0" w:line="248" w:lineRule="exact"/>
        <w:rPr>
          <w:sz w:val="20"/>
          <w:szCs w:val="20"/>
          <w:color w:val="auto"/>
        </w:rPr>
      </w:pPr>
    </w:p>
    <w:p>
      <w:pPr>
        <w:ind w:right="520"/>
        <w:spacing w:after="0" w:line="275" w:lineRule="auto"/>
        <w:rPr>
          <w:sz w:val="20"/>
          <w:szCs w:val="20"/>
          <w:color w:val="auto"/>
        </w:rPr>
      </w:pPr>
      <w:r>
        <w:rPr>
          <w:rFonts w:ascii="Arial" w:cs="Arial" w:eastAsia="Arial" w:hAnsi="Arial"/>
          <w:sz w:val="16"/>
          <w:szCs w:val="16"/>
          <w:color w:val="auto"/>
        </w:rPr>
        <w:t>Our principal cash requirements consist of (1) inventory purchases; (2) capital expenditures to invest in our infrastructure; and (3) operational needs, including salaries, occupancy costs, taxes and other operating costs. We may also use cash to fund any share repurchases, make any required debt payments and satisfy other contractual obligations. Historically, we have met these cash requirements using cash flow from operations and short-term trade credit. As of August 2, 2025, our contractual commitments for operating leases totaled $217.5 million (with $36.2 million due within 12 months). See Note 11 to the Financial Statements for more information regarding lease commitments.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35"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ectPr>
          <w:pgSz w:w="11900" w:h="16838" w:orient="portrait"/>
          <w:cols w:equalWidth="0" w:num="1">
            <w:col w:w="9900"/>
          </w:cols>
          <w:pgMar w:left="980" w:top="512"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2" w:right="10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There have been no material changes to the Critical Accounting Policies outlined in our Annual Report on Form 10-K for the fiscal year ended February 1, 2025.</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35" w:lineRule="exact"/>
        <w:rPr>
          <w:sz w:val="20"/>
          <w:szCs w:val="20"/>
          <w:color w:val="auto"/>
        </w:rPr>
      </w:pPr>
    </w:p>
    <w:p>
      <w:pPr>
        <w:spacing w:after="0" w:line="326" w:lineRule="auto"/>
        <w:rPr>
          <w:sz w:val="20"/>
          <w:szCs w:val="20"/>
          <w:color w:val="auto"/>
        </w:rPr>
      </w:pPr>
      <w:r>
        <w:rPr>
          <w:rFonts w:ascii="Arial" w:cs="Arial" w:eastAsia="Arial" w:hAnsi="Arial"/>
          <w:sz w:val="16"/>
          <w:szCs w:val="16"/>
          <w:color w:val="auto"/>
        </w:rPr>
        <w:t>There have been no material changes in our market risk during the twenty-six weeks ended August 2, 2025 compared to the disclosures in Part II, Item 7A of our Annual Report on Form 10-K for the fiscal year ended February 1, 2025</w:t>
      </w:r>
      <w:r>
        <w:rPr>
          <w:rFonts w:ascii="Arial" w:cs="Arial" w:eastAsia="Arial" w:hAnsi="Arial"/>
          <w:sz w:val="17"/>
          <w:szCs w:val="17"/>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35"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the principal executive officer and the principal financial officer, of the effectiveness of the design and operation of our disclosure controls and procedures as of August 2, 2025 pursuant to Rules 13a-15 and 15d-15 of the Exchange Act. Based on that evaluation, the principal executive officer and the principal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96"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84"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There were no changes in our internal control over financial reporting that occurred during the fiscal quarter ended August 2,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980" w:top="512" w:right="11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are from time to time involved in various legal proceedings incidental to the conduct of our business, including claims by customers, landlords,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48"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There have been no material changes to the Risk Factors described under the section “ITEM 1A. RISK FACTORS” in our Annual Report on Form 10-K for the fiscal year ended February 1, 2025.</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Information on Share Repurchases</w:t>
      </w:r>
    </w:p>
    <w:p>
      <w:pPr>
        <w:spacing w:after="0" w:line="246" w:lineRule="exact"/>
        <w:rPr>
          <w:sz w:val="20"/>
          <w:szCs w:val="20"/>
          <w:color w:val="auto"/>
        </w:rPr>
      </w:pPr>
    </w:p>
    <w:p>
      <w:pPr>
        <w:ind w:right="700"/>
        <w:spacing w:after="0" w:line="304" w:lineRule="auto"/>
        <w:rPr>
          <w:sz w:val="20"/>
          <w:szCs w:val="20"/>
          <w:color w:val="auto"/>
        </w:rPr>
      </w:pPr>
      <w:r>
        <w:rPr>
          <w:rFonts w:ascii="Arial" w:cs="Arial" w:eastAsia="Arial" w:hAnsi="Arial"/>
          <w:sz w:val="16"/>
          <w:szCs w:val="16"/>
          <w:color w:val="auto"/>
        </w:rPr>
        <w:t>The Company did not repurchase any shares in the second quarter of 2025. At August 2, 2025, $40.0 million remained under the Company’s stock repurchase authorization.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316" w:lineRule="exact"/>
        <w:rPr>
          <w:sz w:val="20"/>
          <w:szCs w:val="20"/>
          <w:color w:val="auto"/>
        </w:rPr>
      </w:pPr>
    </w:p>
    <w:p>
      <w:pPr>
        <w:ind w:left="720" w:right="300" w:hanging="701"/>
        <w:spacing w:after="0" w:line="339" w:lineRule="auto"/>
        <w:tabs>
          <w:tab w:leader="none" w:pos="700" w:val="left"/>
        </w:tabs>
        <w:rPr>
          <w:rFonts w:ascii="Arial" w:cs="Arial" w:eastAsia="Arial" w:hAnsi="Arial"/>
          <w:sz w:val="16"/>
          <w:szCs w:val="16"/>
          <w:color w:val="0000EE"/>
        </w:rPr>
      </w:pPr>
      <w:r>
        <w:rPr>
          <w:rFonts w:ascii="Arial" w:cs="Arial" w:eastAsia="Arial" w:hAnsi="Arial"/>
          <w:sz w:val="16"/>
          <w:szCs w:val="16"/>
          <w:color w:val="auto"/>
        </w:rPr>
        <w:t>3.1</w:t>
      </w:r>
      <w:r>
        <w:rPr>
          <w:sz w:val="20"/>
          <w:szCs w:val="20"/>
          <w:color w:val="auto"/>
        </w:rPr>
        <w:tab/>
      </w:r>
      <w:hyperlink r:id="rId30">
        <w:r>
          <w:rPr>
            <w:rFonts w:ascii="Arial" w:cs="Arial" w:eastAsia="Arial" w:hAnsi="Arial"/>
            <w:sz w:val="16"/>
            <w:szCs w:val="16"/>
            <w:u w:val="single" w:color="auto"/>
            <w:color w:val="0000EE"/>
          </w:rPr>
          <w:t>Third Amended and Restated Certificate of Incorporation (incorporated by reference to Exhibit 3.1 to the Company’s Current</w:t>
        </w:r>
      </w:hyperlink>
      <w:r>
        <w:rPr>
          <w:rFonts w:ascii="Arial" w:cs="Arial" w:eastAsia="Arial" w:hAnsi="Arial"/>
          <w:sz w:val="16"/>
          <w:szCs w:val="16"/>
          <w:u w:val="single" w:color="auto"/>
          <w:color w:val="0000EE"/>
        </w:rPr>
        <w:t xml:space="preserve"> </w:t>
      </w:r>
      <w:hyperlink r:id="rId30">
        <w:r>
          <w:rPr>
            <w:rFonts w:ascii="Arial" w:cs="Arial" w:eastAsia="Arial" w:hAnsi="Arial"/>
            <w:sz w:val="16"/>
            <w:szCs w:val="16"/>
            <w:u w:val="single" w:color="auto"/>
            <w:color w:val="0000EE"/>
          </w:rPr>
          <w:t>Report on Form 8-K filed with the SEC on June 7, 2018)</w:t>
        </w:r>
        <w:r>
          <w:rPr>
            <w:rFonts w:ascii="Arial" w:cs="Arial" w:eastAsia="Arial" w:hAnsi="Arial"/>
            <w:sz w:val="16"/>
            <w:szCs w:val="16"/>
            <w:color w:val="000000"/>
          </w:rPr>
          <w:t>.</w:t>
        </w:r>
      </w:hyperlink>
    </w:p>
    <w:p>
      <w:pPr>
        <w:spacing w:after="0" w:line="74" w:lineRule="exact"/>
        <w:rPr>
          <w:sz w:val="20"/>
          <w:szCs w:val="20"/>
          <w:color w:val="auto"/>
        </w:rPr>
      </w:pPr>
    </w:p>
    <w:p>
      <w:pPr>
        <w:ind w:left="720" w:right="100" w:hanging="701"/>
        <w:spacing w:after="0" w:line="339" w:lineRule="auto"/>
        <w:tabs>
          <w:tab w:leader="none" w:pos="700" w:val="left"/>
        </w:tabs>
        <w:rPr>
          <w:rFonts w:ascii="Arial" w:cs="Arial" w:eastAsia="Arial" w:hAnsi="Arial"/>
          <w:sz w:val="16"/>
          <w:szCs w:val="16"/>
          <w:u w:val="single" w:color="auto"/>
          <w:color w:val="0000EE"/>
        </w:rPr>
      </w:pPr>
      <w:r>
        <w:rPr>
          <w:rFonts w:ascii="Arial" w:cs="Arial" w:eastAsia="Arial" w:hAnsi="Arial"/>
          <w:sz w:val="16"/>
          <w:szCs w:val="16"/>
          <w:color w:val="auto"/>
        </w:rPr>
        <w:t>3.2</w:t>
      </w:r>
      <w:r>
        <w:rPr>
          <w:sz w:val="20"/>
          <w:szCs w:val="20"/>
          <w:color w:val="auto"/>
        </w:rPr>
        <w:tab/>
      </w:r>
      <w:hyperlink r:id="rId31">
        <w:r>
          <w:rPr>
            <w:rFonts w:ascii="Arial" w:cs="Arial" w:eastAsia="Arial" w:hAnsi="Arial"/>
            <w:sz w:val="16"/>
            <w:szCs w:val="16"/>
            <w:u w:val="single" w:color="auto"/>
            <w:color w:val="0000EE"/>
          </w:rPr>
          <w:t>Fourth Amended and Restated Bylaws (incorporated by reference to Exhibit 3.2 to the Company’s Current Report on Form 8-K</w:t>
        </w:r>
      </w:hyperlink>
      <w:r>
        <w:rPr>
          <w:rFonts w:ascii="Arial" w:cs="Arial" w:eastAsia="Arial" w:hAnsi="Arial"/>
          <w:sz w:val="16"/>
          <w:szCs w:val="16"/>
          <w:u w:val="single" w:color="auto"/>
          <w:color w:val="0000EE"/>
        </w:rPr>
        <w:t xml:space="preserve"> </w:t>
      </w:r>
      <w:hyperlink r:id="rId31">
        <w:r>
          <w:rPr>
            <w:rFonts w:ascii="Arial" w:cs="Arial" w:eastAsia="Arial" w:hAnsi="Arial"/>
            <w:sz w:val="16"/>
            <w:szCs w:val="16"/>
            <w:u w:val="single" w:color="auto"/>
            <w:color w:val="0000EE"/>
          </w:rPr>
          <w:t>filed with the SEC on October 31, 2022).</w:t>
        </w:r>
      </w:hyperlink>
    </w:p>
    <w:p>
      <w:pPr>
        <w:spacing w:after="0" w:line="74" w:lineRule="exact"/>
        <w:rPr>
          <w:sz w:val="20"/>
          <w:szCs w:val="20"/>
          <w:color w:val="auto"/>
        </w:rPr>
      </w:pPr>
    </w:p>
    <w:p>
      <w:pPr>
        <w:ind w:left="720" w:right="500" w:hanging="701"/>
        <w:spacing w:after="0" w:line="339" w:lineRule="auto"/>
        <w:tabs>
          <w:tab w:leader="none" w:pos="700" w:val="left"/>
        </w:tabs>
        <w:rPr>
          <w:rFonts w:ascii="Arial" w:cs="Arial" w:eastAsia="Arial" w:hAnsi="Arial"/>
          <w:sz w:val="16"/>
          <w:szCs w:val="16"/>
          <w:u w:val="single" w:color="auto"/>
          <w:color w:val="0000EE"/>
        </w:rPr>
      </w:pPr>
      <w:r>
        <w:rPr>
          <w:rFonts w:ascii="Arial" w:cs="Arial" w:eastAsia="Arial" w:hAnsi="Arial"/>
          <w:sz w:val="16"/>
          <w:szCs w:val="16"/>
          <w:color w:val="auto"/>
        </w:rPr>
        <w:t>10.1</w:t>
      </w:r>
      <w:r>
        <w:rPr>
          <w:sz w:val="20"/>
          <w:szCs w:val="20"/>
          <w:color w:val="auto"/>
        </w:rPr>
        <w:tab/>
      </w:r>
      <w:hyperlink r:id="rId32">
        <w:r>
          <w:rPr>
            <w:rFonts w:ascii="Arial" w:cs="Arial" w:eastAsia="Arial" w:hAnsi="Arial"/>
            <w:sz w:val="16"/>
            <w:szCs w:val="16"/>
            <w:u w:val="single" w:color="auto"/>
            <w:color w:val="0000EE"/>
          </w:rPr>
          <w:t>Citi Trends, Inc. Amended and Restated 2021 Incentive Plan (incorporated by reference to Exhibit 10.1 to the Company’s</w:t>
        </w:r>
      </w:hyperlink>
      <w:r>
        <w:rPr>
          <w:rFonts w:ascii="Arial" w:cs="Arial" w:eastAsia="Arial" w:hAnsi="Arial"/>
          <w:sz w:val="16"/>
          <w:szCs w:val="16"/>
          <w:u w:val="single" w:color="auto"/>
          <w:color w:val="0000EE"/>
        </w:rPr>
        <w:t xml:space="preserve"> </w:t>
      </w:r>
      <w:hyperlink r:id="rId32">
        <w:r>
          <w:rPr>
            <w:rFonts w:ascii="Arial" w:cs="Arial" w:eastAsia="Arial" w:hAnsi="Arial"/>
            <w:sz w:val="16"/>
            <w:szCs w:val="16"/>
            <w:u w:val="single" w:color="auto"/>
            <w:color w:val="0000EE"/>
          </w:rPr>
          <w:t>Current Report on Form 8-K filed with the SEC on June 9, 2025).</w:t>
        </w:r>
      </w:hyperlink>
    </w:p>
    <w:p>
      <w:pPr>
        <w:spacing w:after="0" w:line="74"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u w:val="single" w:color="auto"/>
          <w:color w:val="0000EE"/>
        </w:rPr>
        <w:t>Form of Restricted Stock Award Agreement for Employees (2025) under the Citi Trends, Inc. 2021 Incentive Plan</w:t>
      </w:r>
      <w:r>
        <w:rPr>
          <w:rFonts w:ascii="Arial" w:cs="Arial" w:eastAsia="Arial" w:hAnsi="Arial"/>
          <w:sz w:val="16"/>
          <w:szCs w:val="16"/>
          <w:color w:val="000000"/>
        </w:rPr>
        <w:t>. +</w:t>
      </w:r>
    </w:p>
    <w:p>
      <w:pPr>
        <w:spacing w:after="0" w:line="181" w:lineRule="exact"/>
        <w:rPr>
          <w:sz w:val="20"/>
          <w:szCs w:val="20"/>
          <w:color w:val="auto"/>
        </w:rPr>
      </w:pPr>
    </w:p>
    <w:p>
      <w:pPr>
        <w:ind w:left="720" w:right="320" w:hanging="701"/>
        <w:spacing w:after="0" w:line="339" w:lineRule="auto"/>
        <w:tabs>
          <w:tab w:leader="none" w:pos="70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6"/>
          <w:szCs w:val="16"/>
          <w:u w:val="single" w:color="auto"/>
          <w:color w:val="0000EE"/>
        </w:rPr>
        <w:t>Form of Performance-Based Restricted Stock Unit Award Agreement for Employees (2025) under the Citi Trends, Inc. 2021 Incentive Plan</w:t>
      </w:r>
      <w:r>
        <w:rPr>
          <w:rFonts w:ascii="Arial" w:cs="Arial" w:eastAsia="Arial" w:hAnsi="Arial"/>
          <w:sz w:val="16"/>
          <w:szCs w:val="16"/>
          <w:color w:val="000000"/>
        </w:rPr>
        <w:t>. +</w:t>
      </w:r>
    </w:p>
    <w:p>
      <w:pPr>
        <w:spacing w:after="0" w:line="74" w:lineRule="exact"/>
        <w:rPr>
          <w:sz w:val="20"/>
          <w:szCs w:val="20"/>
          <w:color w:val="auto"/>
        </w:rPr>
      </w:pPr>
    </w:p>
    <w:p>
      <w:pPr>
        <w:ind w:left="720" w:right="640" w:hanging="701"/>
        <w:spacing w:after="0" w:line="339" w:lineRule="auto"/>
        <w:tabs>
          <w:tab w:leader="none" w:pos="70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u w:val="single" w:color="auto"/>
          <w:color w:val="0000EE"/>
        </w:rPr>
        <w:t>Certification of Principal Executive Officer, Pursuant to Rule 13a-14(a) of the Securities Exchange Act of 1934, Adopted Pursuant to Section 302 of the Sarbanes-Oxley Act of 2002</w:t>
      </w:r>
      <w:r>
        <w:rPr>
          <w:rFonts w:ascii="Arial" w:cs="Arial" w:eastAsia="Arial" w:hAnsi="Arial"/>
          <w:sz w:val="16"/>
          <w:szCs w:val="16"/>
          <w:color w:val="000000"/>
        </w:rPr>
        <w:t>.+</w:t>
      </w:r>
    </w:p>
    <w:p>
      <w:pPr>
        <w:spacing w:after="0" w:line="74" w:lineRule="exact"/>
        <w:rPr>
          <w:sz w:val="20"/>
          <w:szCs w:val="20"/>
          <w:color w:val="auto"/>
        </w:rPr>
      </w:pPr>
    </w:p>
    <w:p>
      <w:pPr>
        <w:ind w:left="720" w:hanging="701"/>
        <w:spacing w:after="0" w:line="339" w:lineRule="auto"/>
        <w:tabs>
          <w:tab w:leader="none" w:pos="70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u w:val="single" w:color="auto"/>
          <w:color w:val="0000EE"/>
        </w:rPr>
        <w:t>Certification of Principal Financial Officer, Pursuant to Rule 13a-14(a) of the Securities Exchange Act of 1934, Adopted Pursuant to Section 302 of the Sarbanes-Oxley Act of 2002.</w:t>
      </w:r>
      <w:r>
        <w:rPr>
          <w:rFonts w:ascii="Arial" w:cs="Arial" w:eastAsia="Arial" w:hAnsi="Arial"/>
          <w:sz w:val="16"/>
          <w:szCs w:val="16"/>
          <w:color w:val="000000"/>
        </w:rPr>
        <w:t>+</w:t>
      </w:r>
    </w:p>
    <w:p>
      <w:pPr>
        <w:spacing w:after="0" w:line="74"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u w:val="single" w:color="auto"/>
          <w:color w:val="0000EE"/>
        </w:rPr>
        <w:t>Certifications Pursuant to 18 U.S.C. Section 1350, as adopted pursuant to Section 906 of the Sarbanes-Oxley Act of 2002.+†</w:t>
      </w:r>
    </w:p>
    <w:p>
      <w:pPr>
        <w:spacing w:after="0" w:line="181" w:lineRule="exact"/>
        <w:rPr>
          <w:sz w:val="20"/>
          <w:szCs w:val="20"/>
          <w:color w:val="auto"/>
        </w:rPr>
      </w:pPr>
    </w:p>
    <w:p>
      <w:pPr>
        <w:ind w:left="720" w:right="440" w:hanging="711"/>
        <w:spacing w:after="0" w:line="339"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Inline XBRL Document Set for the condensed consolidated financial statements and accompanying notes in Part I, Item 1, “Financial Statements” of this Quarterly Report on Form 10-Q.+</w:t>
      </w:r>
    </w:p>
    <w:p>
      <w:pPr>
        <w:spacing w:after="0" w:line="74" w:lineRule="exact"/>
        <w:rPr>
          <w:sz w:val="20"/>
          <w:szCs w:val="20"/>
          <w:color w:val="auto"/>
        </w:rPr>
      </w:pPr>
    </w:p>
    <w:p>
      <w:pPr>
        <w:ind w:left="720" w:hanging="711"/>
        <w:spacing w:after="0"/>
        <w:tabs>
          <w:tab w:leader="none" w:pos="7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Inline XBRL for the cover page of this Quarterly Report on Form 10-Q, included in the Exhibit 101 Inline XBRL Document Set.+</w:t>
      </w:r>
    </w:p>
    <w:p>
      <w:pPr>
        <w:spacing w:after="0" w:line="261" w:lineRule="exact"/>
        <w:rPr>
          <w:rFonts w:ascii="Arial" w:cs="Arial" w:eastAsia="Arial" w:hAnsi="Arial"/>
          <w:sz w:val="16"/>
          <w:szCs w:val="16"/>
          <w:color w:val="auto"/>
        </w:rPr>
      </w:pPr>
    </w:p>
    <w:p>
      <w:pPr>
        <w:ind w:left="380" w:hanging="372"/>
        <w:spacing w:after="0"/>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-193040</wp:posOffset>
            </wp:positionV>
            <wp:extent cx="15684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07"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Pursuant to Securities and Exchange Commission Release No. 33-8238, this certification will be treated as “accompanying” this</w:t>
      </w:r>
    </w:p>
    <w:p>
      <w:pPr>
        <w:spacing w:after="0" w:line="21"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6"/>
          <w:szCs w:val="16"/>
          <w:color w:val="auto"/>
        </w:rPr>
        <w:t>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2" w:right="10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35" w:lineRule="exact"/>
        <w:rPr>
          <w:sz w:val="20"/>
          <w:szCs w:val="20"/>
          <w:color w:val="auto"/>
        </w:rPr>
      </w:pPr>
    </w:p>
    <w:p>
      <w:pPr>
        <w:ind w:right="100" w:firstLine="648"/>
        <w:spacing w:after="0" w:line="29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 and the undersigned also has signed this report in her capacity as the Registrant’s Chief Financial Officer (Principal Financial Officer).</w:t>
      </w:r>
    </w:p>
    <w:p>
      <w:pPr>
        <w:spacing w:after="0" w:line="200" w:lineRule="exact"/>
        <w:rPr>
          <w:sz w:val="20"/>
          <w:szCs w:val="20"/>
          <w:color w:val="auto"/>
        </w:rPr>
      </w:pPr>
    </w:p>
    <w:p>
      <w:pPr>
        <w:spacing w:after="0" w:line="23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CITI TRENDS, INC.</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10, 2025</w:t>
      </w:r>
    </w:p>
    <w:p>
      <w:pPr>
        <w:spacing w:after="0" w:line="356" w:lineRule="exact"/>
        <w:rPr>
          <w:sz w:val="20"/>
          <w:szCs w:val="20"/>
          <w:color w:val="auto"/>
        </w:rPr>
      </w:pPr>
    </w:p>
    <w:tbl>
      <w:tblPr>
        <w:tblLayout w:type="fixed"/>
        <w:tblInd w:w="4980" w:type="dxa"/>
        <w:tblCellMar>
          <w:top w:w="0" w:type="dxa"/>
          <w:left w:w="0" w:type="dxa"/>
          <w:bottom w:w="0" w:type="dxa"/>
          <w:right w:w="0" w:type="dxa"/>
        </w:tblCellMar>
      </w:tblPr>
      <w:tr>
        <w:trPr>
          <w:trHeight w:val="215"/>
        </w:trPr>
        <w:tc>
          <w:tcPr>
            <w:tcW w:w="72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Pr>
          <w:p>
            <w:pPr>
              <w:spacing w:after="0"/>
              <w:rPr>
                <w:sz w:val="20"/>
                <w:szCs w:val="20"/>
                <w:color w:val="auto"/>
              </w:rPr>
            </w:pPr>
            <w:r>
              <w:rPr>
                <w:rFonts w:ascii="Arial" w:cs="Arial" w:eastAsia="Arial" w:hAnsi="Arial"/>
                <w:sz w:val="16"/>
                <w:szCs w:val="16"/>
                <w:color w:val="auto"/>
              </w:rPr>
              <w:t>/s/ Heather Plutino</w:t>
            </w:r>
          </w:p>
        </w:tc>
        <w:tc>
          <w:tcPr>
            <w:tcW w:w="0" w:type="dxa"/>
            <w:vAlign w:val="bottom"/>
          </w:tcPr>
          <w:p>
            <w:pPr>
              <w:spacing w:after="0"/>
              <w:rPr>
                <w:sz w:val="1"/>
                <w:szCs w:val="1"/>
                <w:color w:val="auto"/>
              </w:rPr>
            </w:pPr>
          </w:p>
        </w:tc>
      </w:tr>
      <w:tr>
        <w:trPr>
          <w:trHeight w:val="56"/>
        </w:trPr>
        <w:tc>
          <w:tcPr>
            <w:tcW w:w="72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4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7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Heather Plutino</w:t>
            </w:r>
          </w:p>
        </w:tc>
        <w:tc>
          <w:tcPr>
            <w:tcW w:w="0" w:type="dxa"/>
            <w:vAlign w:val="bottom"/>
          </w:tcPr>
          <w:p>
            <w:pPr>
              <w:spacing w:after="0"/>
              <w:rPr>
                <w:sz w:val="1"/>
                <w:szCs w:val="1"/>
                <w:color w:val="auto"/>
              </w:rPr>
            </w:pPr>
          </w:p>
        </w:tc>
      </w:tr>
      <w:tr>
        <w:trPr>
          <w:trHeight w:val="269"/>
        </w:trPr>
        <w:tc>
          <w:tcPr>
            <w:tcW w:w="720" w:type="dxa"/>
            <w:vAlign w:val="bottom"/>
          </w:tcPr>
          <w:p>
            <w:pPr>
              <w:spacing w:after="0"/>
              <w:rPr>
                <w:sz w:val="20"/>
                <w:szCs w:val="20"/>
                <w:color w:val="auto"/>
              </w:rPr>
            </w:pPr>
            <w:r>
              <w:rPr>
                <w:rFonts w:ascii="Arial" w:cs="Arial" w:eastAsia="Arial" w:hAnsi="Arial"/>
                <w:sz w:val="16"/>
                <w:szCs w:val="16"/>
                <w:color w:val="auto"/>
              </w:rPr>
              <w:t>Title:</w:t>
            </w:r>
          </w:p>
        </w:tc>
        <w:tc>
          <w:tcPr>
            <w:tcW w:w="422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20" w:name="page21"/>
    <w:bookmarkEnd w:id="20"/>
    <w:p>
      <w:pPr>
        <w:ind w:left="3200"/>
        <w:spacing w:after="0"/>
        <w:rPr>
          <w:sz w:val="20"/>
          <w:szCs w:val="20"/>
          <w:color w:val="auto"/>
        </w:rPr>
      </w:pPr>
      <w:r>
        <w:rPr>
          <w:rFonts w:ascii="Times New Roman" w:cs="Times New Roman" w:eastAsia="Times New Roman" w:hAnsi="Times New Roman"/>
          <w:sz w:val="29"/>
          <w:szCs w:val="29"/>
          <w:b w:val="1"/>
          <w:bCs w:val="1"/>
          <w:color w:val="auto"/>
        </w:rPr>
        <w:t>RESTRICTED STOCK</w:t>
      </w:r>
    </w:p>
    <w:p>
      <w:pPr>
        <w:spacing w:after="0" w:line="4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9"/>
          <w:szCs w:val="29"/>
          <w:b w:val="1"/>
          <w:bCs w:val="1"/>
          <w:color w:val="auto"/>
        </w:rPr>
        <w:t>AWARD AGREEMENT</w:t>
      </w:r>
    </w:p>
    <w:p>
      <w:pPr>
        <w:spacing w:after="0" w:line="20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0"/>
          <w:szCs w:val="20"/>
          <w:i w:val="1"/>
          <w:iCs w:val="1"/>
          <w:color w:val="auto"/>
        </w:rPr>
        <w:t>Non-transferable Grant</w:t>
      </w:r>
    </w:p>
    <w:p>
      <w:pPr>
        <w:spacing w:after="0" w:line="23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by Citi Trends, Inc. (the “Company”)</w:t>
      </w:r>
    </w:p>
    <w:p>
      <w:pPr>
        <w:spacing w:after="0" w:line="229" w:lineRule="exact"/>
        <w:rPr>
          <w:sz w:val="20"/>
          <w:szCs w:val="20"/>
          <w:color w:val="auto"/>
        </w:rPr>
      </w:pPr>
    </w:p>
    <w:p>
      <w:pPr>
        <w:ind w:right="660"/>
        <w:spacing w:after="0" w:line="246" w:lineRule="auto"/>
        <w:rPr>
          <w:sz w:val="20"/>
          <w:szCs w:val="20"/>
          <w:color w:val="auto"/>
        </w:rPr>
      </w:pPr>
      <w:r>
        <w:rPr>
          <w:rFonts w:ascii="Times New Roman" w:cs="Times New Roman" w:eastAsia="Times New Roman" w:hAnsi="Times New Roman"/>
          <w:sz w:val="20"/>
          <w:szCs w:val="20"/>
          <w:color w:val="auto"/>
        </w:rPr>
        <w:t>This award for restricted shares of the Company’s common stock, $0.01 par value (the “Shares”) is pursuant and subject to the provisions of the Citi Trends 2021 Incentive Plan (the “Plan”) and to the terms and conditions set forth on the following page (the “Terms and Conditions”). By accepting the Shares, Grantee shall be deemed to have agreed to the terms and conditions set forth in this Agreement and the Plan. Capitalized terms used herein and not otherwise defined shall have the meanings assigned to such terms in the Plan.</w:t>
      </w:r>
    </w:p>
    <w:p>
      <w:pPr>
        <w:spacing w:after="0" w:line="252"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The Shares will vest (become non-forfeitable) as to the percentages of the Shares and on the respective dates specified in the following schedule, provided that Grantee is employed by the Company on such dates.</w:t>
      </w:r>
    </w:p>
    <w:p>
      <w:pPr>
        <w:sectPr>
          <w:pgSz w:w="11900" w:h="16838" w:orient="portrait"/>
          <w:cols w:equalWidth="0" w:num="1">
            <w:col w:w="9900"/>
          </w:cols>
          <w:pgMar w:left="1280" w:top="101" w:right="719" w:bottom="1440" w:gutter="0" w:footer="0" w:header="0"/>
        </w:sectPr>
      </w:pPr>
    </w:p>
    <w:p>
      <w:pPr>
        <w:spacing w:after="0" w:line="33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w:t>
            </w:r>
          </w:p>
        </w:tc>
        <w:tc>
          <w:tcPr>
            <w:tcW w:w="2420" w:type="dxa"/>
            <w:vAlign w:val="bottom"/>
            <w:vMerge w:val="restart"/>
          </w:tcPr>
          <w:p>
            <w:pPr>
              <w:ind w:left="220"/>
              <w:spacing w:after="0"/>
              <w:rPr>
                <w:sz w:val="20"/>
                <w:szCs w:val="20"/>
                <w:color w:val="auto"/>
              </w:rPr>
            </w:pPr>
            <w:r>
              <w:rPr>
                <w:rFonts w:ascii="Times New Roman" w:cs="Times New Roman" w:eastAsia="Times New Roman" w:hAnsi="Times New Roman"/>
                <w:sz w:val="20"/>
                <w:szCs w:val="20"/>
                <w:b w:val="1"/>
                <w:bCs w:val="1"/>
                <w:color w:val="auto"/>
                <w:w w:val="97"/>
              </w:rPr>
              <w:t>Number of RSUs Granted</w:t>
            </w:r>
          </w:p>
        </w:tc>
        <w:tc>
          <w:tcPr>
            <w:tcW w:w="0" w:type="dxa"/>
            <w:vAlign w:val="bottom"/>
          </w:tcPr>
          <w:p>
            <w:pPr>
              <w:spacing w:after="0"/>
              <w:rPr>
                <w:sz w:val="1"/>
                <w:szCs w:val="1"/>
                <w:color w:val="auto"/>
              </w:rPr>
            </w:pPr>
          </w:p>
        </w:tc>
      </w:tr>
      <w:tr>
        <w:trPr>
          <w:trHeight w:val="141"/>
        </w:trPr>
        <w:tc>
          <w:tcPr>
            <w:tcW w:w="1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Type</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vMerge w:val="continue"/>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2"/>
        </w:trPr>
        <w:tc>
          <w:tcPr>
            <w:tcW w:w="1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Time-Based RSUs</w:t>
            </w:r>
          </w:p>
        </w:tc>
        <w:tc>
          <w:tcPr>
            <w:tcW w:w="24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__________</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Vesting Criteria</w:t>
      </w:r>
    </w:p>
    <w:p>
      <w:pPr>
        <w:spacing w:after="0" w:line="287" w:lineRule="exact"/>
        <w:rPr>
          <w:sz w:val="20"/>
          <w:szCs w:val="20"/>
          <w:color w:val="auto"/>
        </w:rPr>
      </w:pPr>
    </w:p>
    <w:p>
      <w:pPr>
        <w:jc w:val="both"/>
        <w:ind w:right="800"/>
        <w:spacing w:after="0" w:line="254" w:lineRule="auto"/>
        <w:rPr>
          <w:sz w:val="20"/>
          <w:szCs w:val="20"/>
          <w:color w:val="auto"/>
        </w:rPr>
      </w:pPr>
      <w:r>
        <w:rPr>
          <w:rFonts w:ascii="Times New Roman" w:cs="Times New Roman" w:eastAsia="Times New Roman" w:hAnsi="Times New Roman"/>
          <w:sz w:val="20"/>
          <w:szCs w:val="20"/>
          <w:color w:val="auto"/>
        </w:rPr>
        <w:t>Subject to the Grantee’s continuous employment with the Company on each applicable vesting date, the RSUs shall vest in accordance with the following schedule:</w:t>
      </w:r>
    </w:p>
    <w:p>
      <w:pPr>
        <w:spacing w:after="0" w:line="268" w:lineRule="exact"/>
        <w:rPr>
          <w:sz w:val="20"/>
          <w:szCs w:val="20"/>
          <w:color w:val="auto"/>
        </w:rPr>
      </w:pPr>
    </w:p>
    <w:p>
      <w:pPr>
        <w:sectPr>
          <w:pgSz w:w="11900" w:h="16838" w:orient="portrait"/>
          <w:cols w:equalWidth="0" w:num="2">
            <w:col w:w="4300" w:space="220"/>
            <w:col w:w="5380"/>
          </w:cols>
          <w:pgMar w:left="1280" w:top="101"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WITNESS WHEREOF, the Company, acting by and through its duly authorized officers, has caused this Agreement to be duly executed.</w:t>
      </w:r>
    </w:p>
    <w:p>
      <w:pPr>
        <w:spacing w:after="0" w:line="1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Grant Date: _____________</w:t>
      </w:r>
    </w:p>
    <w:p>
      <w:pPr>
        <w:spacing w:after="0" w:line="200" w:lineRule="exact"/>
        <w:rPr>
          <w:sz w:val="20"/>
          <w:szCs w:val="20"/>
          <w:color w:val="auto"/>
        </w:rPr>
      </w:pPr>
    </w:p>
    <w:p>
      <w:pPr>
        <w:spacing w:after="0" w:line="24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CITI TRENDS, INC.</w:t>
      </w:r>
    </w:p>
    <w:p>
      <w:pPr>
        <w:spacing w:after="0" w:line="200" w:lineRule="exact"/>
        <w:rPr>
          <w:sz w:val="20"/>
          <w:szCs w:val="20"/>
          <w:color w:val="auto"/>
        </w:rPr>
      </w:pPr>
    </w:p>
    <w:p>
      <w:pPr>
        <w:spacing w:after="0" w:line="25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-10795</wp:posOffset>
            </wp:positionV>
            <wp:extent cx="27660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2766060" cy="8255"/>
                    </a:xfrm>
                    <a:prstGeom prst="rect">
                      <a:avLst/>
                    </a:prstGeom>
                    <a:noFill/>
                  </pic:spPr>
                </pic:pic>
              </a:graphicData>
            </a:graphic>
          </wp:anchor>
        </w:drawing>
      </w:r>
    </w:p>
    <w:p>
      <w:pPr>
        <w:spacing w:after="0" w:line="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Ken Seipel,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342900</wp:posOffset>
            </wp:positionV>
            <wp:extent cx="672084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6720840" cy="25400"/>
                    </a:xfrm>
                    <a:prstGeom prst="rect">
                      <a:avLst/>
                    </a:prstGeom>
                    <a:noFill/>
                  </pic:spPr>
                </pic:pic>
              </a:graphicData>
            </a:graphic>
          </wp:anchor>
        </w:drawing>
      </w:r>
    </w:p>
    <w:p>
      <w:pPr>
        <w:sectPr>
          <w:pgSz w:w="11900" w:h="16838" w:orient="portrait"/>
          <w:cols w:equalWidth="0" w:num="1">
            <w:col w:w="9900"/>
          </w:cols>
          <w:pgMar w:left="1280" w:top="101" w:right="719" w:bottom="1440" w:gutter="0" w:footer="0" w:header="0"/>
          <w:type w:val="continuous"/>
        </w:sectPr>
      </w:pPr>
    </w:p>
    <w:bookmarkStart w:id="21" w:name="page22"/>
    <w:bookmarkEnd w:id="21"/>
    <w:p>
      <w:pPr>
        <w:ind w:left="2"/>
        <w:spacing w:after="0"/>
        <w:rPr>
          <w:sz w:val="20"/>
          <w:szCs w:val="20"/>
          <w:color w:val="auto"/>
        </w:rPr>
      </w:pPr>
      <w:r>
        <w:rPr>
          <w:rFonts w:ascii="Times New Roman" w:cs="Times New Roman" w:eastAsia="Times New Roman" w:hAnsi="Times New Roman"/>
          <w:sz w:val="18"/>
          <w:szCs w:val="18"/>
          <w:b w:val="1"/>
          <w:bCs w:val="1"/>
          <w:color w:val="auto"/>
        </w:rPr>
        <w:t>TERMS AND CONDITIONS</w:t>
      </w:r>
    </w:p>
    <w:p>
      <w:pPr>
        <w:spacing w:after="0" w:line="243" w:lineRule="exact"/>
        <w:rPr>
          <w:sz w:val="20"/>
          <w:szCs w:val="20"/>
          <w:color w:val="auto"/>
        </w:rPr>
      </w:pPr>
    </w:p>
    <w:p>
      <w:pPr>
        <w:jc w:val="both"/>
        <w:ind w:left="2" w:hanging="2"/>
        <w:spacing w:after="0" w:line="251" w:lineRule="auto"/>
        <w:tabs>
          <w:tab w:leader="none" w:pos="2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Shares are subject to each of the following restrictions. “Restricted Shares” mean those Shares that are subject to the restrictions imposed hereunder which restrictions have not then expired or terminated. Restricted Shares may not be sold, transferred, exchanged, assigned, pledged, hypothecated or otherwise encumbered. If Grantee’s employment with the Company or any Subsidiary terminates for any reason, then Grantee shall forfeit all of Grantee’s right, title and interest in and to the Restricted Shares as of the date of employment termination, and such Restricted Shares shall revert to the Company immediately following the event of forfeiture. The restrictions imposed under this Section shall apply to all shares of the Company’s Stock or other securities issued with respect to Restricted Shares hereunder in connection with any merger,</w:t>
      </w:r>
    </w:p>
    <w:p>
      <w:pPr>
        <w:spacing w:after="0" w:line="8" w:lineRule="exact"/>
        <w:rPr>
          <w:rFonts w:ascii="Times New Roman" w:cs="Times New Roman" w:eastAsia="Times New Roman" w:hAnsi="Times New Roman"/>
          <w:sz w:val="18"/>
          <w:szCs w:val="18"/>
          <w:color w:val="auto"/>
        </w:rPr>
      </w:pPr>
    </w:p>
    <w:p>
      <w:pPr>
        <w:jc w:val="both"/>
        <w:ind w:left="2"/>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consolidation, recapitalization, stock dividend or other change in corporate structure affecting the Stock of the Company.</w:t>
      </w:r>
    </w:p>
    <w:p>
      <w:pPr>
        <w:spacing w:after="0" w:line="80" w:lineRule="exact"/>
        <w:rPr>
          <w:rFonts w:ascii="Times New Roman" w:cs="Times New Roman" w:eastAsia="Times New Roman" w:hAnsi="Times New Roman"/>
          <w:sz w:val="18"/>
          <w:szCs w:val="18"/>
          <w:color w:val="auto"/>
        </w:rPr>
      </w:pPr>
    </w:p>
    <w:p>
      <w:pPr>
        <w:jc w:val="both"/>
        <w:ind w:left="2" w:hanging="2"/>
        <w:spacing w:after="0" w:line="256" w:lineRule="auto"/>
        <w:tabs>
          <w:tab w:leader="none" w:pos="4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Expiration and Termination of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restrictions imposed under Section 1 will expire on the earliest to occur of the following (the period prior to such expiration being referred to herein as the “Restricted Period”):</w:t>
      </w:r>
    </w:p>
    <w:p>
      <w:pPr>
        <w:spacing w:after="0" w:line="79" w:lineRule="exact"/>
        <w:rPr>
          <w:rFonts w:ascii="Times New Roman" w:cs="Times New Roman" w:eastAsia="Times New Roman" w:hAnsi="Times New Roman"/>
          <w:sz w:val="18"/>
          <w:szCs w:val="18"/>
          <w:color w:val="auto"/>
        </w:rPr>
      </w:pPr>
    </w:p>
    <w:p>
      <w:pPr>
        <w:jc w:val="both"/>
        <w:ind w:left="2" w:firstLine="321"/>
        <w:spacing w:after="0" w:line="258" w:lineRule="auto"/>
        <w:tabs>
          <w:tab w:leader="none" w:pos="81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percentage of the Shares specified on the cover page hereof, on the respective date specified on the cover page hereof; provided Grantee is then employed by the Company; or</w:t>
      </w:r>
    </w:p>
    <w:p>
      <w:pPr>
        <w:spacing w:after="0" w:line="75" w:lineRule="exact"/>
        <w:rPr>
          <w:rFonts w:ascii="Times New Roman" w:cs="Times New Roman" w:eastAsia="Times New Roman" w:hAnsi="Times New Roman"/>
          <w:sz w:val="18"/>
          <w:szCs w:val="18"/>
          <w:color w:val="auto"/>
        </w:rPr>
      </w:pPr>
    </w:p>
    <w:p>
      <w:pPr>
        <w:jc w:val="both"/>
        <w:ind w:left="2" w:firstLine="321"/>
        <w:spacing w:after="0" w:line="256" w:lineRule="auto"/>
        <w:tabs>
          <w:tab w:leader="none" w:pos="81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Grantee’s death or Disability, but only with respect to the number of Shares that would otherwise have vested within the 12 months following the death or Disability based on Grantee’s continued employment with the Company; or</w:t>
      </w:r>
    </w:p>
    <w:p>
      <w:pPr>
        <w:spacing w:after="0" w:line="79" w:lineRule="exact"/>
        <w:rPr>
          <w:rFonts w:ascii="Times New Roman" w:cs="Times New Roman" w:eastAsia="Times New Roman" w:hAnsi="Times New Roman"/>
          <w:sz w:val="18"/>
          <w:szCs w:val="18"/>
          <w:color w:val="auto"/>
        </w:rPr>
      </w:pPr>
    </w:p>
    <w:p>
      <w:pPr>
        <w:ind w:left="802" w:right="180" w:hanging="488"/>
        <w:spacing w:after="0" w:line="282" w:lineRule="auto"/>
        <w:tabs>
          <w:tab w:leader="none" w:pos="80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Change of Control of the Company.</w:t>
      </w:r>
    </w:p>
    <w:p>
      <w:pPr>
        <w:spacing w:after="0" w:line="53" w:lineRule="exact"/>
        <w:rPr>
          <w:rFonts w:ascii="Times New Roman" w:cs="Times New Roman" w:eastAsia="Times New Roman" w:hAnsi="Times New Roman"/>
          <w:sz w:val="18"/>
          <w:szCs w:val="18"/>
          <w:color w:val="auto"/>
        </w:rPr>
      </w:pPr>
    </w:p>
    <w:p>
      <w:pPr>
        <w:jc w:val="both"/>
        <w:ind w:left="2" w:hanging="2"/>
        <w:spacing w:after="0" w:line="252" w:lineRule="auto"/>
        <w:tabs>
          <w:tab w:leader="none" w:pos="1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elivery of Shares</w:t>
      </w:r>
      <w:r>
        <w:rPr>
          <w:rFonts w:ascii="Times New Roman" w:cs="Times New Roman" w:eastAsia="Times New Roman" w:hAnsi="Times New Roman"/>
          <w:sz w:val="18"/>
          <w:szCs w:val="18"/>
          <w:color w:val="auto"/>
        </w:rPr>
        <w:t>. The Shares will be registered in the name of Grantee as of the Grant Date and may be held by the Company during the Restricted Period in certificated or uncertificated form. If a certificate for Restricted Shares is issued during the Restricted Period with respect to such Shares, such certificate shall be registered in the name of Grantee and shall bear a legend in substantially the following form (in addition to any legend required under applicable state securities laws): “This certificate and the shares of stock represented hereby are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-4688840</wp:posOffset>
            </wp:positionV>
            <wp:extent cx="1916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19164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6"/>
        <w:spacing w:after="0" w:line="251" w:lineRule="auto"/>
        <w:rPr>
          <w:sz w:val="20"/>
          <w:szCs w:val="20"/>
          <w:color w:val="auto"/>
        </w:rPr>
      </w:pPr>
      <w:r>
        <w:rPr>
          <w:rFonts w:ascii="Times New Roman" w:cs="Times New Roman" w:eastAsia="Times New Roman" w:hAnsi="Times New Roman"/>
          <w:sz w:val="18"/>
          <w:szCs w:val="18"/>
          <w:color w:val="auto"/>
        </w:rPr>
        <w:t>the terms and conditions (including forfeiture and restrictions against transfer) contained in a Restricted Stock Agreement between the registered owner of the shares represented hereby and Citi Trends, Inc. Release from such terms and conditions shall be made only in accordance with the provisions of such Agreement, copies of which are on file in the offices of Citi Trends, Inc.” Stock certificates for the Shares, without the first above legend, shall be delivered to Grantee or Grantee’s designee upon request of Grantee after the expiration of the Restricted Period, but delivery may be postponed for such period as may be required for the Company with reasonable diligence to comply, if deemed advisable by the Company, with registration requirements under the Securities Act of 1933, listing requirements under the rules of any stock exchange, and requirements under any other law or regulation applicable to the issuance or transfer of the Shares.</w:t>
      </w:r>
    </w:p>
    <w:p>
      <w:pPr>
        <w:spacing w:after="0" w:line="8" w:lineRule="exact"/>
        <w:rPr>
          <w:sz w:val="20"/>
          <w:szCs w:val="20"/>
          <w:color w:val="auto"/>
        </w:rPr>
      </w:pPr>
    </w:p>
    <w:p>
      <w:pPr>
        <w:jc w:val="both"/>
        <w:ind w:left="6" w:firstLine="4"/>
        <w:spacing w:after="0" w:line="253" w:lineRule="auto"/>
        <w:tabs>
          <w:tab w:leader="none" w:pos="32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Grantee, as beneficial owner of the Shares, shall have full voting rights with respect to the Shares during and after the Restricted Period.</w:t>
      </w:r>
    </w:p>
    <w:p>
      <w:pPr>
        <w:spacing w:after="0" w:line="80" w:lineRule="exact"/>
        <w:rPr>
          <w:rFonts w:ascii="Times New Roman" w:cs="Times New Roman" w:eastAsia="Times New Roman" w:hAnsi="Times New Roman"/>
          <w:sz w:val="18"/>
          <w:szCs w:val="18"/>
          <w:color w:val="auto"/>
        </w:rPr>
      </w:pPr>
    </w:p>
    <w:p>
      <w:pPr>
        <w:jc w:val="both"/>
        <w:ind w:left="6" w:firstLine="4"/>
        <w:spacing w:after="0" w:line="252" w:lineRule="auto"/>
        <w:tabs>
          <w:tab w:leader="none" w:pos="2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ividend Rights.</w:t>
      </w:r>
      <w:r>
        <w:rPr>
          <w:rFonts w:ascii="Times New Roman" w:cs="Times New Roman" w:eastAsia="Times New Roman" w:hAnsi="Times New Roman"/>
          <w:sz w:val="18"/>
          <w:szCs w:val="18"/>
          <w:color w:val="auto"/>
        </w:rPr>
        <w:t xml:space="preserve"> Grantee shall accrue cash and non- cash dividends, if any, paid with respect to the Restricted Shares, but the payment of such dividends shall be deferred and held (without interest) by the Company for the account of Grantee until the expiration of the Restricted Period. During the Restricted Period, such dividends shall be subject to the same vesting restrictions imposed under Section 1 as the Restricted Shares to which they relate. Accrued dividends deferred and held pursuant to the foregoing provision shall be paid by the Company to the Grantee promptly upon the expiration of the Restricted Period (and in any event within 30 days of the date of such expiration).</w:t>
      </w:r>
    </w:p>
    <w:p>
      <w:pPr>
        <w:spacing w:after="0" w:line="85" w:lineRule="exact"/>
        <w:rPr>
          <w:rFonts w:ascii="Times New Roman" w:cs="Times New Roman" w:eastAsia="Times New Roman" w:hAnsi="Times New Roman"/>
          <w:sz w:val="18"/>
          <w:szCs w:val="18"/>
          <w:color w:val="auto"/>
        </w:rPr>
      </w:pPr>
    </w:p>
    <w:p>
      <w:pPr>
        <w:jc w:val="both"/>
        <w:ind w:left="6" w:firstLine="4"/>
        <w:spacing w:after="0" w:line="255" w:lineRule="auto"/>
        <w:tabs>
          <w:tab w:leader="none" w:pos="29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 of Continued Employment. Nothing in this Agreement shall interfere with or limit in any way the right of the Company to terminate Grantee’s employment at any time, nor confer upon Grantee any right to continue in the employ of the Company.</w:t>
      </w:r>
    </w:p>
    <w:p>
      <w:pPr>
        <w:spacing w:after="0" w:line="80" w:lineRule="exact"/>
        <w:rPr>
          <w:rFonts w:ascii="Times New Roman" w:cs="Times New Roman" w:eastAsia="Times New Roman" w:hAnsi="Times New Roman"/>
          <w:sz w:val="18"/>
          <w:szCs w:val="18"/>
          <w:color w:val="auto"/>
        </w:rPr>
      </w:pPr>
    </w:p>
    <w:p>
      <w:pPr>
        <w:ind w:left="186" w:hanging="186"/>
        <w:spacing w:after="0"/>
        <w:tabs>
          <w:tab w:leader="none" w:pos="1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ayment of Taxes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6" w:firstLine="327"/>
        <w:spacing w:after="0" w:line="254" w:lineRule="auto"/>
        <w:tabs>
          <w:tab w:leader="none" w:pos="81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issuance of the Shares hereunder, Grantee may make an election to be taxed upon such award under Section 83(b) of the Internal Revenue Code. To effect such election, Grantee may file an appropriate election with Internal Revenue Service within thirty (30) days after award of the Shares and otherwise in accordance with applicable Treasury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414020</wp:posOffset>
            </wp:positionV>
            <wp:extent cx="672084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6720840" cy="2540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-5380355</wp:posOffset>
            </wp:positionV>
            <wp:extent cx="7321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32155" cy="8890"/>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-2362835</wp:posOffset>
            </wp:positionV>
            <wp:extent cx="19265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19265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9" w:firstLine="332"/>
        <w:spacing w:after="0" w:line="251" w:lineRule="auto"/>
        <w:tabs>
          <w:tab w:leader="none" w:pos="80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will, no later than the date as of which any amount related to the Shares first becomes includable in Grantee’s gross income for federal income tax purposes, pay to the Company, or make other arrangements satisfactory to the Committee regarding payment of, any federal, state and local taxes of any kind required by law to be withheld with respect to such amount, including without limitation the surrender of shares of Stock to the Company. The obligations of the Company under this Agreement will be conditional on such payment or arrangements, and the Company will, to the extent permitted by law, have the right to deduct any such taxes from the award or any payment of any kind otherwise due to Grantee. Unless otherwise determined by the Committee, the withholding requirement shall be satisfied by withholding Shares having a Fair Market Value on the date of withholding equal to the amount required to be withheld in accordance with applicable tax requirements.</w:t>
      </w:r>
    </w:p>
    <w:p>
      <w:pPr>
        <w:spacing w:after="0" w:line="96" w:lineRule="exact"/>
        <w:rPr>
          <w:rFonts w:ascii="Times New Roman" w:cs="Times New Roman" w:eastAsia="Times New Roman" w:hAnsi="Times New Roman"/>
          <w:sz w:val="18"/>
          <w:szCs w:val="18"/>
          <w:color w:val="auto"/>
        </w:rPr>
      </w:pPr>
    </w:p>
    <w:p>
      <w:pPr>
        <w:jc w:val="both"/>
        <w:ind w:left="-9" w:firstLine="9"/>
        <w:spacing w:after="0" w:line="254" w:lineRule="auto"/>
        <w:tabs>
          <w:tab w:leader="none" w:pos="21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lan Controls</w:t>
      </w:r>
      <w:r>
        <w:rPr>
          <w:rFonts w:ascii="Times New Roman" w:cs="Times New Roman" w:eastAsia="Times New Roman" w:hAnsi="Times New Roman"/>
          <w:sz w:val="18"/>
          <w:szCs w:val="18"/>
          <w:color w:val="auto"/>
        </w:rPr>
        <w:t>. The terms contained in the Plan are incorporated into and made a part of this Agreement and this Agreement shall be governed by and construed in accordance with the Plan. In the event of any actual or alleged conflict between the provisions of the Plan and the provisions of this Agreement, the provisions of the Plan shall be controlling and determinative.</w:t>
      </w:r>
    </w:p>
    <w:p>
      <w:pPr>
        <w:spacing w:after="0" w:line="80" w:lineRule="exact"/>
        <w:rPr>
          <w:rFonts w:ascii="Times New Roman" w:cs="Times New Roman" w:eastAsia="Times New Roman" w:hAnsi="Times New Roman"/>
          <w:sz w:val="18"/>
          <w:szCs w:val="18"/>
          <w:color w:val="auto"/>
        </w:rPr>
      </w:pPr>
    </w:p>
    <w:p>
      <w:pPr>
        <w:jc w:val="both"/>
        <w:ind w:left="-9" w:firstLine="9"/>
        <w:spacing w:after="0" w:line="261" w:lineRule="auto"/>
        <w:tabs>
          <w:tab w:leader="none" w:pos="21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uccessors</w:t>
      </w:r>
      <w:r>
        <w:rPr>
          <w:rFonts w:ascii="Times New Roman" w:cs="Times New Roman" w:eastAsia="Times New Roman" w:hAnsi="Times New Roman"/>
          <w:sz w:val="18"/>
          <w:szCs w:val="18"/>
          <w:color w:val="auto"/>
        </w:rPr>
        <w:t>. This Agreement shall be binding upon any successor of the Company, in accordance with the terms of this Agreement and the Plan.</w:t>
      </w:r>
    </w:p>
    <w:p>
      <w:pPr>
        <w:spacing w:after="0" w:line="71" w:lineRule="exact"/>
        <w:rPr>
          <w:rFonts w:ascii="Times New Roman" w:cs="Times New Roman" w:eastAsia="Times New Roman" w:hAnsi="Times New Roman"/>
          <w:sz w:val="18"/>
          <w:szCs w:val="18"/>
          <w:color w:val="auto"/>
        </w:rPr>
      </w:pPr>
    </w:p>
    <w:p>
      <w:pPr>
        <w:jc w:val="both"/>
        <w:ind w:left="-9" w:firstLine="9"/>
        <w:spacing w:after="0" w:line="255" w:lineRule="auto"/>
        <w:tabs>
          <w:tab w:leader="none" w:pos="37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one or more of the provisions contained in this Agreement is invalid, illegal or unenforceable, the other provisions of this Agreement will be construed and enforced as if the invalid, illegal or unenforceable provision had never been included.</w:t>
      </w:r>
    </w:p>
    <w:p>
      <w:pPr>
        <w:spacing w:after="0" w:line="80" w:lineRule="exact"/>
        <w:rPr>
          <w:rFonts w:ascii="Times New Roman" w:cs="Times New Roman" w:eastAsia="Times New Roman" w:hAnsi="Times New Roman"/>
          <w:sz w:val="18"/>
          <w:szCs w:val="18"/>
          <w:color w:val="auto"/>
        </w:rPr>
      </w:pPr>
    </w:p>
    <w:p>
      <w:pPr>
        <w:jc w:val="both"/>
        <w:ind w:left="-9" w:firstLine="9"/>
        <w:spacing w:after="0" w:line="252" w:lineRule="auto"/>
        <w:tabs>
          <w:tab w:leader="none" w:pos="4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Notices and communications under this Agreement must be in writing and either personally delivered or sent by registered or certified United States mail, return receipt requested, postage prepaid. Notices to the Company must be addressed to Citi Trends, Inc., 104 Coleman Blvd. Savannah, GA 31408, Attn: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ectPr>
          <w:pgSz w:w="11900" w:h="16838" w:orient="portrait"/>
          <w:cols w:equalWidth="0" w:num="3">
            <w:col w:w="3302" w:space="234"/>
            <w:col w:w="3306" w:space="249"/>
            <w:col w:w="3291"/>
          </w:cols>
          <w:pgMar w:left="758" w:top="185" w:right="759" w:bottom="1440" w:gutter="0" w:footer="0" w:header="0"/>
        </w:sectPr>
      </w:pPr>
    </w:p>
    <w:bookmarkStart w:id="22" w:name="page23"/>
    <w:bookmarkEnd w:id="22"/>
    <w:p>
      <w:pPr>
        <w:ind w:left="5160"/>
        <w:spacing w:after="0"/>
        <w:rPr>
          <w:sz w:val="20"/>
          <w:szCs w:val="20"/>
          <w:color w:val="auto"/>
        </w:rPr>
      </w:pPr>
      <w:r>
        <w:rPr>
          <w:rFonts w:ascii="Times New Roman" w:cs="Times New Roman" w:eastAsia="Times New Roman" w:hAnsi="Times New Roman"/>
          <w:sz w:val="29"/>
          <w:szCs w:val="29"/>
          <w:b w:val="1"/>
          <w:bCs w:val="1"/>
          <w:color w:val="auto"/>
        </w:rPr>
        <w:t>PERFORMANCE-</w:t>
      </w:r>
    </w:p>
    <w:p>
      <w:pPr>
        <w:spacing w:after="0" w:line="4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9"/>
          <w:szCs w:val="29"/>
          <w:b w:val="1"/>
          <w:bCs w:val="1"/>
          <w:color w:val="auto"/>
        </w:rPr>
        <w:t>BASED RESTRICTED STOCK</w:t>
      </w:r>
    </w:p>
    <w:p>
      <w:pPr>
        <w:spacing w:after="0" w:line="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9"/>
          <w:szCs w:val="29"/>
          <w:b w:val="1"/>
          <w:bCs w:val="1"/>
          <w:color w:val="auto"/>
        </w:rPr>
        <w:t>UNIT AWARD AGREEMENT</w:t>
      </w:r>
    </w:p>
    <w:p>
      <w:pPr>
        <w:spacing w:after="0" w:line="2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i w:val="1"/>
          <w:iCs w:val="1"/>
          <w:color w:val="auto"/>
        </w:rPr>
        <w:t>Non-transferable Grant to (“Grantee”)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 restricted stock units (the “Units") representing the right to earn, on a one-for-one basis, shares of the Company’s common stock</w:t>
      </w:r>
    </w:p>
    <w:p>
      <w:pPr>
        <w:spacing w:after="0" w:line="3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(“Shares”) , as provided herein, pursuant to and subject to the provisions of the Citi Trends 2021 Incentive Plan (the “Plan”), and to the terms and conditions set forth on the following page of this Agreement (the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Units shall vest, if at all, as described in Section 2 hereof.</w:t>
      </w:r>
    </w:p>
    <w:p>
      <w:pPr>
        <w:spacing w:after="0" w:line="229"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IN WITNESS WHEREOF, the Company, acting by and through its duly authorized officers, has caused this Agreement to be duly executed.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b w:val="1"/>
          <w:bCs w:val="1"/>
          <w:color w:val="auto"/>
        </w:rPr>
        <w:t>Grant Date of Award: _______________</w:t>
      </w:r>
    </w:p>
    <w:p>
      <w:pPr>
        <w:spacing w:after="0" w:line="16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color w:val="auto"/>
        </w:rPr>
        <w:t>CITI TRENDS, INC.</w:t>
      </w:r>
    </w:p>
    <w:p>
      <w:pPr>
        <w:spacing w:after="0" w:line="200" w:lineRule="exact"/>
        <w:rPr>
          <w:sz w:val="20"/>
          <w:szCs w:val="20"/>
          <w:color w:val="auto"/>
        </w:rPr>
      </w:pPr>
    </w:p>
    <w:p>
      <w:pPr>
        <w:spacing w:after="0" w:line="25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-10795</wp:posOffset>
            </wp:positionV>
            <wp:extent cx="27654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color w:val="auto"/>
        </w:rPr>
        <w:t>Ken Seipel, Chief Executive Officer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351790</wp:posOffset>
            </wp:positionV>
            <wp:extent cx="690943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ectPr>
          <w:pgSz w:w="11900" w:h="16838" w:orient="portrait"/>
          <w:cols w:equalWidth="0" w:num="1">
            <w:col w:w="10860"/>
          </w:cols>
          <w:pgMar w:left="560" w:top="425" w:right="4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TERMS AND CONDITIONS</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relate.  Accrued  dividends  deferred  and  held</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be   governed   by   and   construed   in</w:t>
            </w:r>
          </w:p>
        </w:tc>
      </w:tr>
      <w:tr>
        <w:trPr>
          <w:trHeight w:val="20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6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Grant</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of</w:t>
            </w: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The  Company  hereby</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pursuant to the foregoing provision shall be paid</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accordance with the Plan. In the event of</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grants to Grantee, subject to the restrictions</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by the Company to the Grantee promptly upon</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any actual or alleged conflict between the</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and the terms and conditions set forth in the</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the expiration of the restrictions set forth in this</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provisions of the Plan and the provisions of</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Plan and in this Agreement, the number of</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award agreement (and in any event within 30</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this Agreement, the provisions of the Plan</w:t>
            </w:r>
          </w:p>
        </w:tc>
      </w:tr>
      <w:tr>
        <w:trPr>
          <w:trHeight w:val="201"/>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Units  indicated  on  page  1  hereof  which</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days of the date of such expiration).</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shall be controlling and determinative.</w:t>
            </w:r>
          </w:p>
        </w:tc>
      </w:tr>
      <w:tr>
        <w:trPr>
          <w:trHeight w:val="204"/>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represent the right to receive shares of the</w:t>
            </w: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6.</w:t>
            </w: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Restrictions on Transfer. </w:t>
            </w:r>
            <w:r>
              <w:rPr>
                <w:rFonts w:ascii="Times New Roman" w:cs="Times New Roman" w:eastAsia="Times New Roman" w:hAnsi="Times New Roman"/>
                <w:sz w:val="16"/>
                <w:szCs w:val="16"/>
                <w:color w:val="auto"/>
              </w:rPr>
              <w:t>No right or interest of</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Severability. </w:t>
            </w:r>
            <w:r>
              <w:rPr>
                <w:rFonts w:ascii="Times New Roman" w:cs="Times New Roman" w:eastAsia="Times New Roman" w:hAnsi="Times New Roman"/>
                <w:sz w:val="16"/>
                <w:szCs w:val="16"/>
                <w:color w:val="auto"/>
              </w:rPr>
              <w:t>If any one or more of the</w:t>
            </w:r>
          </w:p>
        </w:tc>
      </w:tr>
      <w:tr>
        <w:trPr>
          <w:trHeight w:val="201"/>
        </w:trPr>
        <w:tc>
          <w:tcPr>
            <w:tcW w:w="180" w:type="dxa"/>
            <w:vAlign w:val="bottom"/>
          </w:tcPr>
          <w:p>
            <w:pPr>
              <w:spacing w:after="0"/>
              <w:rPr>
                <w:sz w:val="17"/>
                <w:szCs w:val="17"/>
                <w:color w:val="auto"/>
              </w:rPr>
            </w:pPr>
          </w:p>
        </w:tc>
        <w:tc>
          <w:tcPr>
            <w:tcW w:w="13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Company’s Stock.</w:t>
            </w: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Grantee  in  the  Units  may  be  pledged,</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provisions contained in this Agreement is</w:t>
            </w:r>
          </w:p>
        </w:tc>
      </w:tr>
      <w:tr>
        <w:trPr>
          <w:trHeight w:val="204"/>
        </w:trPr>
        <w:tc>
          <w:tcPr>
            <w:tcW w:w="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2.   </w:t>
            </w:r>
            <w:r>
              <w:rPr>
                <w:rFonts w:ascii="Times New Roman" w:cs="Times New Roman" w:eastAsia="Times New Roman" w:hAnsi="Times New Roman"/>
                <w:sz w:val="16"/>
                <w:szCs w:val="16"/>
                <w:b w:val="1"/>
                <w:bCs w:val="1"/>
                <w:color w:val="auto"/>
              </w:rPr>
              <w:t>Vesting</w:t>
            </w:r>
          </w:p>
        </w:tc>
        <w:tc>
          <w:tcPr>
            <w:tcW w:w="2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of</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Units. </w:t>
            </w:r>
            <w:r>
              <w:rPr>
                <w:rFonts w:ascii="Times New Roman" w:cs="Times New Roman" w:eastAsia="Times New Roman" w:hAnsi="Times New Roman"/>
                <w:sz w:val="16"/>
                <w:szCs w:val="16"/>
                <w:color w:val="auto"/>
              </w:rPr>
              <w:t>The  Units  have  been</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hypothecated or otherwise encumbered to or in</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invalid, illegal or unenforceable, the other</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credited to a bookkeeping account on behalf</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favor of any party other than the Company or an</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provisions  of  this  Agreement  will  be</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of Grantee. The Units will vest and become</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Affiliate, or be subjected to any lien, obligation</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construed and enforced as if the invalid,</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non-forfeitable on the earliest to occur of the</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 liability of Grantee to any other party other</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illegal  or  unenforceable  provision  had</w:t>
            </w:r>
          </w:p>
        </w:tc>
      </w:tr>
      <w:tr>
        <w:trPr>
          <w:trHeight w:val="201"/>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following (each, a “Vesting Date”):</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than the Company or an Affiliate. Units are not</w:t>
            </w:r>
          </w:p>
        </w:tc>
        <w:tc>
          <w:tcPr>
            <w:tcW w:w="320" w:type="dxa"/>
            <w:vAlign w:val="bottom"/>
          </w:tcPr>
          <w:p>
            <w:pPr>
              <w:spacing w:after="0"/>
              <w:rPr>
                <w:sz w:val="17"/>
                <w:szCs w:val="17"/>
                <w:color w:val="auto"/>
              </w:rPr>
            </w:pPr>
          </w:p>
        </w:tc>
        <w:tc>
          <w:tcPr>
            <w:tcW w:w="22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never been included.</w:t>
            </w:r>
          </w:p>
        </w:tc>
        <w:tc>
          <w:tcPr>
            <w:tcW w:w="64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(a) ___% of the Units shall vest upon the</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assignable or transferable by Grantee other than</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Successors.  </w:t>
            </w:r>
            <w:r>
              <w:rPr>
                <w:rFonts w:ascii="Times New Roman" w:cs="Times New Roman" w:eastAsia="Times New Roman" w:hAnsi="Times New Roman"/>
                <w:sz w:val="16"/>
                <w:szCs w:val="16"/>
                <w:color w:val="auto"/>
              </w:rPr>
              <w:t>This  Agreement  shall  be</w:t>
            </w:r>
          </w:p>
        </w:tc>
      </w:tr>
      <w:tr>
        <w:trPr>
          <w:trHeight w:val="201"/>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Company achieving at any time during the</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by will or the laws of descent and distribution.</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binding  upon  any  successor  of  the</w:t>
            </w:r>
          </w:p>
        </w:tc>
      </w:tr>
      <w:tr>
        <w:trPr>
          <w:trHeight w:val="204"/>
        </w:trPr>
        <w:tc>
          <w:tcPr>
            <w:tcW w:w="18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Performance</w:t>
            </w:r>
          </w:p>
        </w:tc>
        <w:tc>
          <w:tcPr>
            <w:tcW w:w="4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Period</w:t>
            </w: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7.</w:t>
            </w: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Limitation of Rights. </w:t>
            </w:r>
            <w:r>
              <w:rPr>
                <w:rFonts w:ascii="Times New Roman" w:cs="Times New Roman" w:eastAsia="Times New Roman" w:hAnsi="Times New Roman"/>
                <w:sz w:val="16"/>
                <w:szCs w:val="16"/>
                <w:color w:val="auto"/>
              </w:rPr>
              <w:t>The Units do not confer to</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Company, in accordance with the terms of</w:t>
            </w:r>
          </w:p>
        </w:tc>
      </w:tr>
      <w:tr>
        <w:trPr>
          <w:trHeight w:val="201"/>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[___________________], subject to either (i)</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Grantee or Grantee’s beneficiary any rights of a</w:t>
            </w:r>
          </w:p>
        </w:tc>
        <w:tc>
          <w:tcPr>
            <w:tcW w:w="320" w:type="dxa"/>
            <w:vAlign w:val="bottom"/>
          </w:tcPr>
          <w:p>
            <w:pPr>
              <w:spacing w:after="0"/>
              <w:rPr>
                <w:sz w:val="17"/>
                <w:szCs w:val="17"/>
                <w:color w:val="auto"/>
              </w:rPr>
            </w:pPr>
          </w:p>
        </w:tc>
        <w:tc>
          <w:tcPr>
            <w:tcW w:w="22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this Agreement and the Plan.</w:t>
            </w:r>
          </w:p>
        </w:tc>
        <w:tc>
          <w:tcPr>
            <w:tcW w:w="64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Grantee’s  Continuous  Service  with  the</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stockholder of the Company unless and until</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Notice. </w:t>
            </w:r>
            <w:r>
              <w:rPr>
                <w:rFonts w:ascii="Times New Roman" w:cs="Times New Roman" w:eastAsia="Times New Roman" w:hAnsi="Times New Roman"/>
                <w:sz w:val="16"/>
                <w:szCs w:val="16"/>
                <w:color w:val="auto"/>
              </w:rPr>
              <w:t>Notices and communications under</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Company   through   such   date,   or   (ii)</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shares of Stock are in fact issued to such person</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this  Agreement  must  be  in  writing  and</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termination of Grantee’s Continuous Service</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 connection with the Units. Nothing in this</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either  personally  delivered  or  sent  by</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prior to such date by reason of Grantee’s</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Agreement shall interfere with or limit in any</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registered or certified United States mail,</w:t>
            </w:r>
          </w:p>
        </w:tc>
      </w:tr>
      <w:tr>
        <w:trPr>
          <w:trHeight w:val="203"/>
        </w:trPr>
        <w:tc>
          <w:tcPr>
            <w:tcW w:w="180" w:type="dxa"/>
            <w:vAlign w:val="bottom"/>
          </w:tcPr>
          <w:p>
            <w:pPr>
              <w:spacing w:after="0"/>
              <w:rPr>
                <w:sz w:val="17"/>
                <w:szCs w:val="17"/>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death or Disability;</w:t>
            </w: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way  the  right  of  the  Company  to  terminate</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return receipt requested, postage prepaid.</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(b) Upon a Change in Control, if the Units are</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Grantee’s employment at any time, nor confer</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Notices to the Company must be addressed</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not assumed, converted, or substituted by the</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upon Grantee any right to continue in the employ</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to Citi Trends, Inc., 104 Coleman Blvd.</w:t>
            </w:r>
          </w:p>
        </w:tc>
      </w:tr>
      <w:tr>
        <w:trPr>
          <w:trHeight w:val="201"/>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surviving entity, 100% of the Units shall vest,</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of the Company.</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Savannah, GA 31408, Attn: Secretary, or</w:t>
            </w:r>
          </w:p>
        </w:tc>
      </w:tr>
      <w:tr>
        <w:trPr>
          <w:trHeight w:val="204"/>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subject to Grantee’s Continuous Service on</w:t>
            </w: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w:t>
            </w: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Payment of Taxes. </w:t>
            </w:r>
            <w:r>
              <w:rPr>
                <w:rFonts w:ascii="Times New Roman" w:cs="Times New Roman" w:eastAsia="Times New Roman" w:hAnsi="Times New Roman"/>
                <w:sz w:val="16"/>
                <w:szCs w:val="16"/>
                <w:color w:val="auto"/>
              </w:rPr>
              <w:t>Grantee will, no later than</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any  other  address  designated  by  the</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the date of the Change in Control;</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the date as of which the Units first become</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Company in a written notice to Grantee.</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(c) If the Units are assumed, converted, or</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includable in Grantee’s gross income for federal</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Notices to Grantee will be directed to the</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substituted  by  the  surviving  entity  in</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income tax purposes, pay to the Company, or</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address of Grantee then currently on file</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connection with a Change in Control, 100%</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make  other  arrangements  satisfactory  to  the</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with the Company, or at any other address</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of the Units shall vest upon the termination of</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Committee regarding payment of, any federal,</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given by Grantee in a written notice to the</w:t>
            </w:r>
          </w:p>
        </w:tc>
      </w:tr>
      <w:tr>
        <w:trPr>
          <w:trHeight w:val="200"/>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Grantee’s  employment  by  the  Company</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state and local taxes of any kind required by law</w:t>
            </w:r>
          </w:p>
        </w:tc>
        <w:tc>
          <w:tcPr>
            <w:tcW w:w="320" w:type="dxa"/>
            <w:vAlign w:val="bottom"/>
          </w:tcPr>
          <w:p>
            <w:pPr>
              <w:spacing w:after="0"/>
              <w:rPr>
                <w:sz w:val="17"/>
                <w:szCs w:val="17"/>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Company.</w:t>
            </w: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5"/>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without Cause or resignation by Grantee for</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 be withheld with respect to such amount. To</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Definition  of  Adjusted  EBITDA.  </w:t>
            </w:r>
            <w:r>
              <w:rPr>
                <w:rFonts w:ascii="Times New Roman" w:cs="Times New Roman" w:eastAsia="Times New Roman" w:hAnsi="Times New Roman"/>
                <w:sz w:val="16"/>
                <w:szCs w:val="16"/>
                <w:color w:val="auto"/>
              </w:rPr>
              <w:t>For</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Good Reason (as provided in any applicable</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the extent not prohibited by applicable laws or</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purposes  of  this  Agreement,  “Adjusted</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agreement)  within  twelve  (12)  months</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regulations, Grantee may elect that any such</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EBITDA” means EBITDA as adjusted for</w:t>
            </w:r>
          </w:p>
        </w:tc>
      </w:tr>
      <w:tr>
        <w:trPr>
          <w:trHeight w:val="202"/>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following such Change in Control.</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withholding requirement be satisfied, in whole or</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bonus and equity expense and certain other</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Any Units that fail to vest in accordance with</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 part, by having the Company withhold from</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unusual or non-recurring items (including,</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the terms of this Agreement will be forfeited</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the Units upon settlement a number of shares of</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but   not   limited   to,   unplanned   and</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and  reconveyed  to  the  Company  without</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having a Fair Market Value on the date of</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significant costs related to litigation, claim</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further consideration or any act or action by</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withholding, equal to the minimum amount (and</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judgments, settlements or proxy contests).</w:t>
            </w:r>
          </w:p>
        </w:tc>
      </w:tr>
      <w:tr>
        <w:trPr>
          <w:trHeight w:val="200"/>
        </w:trPr>
        <w:tc>
          <w:tcPr>
            <w:tcW w:w="180" w:type="dxa"/>
            <w:vAlign w:val="bottom"/>
          </w:tcPr>
          <w:p>
            <w:pPr>
              <w:spacing w:after="0"/>
              <w:rPr>
                <w:sz w:val="17"/>
                <w:szCs w:val="17"/>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Grantee.</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not any greater amount) required to be withheld</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Such  adjustments  for  unusual  or  non-</w:t>
            </w:r>
          </w:p>
        </w:tc>
      </w:tr>
      <w:tr>
        <w:trPr>
          <w:trHeight w:val="205"/>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13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Termination  of</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Continuous  Service. </w:t>
            </w:r>
            <w:r>
              <w:rPr>
                <w:rFonts w:ascii="Times New Roman" w:cs="Times New Roman" w:eastAsia="Times New Roman" w:hAnsi="Times New Roman"/>
                <w:sz w:val="16"/>
                <w:szCs w:val="16"/>
                <w:color w:val="auto"/>
              </w:rPr>
              <w:t>If</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for tax purposes, all in accordance with such</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recurring  items  must  have  also  been</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Grantee’s employment is terminated for any</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procedures as the Committee establishes. The</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approved as adjustments by the Committee</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reason other than death or Disability prior to</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obligations   of   the   Company   under   this</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for  the  calculation  of  bonuses  under</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the Vesting Date, then all of the Units will</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Agreement will be conditional on such payment</w:t>
            </w:r>
          </w:p>
        </w:tc>
        <w:tc>
          <w:tcPr>
            <w:tcW w:w="320" w:type="dxa"/>
            <w:vAlign w:val="bottom"/>
          </w:tcPr>
          <w:p>
            <w:pPr>
              <w:spacing w:after="0"/>
              <w:rPr>
                <w:sz w:val="17"/>
                <w:szCs w:val="17"/>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management’s</w:t>
            </w: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annual   cash</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incentive</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be forfeited and reconveyed to the Company</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 arrangements, and the Company will, to the</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program for the fiscal year under which</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on the date of termination without further</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extent permitted by law, have the right to deduct</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Adjusted EBITDA is being calculated for</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consideration  or  any  act  or  action  by</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any such taxes from the award or any payment of</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this  Agreement.  For  purposes  of  this</w:t>
            </w:r>
          </w:p>
        </w:tc>
      </w:tr>
      <w:tr>
        <w:trPr>
          <w:trHeight w:val="200"/>
        </w:trPr>
        <w:tc>
          <w:tcPr>
            <w:tcW w:w="180" w:type="dxa"/>
            <w:vAlign w:val="bottom"/>
          </w:tcPr>
          <w:p>
            <w:pPr>
              <w:spacing w:after="0"/>
              <w:rPr>
                <w:sz w:val="17"/>
                <w:szCs w:val="17"/>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Grantee.</w:t>
            </w:r>
          </w:p>
        </w:tc>
        <w:tc>
          <w:tcPr>
            <w:tcW w:w="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any kind otherwise due to Grantee.</w:t>
            </w:r>
          </w:p>
        </w:tc>
        <w:tc>
          <w:tcPr>
            <w:tcW w:w="320" w:type="dxa"/>
            <w:vAlign w:val="bottom"/>
          </w:tcPr>
          <w:p>
            <w:pPr>
              <w:spacing w:after="0"/>
              <w:rPr>
                <w:sz w:val="17"/>
                <w:szCs w:val="17"/>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Agreement,  the</w:t>
            </w:r>
          </w:p>
        </w:tc>
        <w:tc>
          <w:tcPr>
            <w:tcW w:w="1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“Performance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Period”</w:t>
            </w:r>
          </w:p>
        </w:tc>
      </w:tr>
      <w:tr>
        <w:trPr>
          <w:trHeight w:val="205"/>
        </w:trPr>
        <w:tc>
          <w:tcPr>
            <w:tcW w:w="33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xml:space="preserve">4.   </w:t>
            </w:r>
            <w:r>
              <w:rPr>
                <w:rFonts w:ascii="Times New Roman" w:cs="Times New Roman" w:eastAsia="Times New Roman" w:hAnsi="Times New Roman"/>
                <w:sz w:val="16"/>
                <w:szCs w:val="16"/>
                <w:b w:val="1"/>
                <w:bCs w:val="1"/>
                <w:color w:val="auto"/>
              </w:rPr>
              <w:t>Conversion to Stock.</w:t>
            </w:r>
            <w:r>
              <w:rPr>
                <w:rFonts w:ascii="Times New Roman" w:cs="Times New Roman" w:eastAsia="Times New Roman" w:hAnsi="Times New Roman"/>
                <w:sz w:val="16"/>
                <w:szCs w:val="16"/>
                <w:color w:val="auto"/>
              </w:rPr>
              <w:t xml:space="preserve"> Unless the Units are</w:t>
            </w:r>
          </w:p>
        </w:tc>
        <w:tc>
          <w:tcPr>
            <w:tcW w:w="300" w:type="dxa"/>
            <w:vAlign w:val="bottom"/>
          </w:tcPr>
          <w:p>
            <w:pPr>
              <w:spacing w:after="0"/>
              <w:rPr>
                <w:sz w:val="17"/>
                <w:szCs w:val="17"/>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Unless otherwise determined by the Committee,</w:t>
            </w:r>
          </w:p>
        </w:tc>
        <w:tc>
          <w:tcPr>
            <w:tcW w:w="320" w:type="dxa"/>
            <w:vAlign w:val="bottom"/>
          </w:tcPr>
          <w:p>
            <w:pPr>
              <w:spacing w:after="0"/>
              <w:rPr>
                <w:sz w:val="17"/>
                <w:szCs w:val="17"/>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commences on May 5, 2025, and concludes</w:t>
            </w: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forfeited  prior  to  the  Vesting  Date  as</w:t>
            </w:r>
          </w:p>
        </w:tc>
        <w:tc>
          <w:tcPr>
            <w:tcW w:w="300" w:type="dxa"/>
            <w:vAlign w:val="bottom"/>
          </w:tcPr>
          <w:p>
            <w:pPr>
              <w:spacing w:after="0"/>
              <w:rPr>
                <w:sz w:val="17"/>
                <w:szCs w:val="17"/>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withholding requirement shall be satisfied by</w:t>
            </w:r>
          </w:p>
        </w:tc>
        <w:tc>
          <w:tcPr>
            <w:tcW w:w="320" w:type="dxa"/>
            <w:vAlign w:val="bottom"/>
          </w:tcPr>
          <w:p>
            <w:pPr>
              <w:spacing w:after="0"/>
              <w:rPr>
                <w:sz w:val="17"/>
                <w:szCs w:val="17"/>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on May 4, 2028.</w:t>
            </w: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provided in section 3 above, the Units will</w:t>
            </w:r>
          </w:p>
        </w:tc>
        <w:tc>
          <w:tcPr>
            <w:tcW w:w="300" w:type="dxa"/>
            <w:vAlign w:val="bottom"/>
          </w:tcPr>
          <w:p>
            <w:pPr>
              <w:spacing w:after="0"/>
              <w:rPr>
                <w:sz w:val="17"/>
                <w:szCs w:val="17"/>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withholding Shares having a Fair Market Value on</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be converted on the Vesting Date to actual</w:t>
            </w:r>
          </w:p>
        </w:tc>
        <w:tc>
          <w:tcPr>
            <w:tcW w:w="300" w:type="dxa"/>
            <w:vAlign w:val="bottom"/>
          </w:tcPr>
          <w:p>
            <w:pPr>
              <w:spacing w:after="0"/>
              <w:rPr>
                <w:sz w:val="17"/>
                <w:szCs w:val="17"/>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date  of  withholding  equal  to  the  amount</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shares of Stock, and such Shares will be</w:t>
            </w:r>
          </w:p>
        </w:tc>
        <w:tc>
          <w:tcPr>
            <w:tcW w:w="300" w:type="dxa"/>
            <w:vAlign w:val="bottom"/>
          </w:tcPr>
          <w:p>
            <w:pPr>
              <w:spacing w:after="0"/>
              <w:rPr>
                <w:sz w:val="17"/>
                <w:szCs w:val="17"/>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required  to  be  withheld  in  accordance  with</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0"/>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registered on the books of the Company in</w:t>
            </w:r>
          </w:p>
        </w:tc>
        <w:tc>
          <w:tcPr>
            <w:tcW w:w="300" w:type="dxa"/>
            <w:vAlign w:val="bottom"/>
          </w:tcPr>
          <w:p>
            <w:pPr>
              <w:spacing w:after="0"/>
              <w:rPr>
                <w:sz w:val="17"/>
                <w:szCs w:val="17"/>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applicable tax requirements.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5"/>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the name of Grantee (or in street name to</w:t>
            </w: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9.</w:t>
            </w: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Amendment.  </w:t>
            </w:r>
            <w:r>
              <w:rPr>
                <w:rFonts w:ascii="Times New Roman" w:cs="Times New Roman" w:eastAsia="Times New Roman" w:hAnsi="Times New Roman"/>
                <w:sz w:val="16"/>
                <w:szCs w:val="16"/>
                <w:color w:val="auto"/>
              </w:rPr>
              <w:t>The  Committee  may  amend,</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2"/>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Grantee’s  brokerage  account)  as  of  the</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modify  or  terminate  this  Certificate  without</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Vesting Date in uncertificated (book-entry)</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approval  of  Grantee;  provided,  however,  that</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form  unless  Grantee  requests  a  stock</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such  amendment,  modification  or  termination</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0"/>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certificate or certificates for the Shares.</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shall not, without Grantee’s consent, reduce or</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5"/>
        </w:trPr>
        <w:tc>
          <w:tcPr>
            <w:tcW w:w="33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xml:space="preserve">5.   </w:t>
            </w:r>
            <w:r>
              <w:rPr>
                <w:rFonts w:ascii="Times New Roman" w:cs="Times New Roman" w:eastAsia="Times New Roman" w:hAnsi="Times New Roman"/>
                <w:sz w:val="16"/>
                <w:szCs w:val="16"/>
                <w:b w:val="1"/>
                <w:bCs w:val="1"/>
                <w:color w:val="auto"/>
              </w:rPr>
              <w:t>Dividend Rights.</w:t>
            </w:r>
            <w:r>
              <w:rPr>
                <w:rFonts w:ascii="Times New Roman" w:cs="Times New Roman" w:eastAsia="Times New Roman" w:hAnsi="Times New Roman"/>
                <w:sz w:val="16"/>
                <w:szCs w:val="16"/>
                <w:color w:val="auto"/>
              </w:rPr>
              <w:t xml:space="preserve"> Grantee shall accrue cash</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diminish the value of this award determined as if</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and non-cash dividends, if any, paid with</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it had been fully vested (i.e., as if all restrictions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respect to the Stock, but the payment of such</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on the Units hereunder had expired) on the date</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0"/>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dividends  shall  be  deferred  and  held</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of such amendment or termination.</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5"/>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(without interest) by the Company for the</w:t>
            </w: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w:t>
            </w: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Plan Controls. </w:t>
            </w:r>
            <w:r>
              <w:rPr>
                <w:rFonts w:ascii="Times New Roman" w:cs="Times New Roman" w:eastAsia="Times New Roman" w:hAnsi="Times New Roman"/>
                <w:sz w:val="16"/>
                <w:szCs w:val="16"/>
                <w:color w:val="auto"/>
              </w:rPr>
              <w:t>The terms contained in the Plan</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account of Grantee until the expiration of</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are incorporated into and made a part of this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the  restrictions  set  forth  in  this  award</w:t>
            </w:r>
          </w:p>
        </w:tc>
        <w:tc>
          <w:tcPr>
            <w:tcW w:w="30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Agreement and this Agreement shall</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0"/>
        </w:trPr>
        <w:tc>
          <w:tcPr>
            <w:tcW w:w="180" w:type="dxa"/>
            <w:vAlign w:val="bottom"/>
          </w:tcPr>
          <w:p>
            <w:pPr>
              <w:spacing w:after="0"/>
              <w:rPr>
                <w:sz w:val="18"/>
                <w:szCs w:val="18"/>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agreement. Such dividends shall be subject</w:t>
            </w:r>
          </w:p>
        </w:tc>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r>
    </w:tbl>
    <w:p>
      <w:pPr>
        <w:ind w:left="320"/>
        <w:spacing w:after="0"/>
        <w:rPr>
          <w:sz w:val="20"/>
          <w:szCs w:val="20"/>
          <w:color w:val="auto"/>
        </w:rPr>
      </w:pPr>
      <w:r>
        <w:rPr>
          <w:rFonts w:ascii="Times New Roman" w:cs="Times New Roman" w:eastAsia="Times New Roman" w:hAnsi="Times New Roman"/>
          <w:sz w:val="16"/>
          <w:szCs w:val="16"/>
          <w:color w:val="auto"/>
        </w:rPr>
        <w:t>to the same vesting restrictions as the Stock</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to which they</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648081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00"/>
          </w:cols>
          <w:pgMar w:left="840" w:top="353" w:right="85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Kenneth D. Seipel, certify that:</w:t>
      </w:r>
    </w:p>
    <w:p>
      <w:pPr>
        <w:spacing w:after="0" w:line="208"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August 2, 2025 of Citi Trends, Inc.;</w:t>
      </w:r>
    </w:p>
    <w:p>
      <w:pPr>
        <w:spacing w:after="0" w:line="194" w:lineRule="exact"/>
        <w:rPr>
          <w:rFonts w:ascii="Arial" w:cs="Arial" w:eastAsia="Arial" w:hAnsi="Arial"/>
          <w:sz w:val="16"/>
          <w:szCs w:val="16"/>
          <w:color w:val="auto"/>
        </w:rPr>
      </w:pPr>
    </w:p>
    <w:p>
      <w:pPr>
        <w:ind w:left="660" w:right="140" w:hanging="652"/>
        <w:spacing w:after="0" w:line="26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left="660" w:right="460" w:hanging="652"/>
        <w:spacing w:after="0" w:line="275"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6"/>
          <w:szCs w:val="16"/>
          <w:color w:val="auto"/>
        </w:rPr>
      </w:pPr>
    </w:p>
    <w:p>
      <w:pPr>
        <w:ind w:left="1300" w:right="160" w:hanging="644"/>
        <w:spacing w:after="0" w:line="259"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300" w:right="160" w:hanging="644"/>
        <w:spacing w:after="0" w:line="266"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6"/>
          <w:szCs w:val="16"/>
          <w:color w:val="auto"/>
        </w:rPr>
      </w:pPr>
    </w:p>
    <w:p>
      <w:pPr>
        <w:ind w:left="1300" w:right="240" w:hanging="644"/>
        <w:spacing w:after="0" w:line="275"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300" w:hanging="644"/>
        <w:spacing w:after="0" w:line="275"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660" w:right="40" w:hanging="652"/>
        <w:spacing w:after="0" w:line="26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jc w:val="both"/>
        <w:ind w:left="1300" w:right="80" w:hanging="644"/>
        <w:spacing w:after="0" w:line="275"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300" w:right="380" w:hanging="644"/>
        <w:spacing w:after="0" w:line="304"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10, 2025</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231F20"/>
        </w:rPr>
        <w:t>/s/ Kenneth D. Seipel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31F20"/>
        </w:rPr>
        <w:t>Kenneth D. Seipel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33775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231F20"/>
        </w:rPr>
        <w:t>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(Principal Executive Officer)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493395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Heather Plutino, certify that:</w:t>
      </w:r>
    </w:p>
    <w:p>
      <w:pPr>
        <w:spacing w:after="0" w:line="208"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August 2, 2025 of Citi Trends, Inc.</w:t>
      </w:r>
    </w:p>
    <w:p>
      <w:pPr>
        <w:spacing w:after="0" w:line="194" w:lineRule="exact"/>
        <w:rPr>
          <w:rFonts w:ascii="Arial" w:cs="Arial" w:eastAsia="Arial" w:hAnsi="Arial"/>
          <w:sz w:val="16"/>
          <w:szCs w:val="16"/>
          <w:color w:val="auto"/>
        </w:rPr>
      </w:pPr>
    </w:p>
    <w:p>
      <w:pPr>
        <w:ind w:left="660" w:right="140" w:hanging="652"/>
        <w:spacing w:after="0" w:line="266"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left="660" w:right="460" w:hanging="652"/>
        <w:spacing w:after="0" w:line="275"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6"/>
          <w:szCs w:val="16"/>
          <w:color w:val="auto"/>
        </w:rPr>
      </w:pPr>
    </w:p>
    <w:p>
      <w:pPr>
        <w:ind w:left="1300" w:right="160" w:hanging="644"/>
        <w:spacing w:after="0" w:line="259"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300" w:right="160" w:hanging="644"/>
        <w:spacing w:after="0" w:line="266"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6"/>
          <w:szCs w:val="16"/>
          <w:color w:val="auto"/>
        </w:rPr>
      </w:pPr>
    </w:p>
    <w:p>
      <w:pPr>
        <w:ind w:left="1300" w:right="240" w:hanging="644"/>
        <w:spacing w:after="0" w:line="275"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300" w:hanging="644"/>
        <w:spacing w:after="0" w:line="275"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660" w:right="40" w:hanging="652"/>
        <w:spacing w:after="0" w:line="266"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jc w:val="both"/>
        <w:ind w:left="1300" w:right="80" w:hanging="644"/>
        <w:spacing w:after="0" w:line="275"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300" w:right="380" w:hanging="644"/>
        <w:spacing w:after="0" w:line="304"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10, 2025</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Heather Plutino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33775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231F20"/>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493395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6" w:name="page27"/>
    <w:bookmarkEnd w:id="26"/>
    <w:p>
      <w:pPr>
        <w:jc w:val="right"/>
        <w:ind w:right="59"/>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Certifications pursuant to Section 906 of the Sarbanes-Oxley Act of 2002 (18 U.S.C. § 1350, as adopted).</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Kenneth D. Seipel, Chief Executive Officer of Citi Trends, Inc.,</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Heather Plutino, Chief Financial officer of Citi Trends, Inc., certify that:</w:t>
      </w:r>
    </w:p>
    <w:p>
      <w:pPr>
        <w:spacing w:after="0" w:line="208" w:lineRule="exact"/>
        <w:rPr>
          <w:sz w:val="20"/>
          <w:szCs w:val="20"/>
          <w:color w:val="auto"/>
        </w:rPr>
      </w:pPr>
    </w:p>
    <w:p>
      <w:pPr>
        <w:ind w:left="220" w:hanging="176"/>
        <w:spacing w:after="0"/>
        <w:tabs>
          <w:tab w:leader="none" w:pos="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have reviewed this quarterly report on Form 10-Q of Citi Trends, Inc. for the period ended August 2, 2025;</w:t>
      </w:r>
    </w:p>
    <w:p>
      <w:pPr>
        <w:spacing w:after="0" w:line="194" w:lineRule="exact"/>
        <w:rPr>
          <w:rFonts w:ascii="Arial" w:cs="Arial" w:eastAsia="Arial" w:hAnsi="Arial"/>
          <w:sz w:val="16"/>
          <w:szCs w:val="16"/>
          <w:color w:val="auto"/>
        </w:rPr>
      </w:pPr>
    </w:p>
    <w:p>
      <w:pPr>
        <w:ind w:left="40" w:right="79" w:firstLine="4"/>
        <w:spacing w:after="0" w:line="286" w:lineRule="auto"/>
        <w:tabs>
          <w:tab w:leader="none" w:pos="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our knowledge, this quarterly report fully complies with the requirements of Section 13(a) or Section 15(d) of the Securities Exchange Act of 1934, as amended; and</w:t>
      </w:r>
    </w:p>
    <w:p>
      <w:pPr>
        <w:spacing w:after="0" w:line="142" w:lineRule="exact"/>
        <w:rPr>
          <w:rFonts w:ascii="Arial" w:cs="Arial" w:eastAsia="Arial" w:hAnsi="Arial"/>
          <w:sz w:val="16"/>
          <w:szCs w:val="16"/>
          <w:color w:val="auto"/>
        </w:rPr>
      </w:pPr>
    </w:p>
    <w:p>
      <w:pPr>
        <w:jc w:val="both"/>
        <w:ind w:left="40" w:right="139" w:firstLine="4"/>
        <w:spacing w:after="0" w:line="275" w:lineRule="auto"/>
        <w:tabs>
          <w:tab w:leader="none" w:pos="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Date: September 10, 2025</w:t>
      </w:r>
    </w:p>
    <w:p>
      <w:pPr>
        <w:spacing w:after="0" w:line="397"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Kenneth D. Seipel</w:t>
      </w:r>
    </w:p>
    <w:p>
      <w:pPr>
        <w:spacing w:after="0" w:line="32"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Kenneth D. Seipel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-115570</wp:posOffset>
            </wp:positionV>
            <wp:extent cx="29832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1"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Chief Executive Officer</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(Principal Executive Officer) and Chairman</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Date: September 10, 2025</w:t>
      </w:r>
    </w:p>
    <w:p>
      <w:pPr>
        <w:spacing w:after="0" w:line="397"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Heather Plutino</w:t>
      </w:r>
    </w:p>
    <w:p>
      <w:pPr>
        <w:spacing w:after="0" w:line="32"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-115570</wp:posOffset>
            </wp:positionV>
            <wp:extent cx="29832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1"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Chief Financial Officer</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(Principal Financial Officer)</w:t>
      </w:r>
    </w:p>
    <w:p>
      <w:pPr>
        <w:spacing w:after="0" w:line="398" w:lineRule="exact"/>
        <w:rPr>
          <w:sz w:val="20"/>
          <w:szCs w:val="20"/>
          <w:color w:val="auto"/>
        </w:rPr>
      </w:pPr>
    </w:p>
    <w:p>
      <w:pPr>
        <w:ind w:left="40" w:right="99"/>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313690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5"/>
    </w:lvl>
  </w:abstractNum>
  <w:abstractNum w:abstractNumId="7">
    <w:nsid w:val="25E45D32"/>
    <w:multiLevelType w:val="hybridMultilevel"/>
    <w:lvl w:ilvl="0">
      <w:lvlJc w:val="left"/>
      <w:lvlText w:val="%1."/>
      <w:numFmt w:val="decimal"/>
      <w:start w:val="6"/>
    </w:lvl>
  </w:abstractNum>
  <w:abstractNum w:abstractNumId="8">
    <w:nsid w:val="519B500D"/>
    <w:multiLevelType w:val="hybridMultilevel"/>
    <w:lvl w:ilvl="0">
      <w:lvlJc w:val="left"/>
      <w:lvlText w:val="%1."/>
      <w:numFmt w:val="decimal"/>
      <w:start w:val="7"/>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1."/>
      <w:numFmt w:val="decimal"/>
      <w:start w:val="9"/>
    </w:lvl>
  </w:abstractNum>
  <w:abstractNum w:abstractNumId="11">
    <w:nsid w:val="7C83E458"/>
    <w:multiLevelType w:val="hybridMultilevel"/>
    <w:lvl w:ilvl="0">
      <w:lvlJc w:val="left"/>
      <w:lvlText w:val="%1."/>
      <w:numFmt w:val="decimal"/>
      <w:start w:val="10"/>
    </w:lvl>
  </w:abstractNum>
  <w:abstractNum w:abstractNumId="12">
    <w:nsid w:val="257130A3"/>
    <w:multiLevelType w:val="hybridMultilevel"/>
    <w:lvl w:ilvl="0">
      <w:lvlJc w:val="left"/>
      <w:lvlText w:val="%1."/>
      <w:numFmt w:val="decimal"/>
      <w:start w:val="1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2"/>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01"/>
    </w:lvl>
  </w:abstractNum>
  <w:abstractNum w:abstractNumId="17">
    <w:nsid w:val="721DA317"/>
    <w:multiLevelType w:val="hybridMultilevel"/>
    <w:lvl w:ilvl="0">
      <w:lvlJc w:val="left"/>
      <w:lvlText w:val="+"/>
      <w:numFmt w:val="bullet"/>
      <w:start w:val="1"/>
    </w:lvl>
    <w:lvl w:ilvl="1">
      <w:lvlJc w:val="left"/>
      <w:lvlText w:val="%2"/>
      <w:numFmt w:val="decimal"/>
      <w:start w:val="104"/>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lvl w:ilvl="1">
      <w:lvlJc w:val="left"/>
      <w:lvlText w:val="(%2)"/>
      <w:numFmt w:val="lowerLetter"/>
      <w:start w:val="1"/>
    </w:lvl>
  </w:abstractNum>
  <w:abstractNum w:abstractNumId="20">
    <w:nsid w:val="6763845E"/>
    <w:multiLevelType w:val="hybridMultilevel"/>
    <w:lvl w:ilvl="0">
      <w:lvlJc w:val="left"/>
      <w:lvlText w:val="%1."/>
      <w:numFmt w:val="decimal"/>
      <w:start w:val="4"/>
    </w:lvl>
    <w:lvl w:ilvl="1">
      <w:lvlJc w:val="left"/>
      <w:lvlText w:val="(%2)"/>
      <w:numFmt w:val="lowerLetter"/>
      <w:start w:val="1"/>
    </w:lvl>
  </w:abstractNum>
  <w:abstractNum w:abstractNumId="21">
    <w:nsid w:val="75A2A8D4"/>
    <w:multiLevelType w:val="hybridMultilevel"/>
    <w:lvl w:ilvl="0">
      <w:lvlJc w:val="left"/>
      <w:lvlText w:val="%1"/>
      <w:numFmt w:val="decimal"/>
      <w:start w:val="1"/>
    </w:lvl>
    <w:lvl w:ilvl="1">
      <w:lvlJc w:val="left"/>
      <w:lvlText w:val="(%2)"/>
      <w:numFmt w:val="lowerLetter"/>
      <w:start w:val="2"/>
    </w:lvl>
  </w:abstractNum>
  <w:abstractNum w:abstractNumId="22">
    <w:nsid w:val="8EDBDAB"/>
    <w:multiLevelType w:val="hybridMultilevel"/>
    <w:lvl w:ilvl="0">
      <w:lvlJc w:val="left"/>
      <w:lvlText w:val="%1."/>
      <w:numFmt w:val="decimal"/>
      <w:start w:val="8"/>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30" Type="http://schemas.openxmlformats.org/officeDocument/2006/relationships/hyperlink" Target="http://www.sec.gov/Archives/edgar/data/1318484/000110465918038871/a18-15022_1ex3d1.htm" TargetMode="External"/><Relationship Id="rId31" Type="http://schemas.openxmlformats.org/officeDocument/2006/relationships/hyperlink" Target="https://www.sec.gov/Archives/edgar/data/1318484/000110465922113020/tm2229093d1_ex3-2.htm" TargetMode="External"/><Relationship Id="rId32" Type="http://schemas.openxmlformats.org/officeDocument/2006/relationships/hyperlink" Target="https://www.sec.gov/Archives/edgar/data/1318484/000110465925057851/tm251747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2025-09-10T11:24:35Z</dcterms:created>
  <dcterms:modified xsi:type="dcterms:W3CDTF">2025-09-10T11:24:35Z</dcterms:modified>
</cp:coreProperties>
</file>