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391160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2"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July 29, 2023</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80" w:right="980" w:hanging="3321"/>
        <w:spacing w:after="0" w:line="457" w:lineRule="auto"/>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77" w:lineRule="exact"/>
        <w:rPr>
          <w:sz w:val="24"/>
          <w:szCs w:val="24"/>
          <w:color w:val="auto"/>
        </w:rPr>
      </w:pPr>
    </w:p>
    <w:tbl>
      <w:tblPr>
        <w:tblLayout w:type="fixed"/>
        <w:tblInd w:w="1060" w:type="dxa"/>
        <w:tblCellMar>
          <w:top w:w="0" w:type="dxa"/>
          <w:left w:w="0" w:type="dxa"/>
          <w:bottom w:w="0" w:type="dxa"/>
          <w:right w:w="0" w:type="dxa"/>
        </w:tblCellMar>
      </w:tblPr>
      <w:tr>
        <w:trPr>
          <w:trHeight w:val="197"/>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207"/>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352"/>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197"/>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207"/>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35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140" w:type="dxa"/>
            <w:vAlign w:val="bottom"/>
            <w:tcBorders>
              <w:top w:val="single" w:sz="8" w:color="auto"/>
              <w:left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2900" w:type="dxa"/>
            <w:vAlign w:val="bottom"/>
            <w:tcBorders>
              <w:top w:val="single" w:sz="8" w:color="auto"/>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240" w:type="dxa"/>
            <w:vAlign w:val="bottom"/>
            <w:tcBorders>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260" w:type="dxa"/>
            <w:vAlign w:val="bottom"/>
            <w:tcBorders>
              <w:bottom w:val="single" w:sz="8" w:color="auto"/>
            </w:tcBorders>
          </w:tcPr>
          <w:p>
            <w:pPr>
              <w:spacing w:after="0"/>
              <w:rPr>
                <w:sz w:val="15"/>
                <w:szCs w:val="15"/>
                <w:color w:val="auto"/>
              </w:rPr>
            </w:pPr>
          </w:p>
        </w:tc>
        <w:tc>
          <w:tcPr>
            <w:tcW w:w="4240" w:type="dxa"/>
            <w:vAlign w:val="bottom"/>
            <w:tcBorders>
              <w:top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84" w:lineRule="exact"/>
        <w:rPr>
          <w:sz w:val="24"/>
          <w:szCs w:val="24"/>
          <w:color w:val="auto"/>
        </w:rPr>
      </w:pPr>
    </w:p>
    <w:p>
      <w:pPr>
        <w:ind w:right="60"/>
        <w:spacing w:after="0" w:line="26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ind w:right="60"/>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jc w:val="both"/>
        <w:ind w:right="160"/>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7" w:right="979" w:bottom="1440" w:gutter="0" w:footer="0" w:header="0"/>
        </w:sectPr>
      </w:pPr>
    </w:p>
    <w:p>
      <w:pPr>
        <w:spacing w:after="0" w:line="1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667"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sectPr>
          <w:pgSz w:w="11900" w:h="16838" w:orient="portrait"/>
          <w:cols w:equalWidth="0" w:num="2">
            <w:col w:w="5820" w:space="720"/>
            <w:col w:w="3400"/>
          </w:cols>
          <w:pgMar w:left="980" w:top="667" w:right="979" w:bottom="1440" w:gutter="0" w:footer="0" w:header="0"/>
          <w:type w:val="continuous"/>
        </w:sectPr>
      </w:pPr>
    </w:p>
    <w:p>
      <w:pPr>
        <w:ind w:right="7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right="760"/>
        <w:spacing w:after="0" w:line="29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23, 2023 the registrant had 8,564,057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667"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6"/>
              </w:rPr>
              <w:t>PART I</w:t>
            </w:r>
          </w:p>
        </w:tc>
        <w:tc>
          <w:tcPr>
            <w:tcW w:w="420" w:type="dxa"/>
            <w:vAlign w:val="bottom"/>
            <w:gridSpan w:val="2"/>
          </w:tcPr>
          <w:p>
            <w:pPr>
              <w:spacing w:after="0"/>
              <w:rPr>
                <w:sz w:val="14"/>
                <w:szCs w:val="14"/>
                <w:color w:val="auto"/>
              </w:rPr>
            </w:pPr>
          </w:p>
        </w:tc>
        <w:tc>
          <w:tcPr>
            <w:tcW w:w="2020" w:type="dxa"/>
            <w:vAlign w:val="bottom"/>
            <w:tcBorders>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9"/>
              </w:rPr>
              <w:t>FINANCIAL INFORMATION</w:t>
            </w:r>
          </w:p>
        </w:tc>
        <w:tc>
          <w:tcPr>
            <w:tcW w:w="6040" w:type="dxa"/>
            <w:vAlign w:val="bottom"/>
            <w:gridSpan w:val="17"/>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1</w:t>
            </w:r>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Financial Statements (unaudited)</w:t>
            </w:r>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Condensed Consolidated Balance Sheets</w:t>
            </w:r>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Condensed Consolidated Statements of Operations</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Condensed Consolidated Statements of Cash Flows</w:t>
            </w:r>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2</w:t>
            </w:r>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Controls and Procedures</w:t>
            </w:r>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2"/>
        </w:trPr>
        <w:tc>
          <w:tcPr>
            <w:tcW w:w="940" w:type="dxa"/>
            <w:vAlign w:val="bottom"/>
            <w:gridSpan w:val="4"/>
          </w:tcPr>
          <w:p>
            <w:pPr>
              <w:spacing w:after="0"/>
              <w:rPr>
                <w:sz w:val="20"/>
                <w:szCs w:val="20"/>
                <w:color w:val="auto"/>
              </w:rPr>
            </w:pPr>
            <w:r>
              <w:rPr>
                <w:rFonts w:ascii="Arial" w:cs="Arial" w:eastAsia="Arial" w:hAnsi="Arial"/>
                <w:sz w:val="16"/>
                <w:szCs w:val="16"/>
                <w:color w:val="0000EE"/>
              </w:rPr>
              <w:t>PART II</w:t>
            </w:r>
          </w:p>
        </w:tc>
        <w:tc>
          <w:tcPr>
            <w:tcW w:w="8060" w:type="dxa"/>
            <w:vAlign w:val="bottom"/>
            <w:gridSpan w:val="25"/>
          </w:tcPr>
          <w:p>
            <w:pPr>
              <w:spacing w:after="0"/>
              <w:rPr>
                <w:sz w:val="20"/>
                <w:szCs w:val="20"/>
                <w:color w:val="auto"/>
              </w:rPr>
            </w:pPr>
            <w:r>
              <w:rPr>
                <w:rFonts w:ascii="Arial" w:cs="Arial" w:eastAsia="Arial" w:hAnsi="Arial"/>
                <w:sz w:val="16"/>
                <w:szCs w:val="16"/>
                <w:color w:val="0000EE"/>
              </w:rPr>
              <w:t>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8"/>
              </w:rPr>
              <w:t>Item 1</w:t>
            </w:r>
          </w:p>
        </w:tc>
        <w:tc>
          <w:tcPr>
            <w:tcW w:w="100" w:type="dxa"/>
            <w:vAlign w:val="bottom"/>
            <w:tcBorders>
              <w:top w:val="single" w:sz="8" w:color="0000EE"/>
            </w:tcBorders>
            <w:gridSpan w:val="2"/>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Legal Proceedings</w:t>
            </w:r>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sz w:val="20"/>
                <w:szCs w:val="20"/>
                <w:color w:val="auto"/>
              </w:rPr>
            </w:pPr>
            <w:r>
              <w:rPr>
                <w:rFonts w:ascii="Arial" w:cs="Arial" w:eastAsia="Arial" w:hAnsi="Arial"/>
                <w:sz w:val="16"/>
                <w:szCs w:val="16"/>
                <w:color w:val="0000EE"/>
              </w:rPr>
              <w:t>Item 1A</w:t>
            </w:r>
          </w:p>
        </w:tc>
        <w:tc>
          <w:tcPr>
            <w:tcW w:w="8060" w:type="dxa"/>
            <w:vAlign w:val="bottom"/>
            <w:gridSpan w:val="25"/>
          </w:tcPr>
          <w:p>
            <w:pPr>
              <w:spacing w:after="0"/>
              <w:rPr>
                <w:sz w:val="20"/>
                <w:szCs w:val="20"/>
                <w:color w:val="auto"/>
              </w:rPr>
            </w:pPr>
            <w:r>
              <w:rPr>
                <w:rFonts w:ascii="Arial" w:cs="Arial" w:eastAsia="Arial" w:hAnsi="Arial"/>
                <w:sz w:val="16"/>
                <w:szCs w:val="16"/>
                <w:color w:val="0000EE"/>
              </w:rPr>
              <w:t>Risk Factors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2</w:t>
            </w:r>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8"/>
              </w:rPr>
              <w:t>Item 3</w:t>
            </w:r>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rPr>
              <w:t>Defaults Upon Senior Securities</w:t>
            </w:r>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Item 4</w:t>
            </w:r>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Mine Safety Disclosures</w:t>
            </w:r>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6"/>
                <w:szCs w:val="16"/>
                <w:color w:val="0000EE"/>
                <w:w w:val="98"/>
              </w:rPr>
              <w:t>Item 5</w:t>
            </w:r>
          </w:p>
        </w:tc>
        <w:tc>
          <w:tcPr>
            <w:tcW w:w="480" w:type="dxa"/>
            <w:vAlign w:val="bottom"/>
            <w:gridSpan w:val="3"/>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Other Information</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8"/>
              </w:rPr>
              <w:t>Item 6</w:t>
            </w:r>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Exhibits</w:t>
            </w:r>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sz w:val="20"/>
                <w:szCs w:val="20"/>
                <w:color w:val="auto"/>
              </w:rPr>
            </w:pPr>
            <w:r>
              <w:rPr>
                <w:rFonts w:ascii="Arial" w:cs="Arial" w:eastAsia="Arial" w:hAnsi="Arial"/>
                <w:sz w:val="16"/>
                <w:szCs w:val="16"/>
                <w:color w:val="0000EE"/>
              </w:rPr>
              <w:t>SIGNATURES</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w:t>
            </w:r>
          </w:p>
        </w:tc>
        <w:tc>
          <w:tcPr>
            <w:tcW w:w="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28,</w:t>
            </w:r>
          </w:p>
        </w:tc>
      </w:tr>
      <w:tr>
        <w:trPr>
          <w:trHeight w:val="175"/>
        </w:trPr>
        <w:tc>
          <w:tcPr>
            <w:tcW w:w="7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r>
      <w:tr>
        <w:trPr>
          <w:trHeight w:val="196"/>
        </w:trPr>
        <w:tc>
          <w:tcPr>
            <w:tcW w:w="7440" w:type="dxa"/>
            <w:vAlign w:val="bottom"/>
            <w:shd w:val="clear" w:color="auto" w:fill="CCEEFF"/>
          </w:tcPr>
          <w:p>
            <w:pPr>
              <w:ind w:left="338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2"/>
        </w:trPr>
        <w:tc>
          <w:tcPr>
            <w:tcW w:w="744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65,820</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134,473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105,794</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receivable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80" w:type="dxa"/>
            <w:vAlign w:val="bottom"/>
            <w:tcBorders>
              <w:bottom w:val="single" w:sz="8" w:color="CCEEFF"/>
            </w:tcBorders>
          </w:tcPr>
          <w:p>
            <w:pPr>
              <w:spacing w:after="0"/>
              <w:rPr>
                <w:sz w:val="17"/>
                <w:szCs w:val="17"/>
                <w:color w:val="auto"/>
              </w:rPr>
            </w:pPr>
          </w:p>
        </w:tc>
      </w:tr>
      <w:tr>
        <w:trPr>
          <w:trHeight w:val="183"/>
        </w:trPr>
        <w:tc>
          <w:tcPr>
            <w:tcW w:w="744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220,088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222,881</w:t>
            </w:r>
          </w:p>
        </w:tc>
        <w:tc>
          <w:tcPr>
            <w:tcW w:w="280" w:type="dxa"/>
            <w:vAlign w:val="bottom"/>
            <w:shd w:val="clear" w:color="auto" w:fill="CCEEFF"/>
          </w:tcPr>
          <w:p>
            <w:pPr>
              <w:spacing w:after="0"/>
              <w:rPr>
                <w:sz w:val="15"/>
                <w:szCs w:val="15"/>
                <w:color w:val="auto"/>
              </w:rPr>
            </w:pPr>
          </w:p>
        </w:tc>
      </w:tr>
      <w:tr>
        <w:trPr>
          <w:trHeight w:val="179"/>
        </w:trPr>
        <w:tc>
          <w:tcPr>
            <w:tcW w:w="7440" w:type="dxa"/>
            <w:vAlign w:val="bottom"/>
          </w:tcPr>
          <w:p>
            <w:pPr>
              <w:ind w:left="220"/>
              <w:spacing w:after="0" w:line="179" w:lineRule="exact"/>
              <w:rPr>
                <w:sz w:val="20"/>
                <w:szCs w:val="20"/>
                <w:color w:val="auto"/>
              </w:rPr>
            </w:pPr>
            <w:r>
              <w:rPr>
                <w:rFonts w:ascii="Arial" w:cs="Arial" w:eastAsia="Arial" w:hAnsi="Arial"/>
                <w:sz w:val="16"/>
                <w:szCs w:val="16"/>
                <w:color w:val="auto"/>
              </w:rPr>
              <w:t>Property and equipment, net of accumulated depreciation of $269,483 and $262,525 as of July 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9"/>
        </w:trPr>
        <w:tc>
          <w:tcPr>
            <w:tcW w:w="7440" w:type="dxa"/>
            <w:vAlign w:val="bottom"/>
          </w:tcPr>
          <w:p>
            <w:pPr>
              <w:ind w:left="220"/>
              <w:spacing w:after="0"/>
              <w:rPr>
                <w:sz w:val="20"/>
                <w:szCs w:val="20"/>
                <w:color w:val="auto"/>
              </w:rPr>
            </w:pPr>
            <w:r>
              <w:rPr>
                <w:rFonts w:ascii="Arial" w:cs="Arial" w:eastAsia="Arial" w:hAnsi="Arial"/>
                <w:sz w:val="16"/>
                <w:szCs w:val="16"/>
                <w:color w:val="auto"/>
              </w:rPr>
              <w:t>2023 and January 28, 2023, respectively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59,084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60,106</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240,151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257,195</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2,893</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280" w:type="dxa"/>
            <w:vAlign w:val="bottom"/>
            <w:shd w:val="clear" w:color="auto" w:fill="CCEEFF"/>
          </w:tcPr>
          <w:p>
            <w:pPr>
              <w:spacing w:after="0"/>
              <w:rPr>
                <w:sz w:val="17"/>
                <w:szCs w:val="17"/>
                <w:color w:val="auto"/>
              </w:rPr>
            </w:pPr>
          </w:p>
        </w:tc>
      </w:tr>
      <w:tr>
        <w:trPr>
          <w:trHeight w:val="223"/>
        </w:trPr>
        <w:tc>
          <w:tcPr>
            <w:tcW w:w="7440" w:type="dxa"/>
            <w:vAlign w:val="bottom"/>
            <w:tcBorders>
              <w:bottom w:val="single" w:sz="8" w:color="CCEEFF"/>
            </w:tcBorders>
          </w:tcPr>
          <w:p>
            <w:pPr>
              <w:ind w:left="340"/>
              <w:spacing w:after="0" w:line="183" w:lineRule="exact"/>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526,507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544,258</w:t>
            </w:r>
          </w:p>
        </w:tc>
        <w:tc>
          <w:tcPr>
            <w:tcW w:w="280" w:type="dxa"/>
            <w:vAlign w:val="bottom"/>
            <w:tcBorders>
              <w:bottom w:val="single" w:sz="8" w:color="CCEEFF"/>
            </w:tcBorders>
          </w:tcPr>
          <w:p>
            <w:pPr>
              <w:spacing w:after="0"/>
              <w:rPr>
                <w:sz w:val="19"/>
                <w:szCs w:val="19"/>
                <w:color w:val="auto"/>
              </w:rPr>
            </w:pPr>
          </w:p>
        </w:tc>
      </w:tr>
      <w:tr>
        <w:trPr>
          <w:trHeight w:val="169"/>
        </w:trPr>
        <w:tc>
          <w:tcPr>
            <w:tcW w:w="7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03"/>
        </w:trPr>
        <w:tc>
          <w:tcPr>
            <w:tcW w:w="7440" w:type="dxa"/>
            <w:vAlign w:val="bottom"/>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93,680</w:t>
            </w:r>
          </w:p>
        </w:tc>
        <w:tc>
          <w:tcPr>
            <w:tcW w:w="200" w:type="dxa"/>
            <w:vAlign w:val="bottom"/>
          </w:tcPr>
          <w:p>
            <w:pPr>
              <w:spacing w:after="0"/>
              <w:rPr>
                <w:sz w:val="17"/>
                <w:szCs w:val="17"/>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80,670</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52,661</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16,055</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Layaway deposits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280" w:type="dxa"/>
            <w:vAlign w:val="bottom"/>
            <w:tcBorders>
              <w:bottom w:val="single" w:sz="8" w:color="CCEEFF"/>
            </w:tcBorders>
          </w:tcPr>
          <w:p>
            <w:pPr>
              <w:spacing w:after="0"/>
              <w:rPr>
                <w:sz w:val="17"/>
                <w:szCs w:val="17"/>
                <w:color w:val="auto"/>
              </w:rPr>
            </w:pPr>
          </w:p>
        </w:tc>
      </w:tr>
      <w:tr>
        <w:trPr>
          <w:trHeight w:val="183"/>
        </w:trPr>
        <w:tc>
          <w:tcPr>
            <w:tcW w:w="744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169,862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160,553</w:t>
            </w:r>
          </w:p>
        </w:tc>
        <w:tc>
          <w:tcPr>
            <w:tcW w:w="280" w:type="dxa"/>
            <w:vAlign w:val="bottom"/>
            <w:shd w:val="clear" w:color="auto" w:fill="CCEEFF"/>
          </w:tcPr>
          <w:p>
            <w:pPr>
              <w:spacing w:after="0"/>
              <w:rPr>
                <w:sz w:val="15"/>
                <w:szCs w:val="15"/>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198,525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214,939</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280" w:type="dxa"/>
            <w:vAlign w:val="bottom"/>
            <w:shd w:val="clear" w:color="auto" w:fill="CCEEFF"/>
          </w:tcPr>
          <w:p>
            <w:pPr>
              <w:spacing w:after="0"/>
              <w:rPr>
                <w:sz w:val="17"/>
                <w:szCs w:val="17"/>
                <w:color w:val="auto"/>
              </w:rPr>
            </w:pPr>
          </w:p>
        </w:tc>
      </w:tr>
      <w:tr>
        <w:trPr>
          <w:trHeight w:val="183"/>
        </w:trPr>
        <w:tc>
          <w:tcPr>
            <w:tcW w:w="7440" w:type="dxa"/>
            <w:vAlign w:val="bottom"/>
            <w:tcBorders>
              <w:bottom w:val="single" w:sz="8" w:color="CCEEFF"/>
            </w:tcBorders>
          </w:tcPr>
          <w:p>
            <w:pPr>
              <w:ind w:left="340"/>
              <w:spacing w:after="0" w:line="183" w:lineRule="exact"/>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370,554</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377,814</w:t>
            </w:r>
          </w:p>
        </w:tc>
        <w:tc>
          <w:tcPr>
            <w:tcW w:w="280" w:type="dxa"/>
            <w:vAlign w:val="bottom"/>
            <w:tcBorders>
              <w:bottom w:val="single" w:sz="8" w:color="CCEEFF"/>
            </w:tcBorders>
          </w:tcPr>
          <w:p>
            <w:pPr>
              <w:spacing w:after="0"/>
              <w:rPr>
                <w:sz w:val="15"/>
                <w:szCs w:val="15"/>
                <w:color w:val="auto"/>
              </w:rPr>
            </w:pPr>
          </w:p>
        </w:tc>
      </w:tr>
      <w:tr>
        <w:trPr>
          <w:trHeight w:val="183"/>
        </w:trPr>
        <w:tc>
          <w:tcPr>
            <w:tcW w:w="7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9"/>
        </w:trPr>
        <w:tc>
          <w:tcPr>
            <w:tcW w:w="7440" w:type="dxa"/>
            <w:vAlign w:val="bottom"/>
            <w:shd w:val="clear" w:color="auto" w:fill="CCEEFF"/>
          </w:tcPr>
          <w:p>
            <w:pPr>
              <w:ind w:left="220"/>
              <w:spacing w:after="0" w:line="179" w:lineRule="exact"/>
              <w:rPr>
                <w:sz w:val="20"/>
                <w:szCs w:val="20"/>
                <w:color w:val="auto"/>
              </w:rPr>
            </w:pPr>
            <w:r>
              <w:rPr>
                <w:rFonts w:ascii="Arial" w:cs="Arial" w:eastAsia="Arial" w:hAnsi="Arial"/>
                <w:sz w:val="16"/>
                <w:szCs w:val="16"/>
                <w:color w:val="auto"/>
              </w:rPr>
              <w:t>Common stock, $0.01 par value. Authorized 32,000,000 shares; 16,368,070 shares issued as of</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8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July 29, 2023 and 16,158,494 shares issued as of January 28, 2023; 8,564,057 shares outstanding</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9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 of July 29, 2023 and 8,354,481 shares outstanding as of January 28, 2023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Paid in 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103,621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102,445</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319,383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331,050</w:t>
            </w:r>
          </w:p>
        </w:tc>
        <w:tc>
          <w:tcPr>
            <w:tcW w:w="280" w:type="dxa"/>
            <w:vAlign w:val="bottom"/>
            <w:shd w:val="clear" w:color="auto" w:fill="CCEEFF"/>
          </w:tcPr>
          <w:p>
            <w:pPr>
              <w:spacing w:after="0"/>
              <w:rPr>
                <w:sz w:val="17"/>
                <w:szCs w:val="17"/>
                <w:color w:val="auto"/>
              </w:rPr>
            </w:pPr>
          </w:p>
        </w:tc>
      </w:tr>
      <w:tr>
        <w:trPr>
          <w:trHeight w:val="179"/>
        </w:trPr>
        <w:tc>
          <w:tcPr>
            <w:tcW w:w="7440" w:type="dxa"/>
            <w:vAlign w:val="bottom"/>
          </w:tcPr>
          <w:p>
            <w:pPr>
              <w:ind w:left="220"/>
              <w:spacing w:after="0" w:line="179" w:lineRule="exact"/>
              <w:rPr>
                <w:sz w:val="20"/>
                <w:szCs w:val="20"/>
                <w:color w:val="auto"/>
              </w:rPr>
            </w:pPr>
            <w:r>
              <w:rPr>
                <w:rFonts w:ascii="Arial" w:cs="Arial" w:eastAsia="Arial" w:hAnsi="Arial"/>
                <w:sz w:val="16"/>
                <w:szCs w:val="16"/>
                <w:color w:val="auto"/>
              </w:rPr>
              <w:t>Treasury stock, at cost; 7,804,013 shares held as of July 29, 2023 and 7,804,013 shares held as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9"/>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January 28, 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(267,211)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(267,211)</w:t>
            </w:r>
          </w:p>
        </w:tc>
        <w:tc>
          <w:tcPr>
            <w:tcW w:w="280" w:type="dxa"/>
            <w:vAlign w:val="bottom"/>
            <w:tcBorders>
              <w:bottom w:val="single" w:sz="8" w:color="CCEEFF"/>
            </w:tcBorders>
          </w:tcPr>
          <w:p>
            <w:pPr>
              <w:spacing w:after="0"/>
              <w:rPr>
                <w:sz w:val="17"/>
                <w:szCs w:val="17"/>
                <w:color w:val="auto"/>
              </w:rPr>
            </w:pPr>
          </w:p>
        </w:tc>
      </w:tr>
      <w:tr>
        <w:trPr>
          <w:trHeight w:val="183"/>
        </w:trPr>
        <w:tc>
          <w:tcPr>
            <w:tcW w:w="744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155,953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166,444</w:t>
            </w:r>
          </w:p>
        </w:tc>
        <w:tc>
          <w:tcPr>
            <w:tcW w:w="280" w:type="dxa"/>
            <w:vAlign w:val="bottom"/>
            <w:shd w:val="clear" w:color="auto" w:fill="CCEEFF"/>
          </w:tcPr>
          <w:p>
            <w:pPr>
              <w:spacing w:after="0"/>
              <w:rPr>
                <w:sz w:val="15"/>
                <w:szCs w:val="15"/>
                <w:color w:val="auto"/>
              </w:rPr>
            </w:pPr>
          </w:p>
        </w:tc>
      </w:tr>
      <w:tr>
        <w:trPr>
          <w:trHeight w:val="183"/>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89"/>
        </w:trPr>
        <w:tc>
          <w:tcPr>
            <w:tcW w:w="744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526,507</w:t>
            </w:r>
          </w:p>
        </w:tc>
        <w:tc>
          <w:tcPr>
            <w:tcW w:w="200" w:type="dxa"/>
            <w:vAlign w:val="bottom"/>
          </w:tcPr>
          <w:p>
            <w:pPr>
              <w:spacing w:after="0"/>
              <w:rPr>
                <w:sz w:val="16"/>
                <w:szCs w:val="16"/>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544,258</w:t>
            </w:r>
          </w:p>
        </w:tc>
        <w:tc>
          <w:tcPr>
            <w:tcW w:w="280" w:type="dxa"/>
            <w:vAlign w:val="bottom"/>
          </w:tcPr>
          <w:p>
            <w:pPr>
              <w:spacing w:after="0"/>
              <w:rPr>
                <w:sz w:val="16"/>
                <w:szCs w:val="16"/>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7"/>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3" w:lineRule="exact"/>
              <w:rPr>
                <w:sz w:val="20"/>
                <w:szCs w:val="20"/>
                <w:color w:val="auto"/>
              </w:rPr>
            </w:pPr>
            <w:r>
              <w:rPr>
                <w:rFonts w:ascii="Arial" w:cs="Arial" w:eastAsia="Arial" w:hAnsi="Arial"/>
                <w:sz w:val="14"/>
                <w:szCs w:val="14"/>
                <w:b w:val="1"/>
                <w:bCs w:val="1"/>
                <w:color w:val="auto"/>
              </w:rPr>
              <w:t>July 29,</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60"/>
              <w:spacing w:after="0" w:line="143"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173,554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185,012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(69,543)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(7,923)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(3,330)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Borders>
              <w:top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Loss before income taxes</w:t>
            </w: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(7,113)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(3,406)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rPr>
                <w:sz w:val="20"/>
                <w:szCs w:val="20"/>
                <w:color w:val="auto"/>
              </w:rPr>
            </w:pPr>
            <w:r>
              <w:rPr>
                <w:rFonts w:ascii="Arial" w:cs="Arial" w:eastAsia="Arial" w:hAnsi="Arial"/>
                <w:sz w:val="16"/>
                <w:szCs w:val="16"/>
                <w:color w:val="auto"/>
              </w:rPr>
              <w:t>Income tax benefit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Borders>
              <w:top w:val="single" w:sz="8" w:color="CCEEFF"/>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Basic net loss per common share</w:t>
            </w:r>
          </w:p>
        </w:tc>
        <w:tc>
          <w:tcPr>
            <w:tcW w:w="540" w:type="dxa"/>
            <w:vAlign w:val="bottom"/>
            <w:gridSpan w:val="3"/>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Diluted net loss per common share</w:t>
            </w: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8,225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8,165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jc w:val="center"/>
              <w:ind w:left="251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1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tcPr>
          <w:p>
            <w:pPr>
              <w:jc w:val="center"/>
              <w:ind w:left="253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July 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3" w:lineRule="exact"/>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42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353,242</w:t>
            </w:r>
          </w:p>
        </w:tc>
        <w:tc>
          <w:tcPr>
            <w:tcW w:w="16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393,227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(220,885)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(241,600)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(140,350)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(139,507)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(9,389)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on sale-leasebacks</w:t>
            </w: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34,920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(Loss) Income from operations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(17,382)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36,323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1,910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tcPr>
          <w:p>
            <w:pPr>
              <w:ind w:left="320"/>
              <w:spacing w:after="0" w:line="183" w:lineRule="exact"/>
              <w:rPr>
                <w:sz w:val="20"/>
                <w:szCs w:val="20"/>
                <w:color w:val="auto"/>
              </w:rPr>
            </w:pPr>
            <w:r>
              <w:rPr>
                <w:rFonts w:ascii="Arial" w:cs="Arial" w:eastAsia="Arial" w:hAnsi="Arial"/>
                <w:sz w:val="16"/>
                <w:szCs w:val="16"/>
                <w:color w:val="auto"/>
              </w:rPr>
              <w:t>(Loss) Income before income taxes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(15,624)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36,171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(8,504)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Net (loss) income</w:t>
            </w:r>
          </w:p>
        </w:tc>
        <w:tc>
          <w:tcPr>
            <w:tcW w:w="42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(11,667)</w:t>
            </w:r>
          </w:p>
        </w:tc>
        <w:tc>
          <w:tcPr>
            <w:tcW w:w="16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27,667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spacing w:after="0"/>
              <w:rPr>
                <w:sz w:val="20"/>
                <w:szCs w:val="20"/>
                <w:color w:val="auto"/>
              </w:rPr>
            </w:pPr>
            <w:r>
              <w:rPr>
                <w:rFonts w:ascii="Arial" w:cs="Arial" w:eastAsia="Arial" w:hAnsi="Arial"/>
                <w:sz w:val="16"/>
                <w:szCs w:val="16"/>
                <w:color w:val="auto"/>
              </w:rPr>
              <w:t>Basic net (loss) income per common share</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(loss) income per common share</w:t>
            </w:r>
          </w:p>
        </w:tc>
        <w:tc>
          <w:tcPr>
            <w:tcW w:w="4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(1.42)</w:t>
            </w:r>
          </w:p>
        </w:tc>
        <w:tc>
          <w:tcPr>
            <w:tcW w:w="1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8,203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8,284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8,203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8,284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00"/>
              <w:spacing w:after="0" w:line="143" w:lineRule="exact"/>
              <w:rPr>
                <w:sz w:val="20"/>
                <w:szCs w:val="20"/>
                <w:color w:val="auto"/>
              </w:rPr>
            </w:pPr>
            <w:r>
              <w:rPr>
                <w:rFonts w:ascii="Arial" w:cs="Arial" w:eastAsia="Arial" w:hAnsi="Arial"/>
                <w:sz w:val="14"/>
                <w:szCs w:val="14"/>
                <w:b w:val="1"/>
                <w:bCs w:val="1"/>
                <w:color w:val="auto"/>
              </w:rPr>
              <w:t>July 29,</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80"/>
              <w:spacing w:after="0" w:line="143" w:lineRule="exact"/>
              <w:rPr>
                <w:sz w:val="20"/>
                <w:szCs w:val="20"/>
                <w:color w:val="auto"/>
              </w:rPr>
            </w:pPr>
            <w:r>
              <w:rPr>
                <w:rFonts w:ascii="Arial" w:cs="Arial" w:eastAsia="Arial" w:hAnsi="Arial"/>
                <w:sz w:val="14"/>
                <w:szCs w:val="14"/>
                <w:b w:val="1"/>
                <w:bCs w:val="1"/>
                <w:color w:val="auto"/>
              </w:rPr>
              <w:t>July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6"/>
                <w:szCs w:val="16"/>
                <w:color w:val="auto"/>
              </w:rPr>
              <w:t>Net (loss)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(11,667)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operating lease costs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(3,208)</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40"/>
              <w:spacing w:after="0"/>
              <w:rPr>
                <w:sz w:val="20"/>
                <w:szCs w:val="20"/>
                <w:color w:val="auto"/>
              </w:rPr>
            </w:pPr>
            <w:r>
              <w:rPr>
                <w:rFonts w:ascii="Arial" w:cs="Arial" w:eastAsia="Arial" w:hAnsi="Arial"/>
                <w:sz w:val="16"/>
                <w:szCs w:val="16"/>
                <w:color w:val="auto"/>
              </w:rPr>
              <w:t>Insurance proceeds related to operating activities</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stock-based compensation expense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40"/>
              <w:spacing w:after="0"/>
              <w:rPr>
                <w:sz w:val="20"/>
                <w:szCs w:val="20"/>
                <w:color w:val="auto"/>
              </w:rPr>
            </w:pPr>
            <w:r>
              <w:rPr>
                <w:rFonts w:ascii="Arial" w:cs="Arial" w:eastAsia="Arial" w:hAnsi="Arial"/>
                <w:sz w:val="16"/>
                <w:szCs w:val="16"/>
                <w:color w:val="auto"/>
              </w:rPr>
              <w:t>Gain on sale-leaseback</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(34,920)</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4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(28,679)</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(19,480)</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and other current assets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(3,764)</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03"/>
        </w:trPr>
        <w:tc>
          <w:tcPr>
            <w:tcW w:w="756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(16,268)</w:t>
            </w:r>
          </w:p>
        </w:tc>
        <w:tc>
          <w:tcPr>
            <w:tcW w:w="0" w:type="dxa"/>
            <w:vAlign w:val="bottom"/>
          </w:tcPr>
          <w:p>
            <w:pPr>
              <w:spacing w:after="0"/>
              <w:rPr>
                <w:sz w:val="1"/>
                <w:szCs w:val="1"/>
                <w:color w:val="auto"/>
              </w:rPr>
            </w:pPr>
          </w:p>
        </w:tc>
      </w:tr>
      <w:tr>
        <w:trPr>
          <w:trHeight w:val="202"/>
        </w:trPr>
        <w:tc>
          <w:tcPr>
            <w:tcW w:w="7560" w:type="dxa"/>
            <w:vAlign w:val="bottom"/>
          </w:tcPr>
          <w:p>
            <w:pPr>
              <w:ind w:left="440"/>
              <w:spacing w:after="0"/>
              <w:rPr>
                <w:sz w:val="20"/>
                <w:szCs w:val="20"/>
                <w:color w:val="auto"/>
              </w:rPr>
            </w:pPr>
            <w:r>
              <w:rPr>
                <w:rFonts w:ascii="Arial" w:cs="Arial" w:eastAsia="Arial" w:hAnsi="Arial"/>
                <w:sz w:val="16"/>
                <w:szCs w:val="16"/>
                <w:color w:val="auto"/>
              </w:rPr>
              <w:t>Accrued expenses and other long-term liabilities</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(31,237)</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(24,086)</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(12,891)</w:t>
            </w:r>
          </w:p>
        </w:tc>
        <w:tc>
          <w:tcPr>
            <w:tcW w:w="0" w:type="dxa"/>
            <w:vAlign w:val="bottom"/>
          </w:tcPr>
          <w:p>
            <w:pPr>
              <w:spacing w:after="0"/>
              <w:rPr>
                <w:sz w:val="1"/>
                <w:szCs w:val="1"/>
                <w:color w:val="auto"/>
              </w:rPr>
            </w:pPr>
          </w:p>
        </w:tc>
      </w:tr>
      <w:tr>
        <w:trPr>
          <w:trHeight w:val="203"/>
        </w:trPr>
        <w:tc>
          <w:tcPr>
            <w:tcW w:w="7560" w:type="dxa"/>
            <w:vAlign w:val="bottom"/>
          </w:tcPr>
          <w:p>
            <w:pPr>
              <w:ind w:left="440"/>
              <w:spacing w:after="0"/>
              <w:rPr>
                <w:sz w:val="20"/>
                <w:szCs w:val="20"/>
                <w:color w:val="auto"/>
              </w:rPr>
            </w:pPr>
            <w:r>
              <w:rPr>
                <w:rFonts w:ascii="Arial" w:cs="Arial" w:eastAsia="Arial" w:hAnsi="Arial"/>
                <w:sz w:val="16"/>
                <w:szCs w:val="16"/>
                <w:color w:val="auto"/>
              </w:rPr>
              <w:t>Income tax receivable/payable</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(2,439)</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Layaway deposits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60" w:type="dxa"/>
            <w:vAlign w:val="bottom"/>
            <w:tcBorders>
              <w:bottom w:val="single" w:sz="8" w:color="CCEEFF"/>
            </w:tcBorders>
          </w:tcPr>
          <w:p>
            <w:pPr>
              <w:ind w:left="660"/>
              <w:spacing w:after="0" w:line="183" w:lineRule="exact"/>
              <w:rPr>
                <w:sz w:val="20"/>
                <w:szCs w:val="20"/>
                <w:color w:val="auto"/>
              </w:rPr>
            </w:pPr>
            <w:r>
              <w:rPr>
                <w:rFonts w:ascii="Arial" w:cs="Arial" w:eastAsia="Arial" w:hAnsi="Arial"/>
                <w:sz w:val="16"/>
                <w:szCs w:val="16"/>
                <w:color w:val="auto"/>
              </w:rPr>
              <w:t>Net cash used in operating activities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(29,961)</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(38,180)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(6,905)</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(18,438)</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Insurance proceeds related to investing activities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6"/>
                <w:szCs w:val="16"/>
                <w:color w:val="auto"/>
              </w:rPr>
              <w:t>Proceeds from sale-leasebacks</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45,513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60" w:type="dxa"/>
            <w:vAlign w:val="bottom"/>
            <w:tcBorders>
              <w:top w:val="single" w:sz="8" w:color="CCEEFF"/>
            </w:tcBorders>
            <w:shd w:val="clear" w:color="auto" w:fill="CCEEFF"/>
          </w:tcPr>
          <w:p>
            <w:pPr>
              <w:ind w:left="66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(6,905)</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28,445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line="183" w:lineRule="exact"/>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(809)</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82"/>
        </w:trPr>
        <w:tc>
          <w:tcPr>
            <w:tcW w:w="7560" w:type="dxa"/>
            <w:vAlign w:val="bottom"/>
            <w:tcBorders>
              <w:top w:val="single" w:sz="8" w:color="CCEEFF"/>
            </w:tcBorders>
            <w:shd w:val="clear" w:color="auto" w:fill="CCEEFF"/>
          </w:tcPr>
          <w:p>
            <w:pPr>
              <w:ind w:left="660"/>
              <w:spacing w:after="0" w:line="183" w:lineRule="exact"/>
              <w:rPr>
                <w:sz w:val="20"/>
                <w:szCs w:val="20"/>
                <w:color w:val="auto"/>
              </w:rPr>
            </w:pPr>
            <w:r>
              <w:rPr>
                <w:rFonts w:ascii="Arial" w:cs="Arial" w:eastAsia="Arial" w:hAnsi="Arial"/>
                <w:sz w:val="16"/>
                <w:szCs w:val="16"/>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(809)</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(12,139)</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60" w:type="dxa"/>
            <w:vAlign w:val="bottom"/>
          </w:tcPr>
          <w:p>
            <w:pPr>
              <w:ind w:left="660"/>
              <w:spacing w:after="0" w:line="183" w:lineRule="exact"/>
              <w:rPr>
                <w:sz w:val="20"/>
                <w:szCs w:val="20"/>
                <w:color w:val="auto"/>
              </w:rPr>
            </w:pPr>
            <w:r>
              <w:rPr>
                <w:rFonts w:ascii="Arial" w:cs="Arial" w:eastAsia="Arial" w:hAnsi="Arial"/>
                <w:sz w:val="16"/>
                <w:szCs w:val="16"/>
                <w:color w:val="auto"/>
              </w:rPr>
              <w:t>Net (decrease) increase in cash and cash equivalents</w:t>
            </w:r>
          </w:p>
        </w:tc>
        <w:tc>
          <w:tcPr>
            <w:tcW w:w="16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(37,675)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(21,874)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103,495</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560" w:type="dxa"/>
            <w:vAlign w:val="bottom"/>
            <w:tcBorders>
              <w:bottom w:val="single" w:sz="8" w:color="CCEEFF"/>
            </w:tcBorders>
            <w:shd w:val="clear" w:color="auto" w:fill="CCEEFF"/>
          </w:tcPr>
          <w:p>
            <w:pPr>
              <w:ind w:left="220"/>
              <w:spacing w:after="0" w:line="183" w:lineRule="exact"/>
              <w:rPr>
                <w:sz w:val="20"/>
                <w:szCs w:val="20"/>
                <w:color w:val="auto"/>
              </w:rPr>
            </w:pPr>
            <w:r>
              <w:rPr>
                <w:rFonts w:ascii="Arial" w:cs="Arial" w:eastAsia="Arial" w:hAnsi="Arial"/>
                <w:sz w:val="16"/>
                <w:szCs w:val="16"/>
                <w:color w:val="auto"/>
              </w:rPr>
              <w:t>End of period</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65,820</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27,914</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Cash paid for interest</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560" w:type="dxa"/>
            <w:vAlign w:val="bottom"/>
            <w:tcBorders>
              <w:bottom w:val="single" w:sz="8" w:color="CCEEFF"/>
            </w:tcBorders>
            <w:shd w:val="clear" w:color="auto" w:fill="CCEEFF"/>
          </w:tcPr>
          <w:p>
            <w:pPr>
              <w:ind w:left="660"/>
              <w:spacing w:after="0" w:line="167" w:lineRule="exact"/>
              <w:rPr>
                <w:sz w:val="20"/>
                <w:szCs w:val="20"/>
                <w:color w:val="auto"/>
              </w:rPr>
            </w:pPr>
            <w:r>
              <w:rPr>
                <w:rFonts w:ascii="Arial" w:cs="Arial" w:eastAsia="Arial" w:hAnsi="Arial"/>
                <w:sz w:val="16"/>
                <w:szCs w:val="16"/>
                <w:color w:val="auto"/>
              </w:rPr>
              <w:t>Cash payments of income taxes</w:t>
            </w: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1,519</w:t>
            </w: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4,689</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6"/>
                <w:szCs w:val="16"/>
                <w:color w:val="auto"/>
              </w:rPr>
              <w:t>Supplemental disclosures of non-cash investing activities: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Accrual for purchases of property and equipment</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15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9"/>
        </w:trPr>
        <w:tc>
          <w:tcPr>
            <w:tcW w:w="3860" w:type="dxa"/>
            <w:vAlign w:val="bottom"/>
          </w:tcPr>
          <w:p>
            <w:pPr>
              <w:spacing w:after="0"/>
              <w:rPr>
                <w:sz w:val="14"/>
                <w:szCs w:val="14"/>
                <w:color w:val="auto"/>
              </w:rPr>
            </w:pPr>
          </w:p>
        </w:tc>
        <w:tc>
          <w:tcPr>
            <w:tcW w:w="92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3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28, 2023</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16,158,494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$ 102,445</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$ 331,050</w:t>
            </w: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166,444</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Vesting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(9,647)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(33,432)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(782)</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(6,635)</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w:t>
            </w:r>
          </w:p>
        </w:tc>
      </w:tr>
      <w:tr>
        <w:trPr>
          <w:trHeight w:val="223"/>
        </w:trPr>
        <w:tc>
          <w:tcPr>
            <w:tcW w:w="38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April 29, 2023</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16,116,915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$ 102,598</w:t>
            </w:r>
          </w:p>
        </w:tc>
        <w:tc>
          <w:tcPr>
            <w:tcW w:w="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$ 324,415</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159,962</w:t>
            </w:r>
          </w:p>
        </w:tc>
      </w:tr>
      <w:tr>
        <w:trPr>
          <w:trHeight w:val="169"/>
        </w:trPr>
        <w:tc>
          <w:tcPr>
            <w:tcW w:w="386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Issuance of nonvested shares</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259,136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(6,581)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(5,032)</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(5,032)</w:t>
            </w:r>
          </w:p>
        </w:tc>
      </w:tr>
      <w:tr>
        <w:trPr>
          <w:trHeight w:val="183"/>
        </w:trPr>
        <w:tc>
          <w:tcPr>
            <w:tcW w:w="3860" w:type="dxa"/>
            <w:vAlign w:val="bottom"/>
          </w:tcPr>
          <w:p>
            <w:pPr>
              <w:spacing w:after="0" w:line="183" w:lineRule="exact"/>
              <w:rPr>
                <w:sz w:val="20"/>
                <w:szCs w:val="20"/>
                <w:color w:val="auto"/>
              </w:rPr>
            </w:pPr>
            <w:r>
              <w:rPr>
                <w:rFonts w:ascii="Arial" w:cs="Arial" w:eastAsia="Arial" w:hAnsi="Arial"/>
                <w:sz w:val="16"/>
                <w:szCs w:val="16"/>
                <w:color w:val="auto"/>
              </w:rPr>
              <w:t>Balances — July 29, 2023</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16,368,070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$ 103,621</w:t>
            </w: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$ 319,383</w:t>
            </w:r>
          </w:p>
        </w:tc>
        <w:tc>
          <w:tcPr>
            <w:tcW w:w="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155,953</w:t>
            </w:r>
          </w:p>
        </w:tc>
      </w:tr>
      <w:tr>
        <w:trPr>
          <w:trHeight w:val="20"/>
        </w:trPr>
        <w:tc>
          <w:tcPr>
            <w:tcW w:w="3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34"/>
        </w:trPr>
        <w:tc>
          <w:tcPr>
            <w:tcW w:w="386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9"/>
        </w:trPr>
        <w:tc>
          <w:tcPr>
            <w:tcW w:w="3860" w:type="dxa"/>
            <w:vAlign w:val="bottom"/>
          </w:tcPr>
          <w:p>
            <w:pPr>
              <w:spacing w:after="0"/>
              <w:rPr>
                <w:sz w:val="14"/>
                <w:szCs w:val="14"/>
                <w:color w:val="auto"/>
              </w:rPr>
            </w:pPr>
          </w:p>
        </w:tc>
        <w:tc>
          <w:tcPr>
            <w:tcW w:w="92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3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29, 2022</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16,090,365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$ 101,037</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$ 272,158</w:t>
            </w: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7,473,155</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(257,211)</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116,143</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Vesting of nonvested restricted stock units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3860" w:type="dxa"/>
            <w:vAlign w:val="bottom"/>
          </w:tcPr>
          <w:p>
            <w:pPr>
              <w:spacing w:after="0" w:line="179" w:lineRule="exact"/>
              <w:rPr>
                <w:sz w:val="20"/>
                <w:szCs w:val="20"/>
                <w:color w:val="auto"/>
              </w:rPr>
            </w:pPr>
            <w:r>
              <w:rPr>
                <w:rFonts w:ascii="Arial" w:cs="Arial" w:eastAsia="Arial" w:hAnsi="Arial"/>
                <w:sz w:val="16"/>
                <w:szCs w:val="16"/>
                <w:color w:val="auto"/>
              </w:rPr>
              <w:t>Issuance of common stock under incentive plan, net</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9"/>
        </w:trPr>
        <w:tc>
          <w:tcPr>
            <w:tcW w:w="3860" w:type="dxa"/>
            <w:vAlign w:val="bottom"/>
          </w:tcPr>
          <w:p>
            <w:pPr>
              <w:spacing w:after="0"/>
              <w:rPr>
                <w:sz w:val="20"/>
                <w:szCs w:val="20"/>
                <w:color w:val="auto"/>
              </w:rPr>
            </w:pPr>
            <w:r>
              <w:rPr>
                <w:rFonts w:ascii="Arial" w:cs="Arial" w:eastAsia="Arial" w:hAnsi="Arial"/>
                <w:sz w:val="16"/>
                <w:szCs w:val="16"/>
                <w:color w:val="auto"/>
              </w:rPr>
              <w:t>of shares withheld for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15,977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2,277</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170,436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(5,317)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(5,317)</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30,203</w:t>
            </w:r>
          </w:p>
        </w:tc>
      </w:tr>
      <w:tr>
        <w:trPr>
          <w:trHeight w:val="223"/>
        </w:trPr>
        <w:tc>
          <w:tcPr>
            <w:tcW w:w="38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April 30, 2022</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16,159,393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$ 101,187</w:t>
            </w:r>
          </w:p>
        </w:tc>
        <w:tc>
          <w:tcPr>
            <w:tcW w:w="6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$ 302,361</w:t>
            </w:r>
          </w:p>
        </w:tc>
        <w:tc>
          <w:tcPr>
            <w:tcW w:w="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7,643,591</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(262,528)</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141,179</w:t>
            </w:r>
          </w:p>
        </w:tc>
      </w:tr>
      <w:tr>
        <w:trPr>
          <w:trHeight w:val="170"/>
        </w:trPr>
        <w:tc>
          <w:tcPr>
            <w:tcW w:w="386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Issuance of nonvested shares under incentive plan</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29,938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(2,536)</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(2,536)</w:t>
            </w:r>
          </w:p>
        </w:tc>
      </w:tr>
      <w:tr>
        <w:trPr>
          <w:trHeight w:val="183"/>
        </w:trPr>
        <w:tc>
          <w:tcPr>
            <w:tcW w:w="3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July 30, 2022</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16,183,425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$ 100,837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$ 299,825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133,610</w:t>
            </w:r>
          </w:p>
        </w:tc>
      </w:tr>
      <w:tr>
        <w:trPr>
          <w:trHeight w:val="20"/>
        </w:trPr>
        <w:tc>
          <w:tcPr>
            <w:tcW w:w="3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July 29, 2023</w:t>
      </w:r>
    </w:p>
    <w:p>
      <w:pPr>
        <w:spacing w:after="0" w:line="29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Citi Trends, Inc. and its subsidiary (the “Company”) is a leading specialty value retailer of apparel, accessories and home trends for way less spend primarily for African American and multicultural families. As of July 29, 2023, the Company operated 611 stores in urban, suburban and rural markets in 33 states.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28, 2023 is derived from the audited financial statements in the Company’s Annual Report on Form 10-K for the fiscal year ended January 28, 2023 (the “2022 Form 10-K”). These condensed consolidated financial statements should be read in conjunction with the audited consolidated financial statements and notes thereto included in the 2022 Form 10-K. Operating results for the second quarter of 2023 are not necessarily indicative of the results that may be expected for the fiscal year as a result of the seasonality of the business and the current economic uncertainty.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7"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The following contains references to fiscal years 2023 and 2022, which represent fiscal years ending or ended on February 3, 2024 and January 28, 2023, respectively. Fiscal 2023 has a 53-week accounting period, and fiscal 2022 had a 52-week accounting period.</w:t>
      </w:r>
    </w:p>
    <w:p>
      <w:pPr>
        <w:spacing w:after="0" w:line="20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35"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2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4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69"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second quarter of 2023 and 2022, there were 328,000 and 236,000 shares of nonvested restricted stock, respectively, excluded from the calculation of diluted earnings per share because of antidilution. For the twenty-six weeks ended July 29, 2023 and July 30, 2022, there were 215,000 and 229,000 shares of nonvested restricted stock, respectively, excluded from the calculation of diluted earnings per share because of antidilution.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8" w:right="10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July 29, 2023</w:t>
            </w:r>
          </w:p>
        </w:tc>
        <w:tc>
          <w:tcPr>
            <w:tcW w:w="1220" w:type="dxa"/>
            <w:vAlign w:val="bottom"/>
          </w:tcPr>
          <w:p>
            <w:pPr>
              <w:jc w:val="right"/>
              <w:ind w:right="81"/>
              <w:spacing w:after="0" w:line="155" w:lineRule="exact"/>
              <w:rPr>
                <w:sz w:val="20"/>
                <w:szCs w:val="20"/>
                <w:color w:val="auto"/>
              </w:rPr>
            </w:pPr>
            <w:r>
              <w:rPr>
                <w:rFonts w:ascii="Arial" w:cs="Arial" w:eastAsia="Arial" w:hAnsi="Arial"/>
                <w:sz w:val="14"/>
                <w:szCs w:val="14"/>
                <w:b w:val="1"/>
                <w:bCs w:val="1"/>
                <w:color w:val="auto"/>
              </w:rPr>
              <w:t>July 30, 2022</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8,224,762</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8,164,765</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8,224,762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8,164,765</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7"/>
        </w:trPr>
        <w:tc>
          <w:tcPr>
            <w:tcW w:w="728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Twenty-Six Weeks Ended</w:t>
            </w:r>
          </w:p>
        </w:tc>
      </w:tr>
      <w:tr>
        <w:trPr>
          <w:trHeight w:val="155"/>
        </w:trPr>
        <w:tc>
          <w:tcPr>
            <w:tcW w:w="7280" w:type="dxa"/>
            <w:vAlign w:val="bottom"/>
          </w:tcPr>
          <w:p>
            <w:pPr>
              <w:spacing w:after="0"/>
              <w:rPr>
                <w:sz w:val="13"/>
                <w:szCs w:val="13"/>
                <w:color w:val="auto"/>
              </w:rPr>
            </w:pPr>
          </w:p>
        </w:tc>
        <w:tc>
          <w:tcPr>
            <w:tcW w:w="14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July 29, 2023</w:t>
            </w:r>
          </w:p>
        </w:tc>
        <w:tc>
          <w:tcPr>
            <w:tcW w:w="1220" w:type="dxa"/>
            <w:vAlign w:val="bottom"/>
          </w:tcPr>
          <w:p>
            <w:pPr>
              <w:jc w:val="right"/>
              <w:ind w:right="81"/>
              <w:spacing w:after="0" w:line="155" w:lineRule="exact"/>
              <w:rPr>
                <w:sz w:val="20"/>
                <w:szCs w:val="20"/>
                <w:color w:val="auto"/>
              </w:rPr>
            </w:pPr>
            <w:r>
              <w:rPr>
                <w:rFonts w:ascii="Arial" w:cs="Arial" w:eastAsia="Arial" w:hAnsi="Arial"/>
                <w:sz w:val="14"/>
                <w:szCs w:val="14"/>
                <w:b w:val="1"/>
                <w:bCs w:val="1"/>
                <w:color w:val="auto"/>
              </w:rPr>
              <w:t>July 30, 2022</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8,203,497</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8,283,522</w:t>
            </w:r>
          </w:p>
        </w:tc>
      </w:tr>
      <w:tr>
        <w:trPr>
          <w:trHeight w:val="189"/>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8,203,497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8,283,522</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Revolving Credit Facility</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in April 2021 to modify terms and extend the maturity date to April 15, 2026. In May 2023, the facility was amended to replace the London Interbank Offered Rate (“LIBOR”) with the Secured Overnight Financing Rate (“SOFR”).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SOFR Loans, at a rate equal to the SOFR Rate plus a SOFR adjustment equal to 0.10% plus either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1.25%, 1.50% or 1.75%, or (b) for Base Rate Loans, at a rate equal to the highest of (i) the prime rate, (ii) the Federal Funds Rate plus</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0.5% or (iii) the Eurodollar Rate plus 1.0%, plus, in each case either 0.25%, 0.50% or 0.75%, based in any such case on the average daily availability for borrowings under the facility.</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As of July 29, 2023, the Company had no borrowings under the credit facility and $0.6 million of letters of credit outstanding.</w:t>
      </w:r>
    </w:p>
    <w:p>
      <w:pPr>
        <w:spacing w:after="0" w:line="32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 has historically used the annual effective tax rate method to calculate income taxes. For the first half of 2023, the Company used the discrete effective tax rate method to determine its tax expense based upon interim results. The Company determined that since small changes in estimated ordinary income would result in significant changes in the estimated annual effective tax rate, the historical method would not provide a reliable estimate for the first half of 2023.</w:t>
      </w:r>
    </w:p>
    <w:p>
      <w:pPr>
        <w:spacing w:after="0" w:line="18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In January 2023, the Company experienced a disruption of its back office and distribution center IT systems, which was due to what is known as Hive ransomware (the “January 2023 cyber disruption”). In connection with this incident, third party consultants and forensic experts were engaged to assist with the restoration and remediation of the Company’s systems and, with the assistance of law enforcement, to investigate the incident. The Company does not retain sensitive customer data on its systems.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connection with the January 2023 cyber disruption, three putative class action lawsuits have been filed against the Company in the United States District Court for the Southern District of Georgia. These matters, Sienna Thomas v. Citi Trends, Inc.; Yeimy Sambrano v. Citi Trends, Inc.; and Sabrina Green-Fogg v. Citi Trends, Inc., were filed on June 27, 2023, July 7, 2023, and July 14, 2023, respectively. The plaintiffs allege harm in connection with the January 2023 cyber disruption and assert a variety of claims seeking unspecified monetary damages and other related relief. The Company is vigorously defending these lawsuits. In addition, the Attorneys General of Alabama, Connecticut, Indiana and Texas have sent inquiry letters to the Company regarding the January 2023 cyber disruption, which the Company is answering. At this early date, the Company is unable to estimate the range of potential losses that may be associated with these actions or whether it may be subject to other lawsuits, claims or inquiries.</w:t>
      </w:r>
    </w:p>
    <w:p>
      <w:pPr>
        <w:spacing w:after="0" w:line="19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While legal proceedings are subject to uncertainties and the outcome of any such matter is not predictable and it is possible that we could incur losses associated with these proceedings, the Company does not believe, based on the information available to it at the time of this filing, that any legal proceedings pending or threatened against it will have a material adverse effect on its financial condition, results of operations or liquidity.</w:t>
      </w:r>
    </w:p>
    <w:p>
      <w:pPr>
        <w:spacing w:after="0" w:line="19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 of Common Stock</w:t>
      </w:r>
    </w:p>
    <w:p>
      <w:pPr>
        <w:spacing w:after="0" w:line="23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Twenty-Six Weeks Ended</w:t>
            </w:r>
          </w:p>
        </w:tc>
      </w:tr>
      <w:tr>
        <w:trPr>
          <w:trHeight w:val="169"/>
        </w:trPr>
        <w:tc>
          <w:tcPr>
            <w:tcW w:w="43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July 29, 2023</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9"/>
              </w:rPr>
              <w:t>July 30, 2022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July 30, 2022</w:t>
            </w: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76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ind w:left="88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331</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29.17</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ind w:left="8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30.22</w:t>
            </w:r>
          </w:p>
        </w:tc>
      </w:tr>
      <w:tr>
        <w:trPr>
          <w:trHeight w:val="18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At July 29, 2023, $50.0 million remained available under the Company’s stock repurchase authorization.</w:t>
      </w:r>
    </w:p>
    <w:p>
      <w:pPr>
        <w:spacing w:after="0" w:line="22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7"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27" w:lineRule="exact"/>
        <w:rPr>
          <w:sz w:val="20"/>
          <w:szCs w:val="20"/>
          <w:color w:val="auto"/>
        </w:rPr>
      </w:pPr>
    </w:p>
    <w:p>
      <w:pPr>
        <w:ind w:right="620"/>
        <w:spacing w:after="0" w:line="305"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3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In the following table, the Company’s revenue from contracts with customers is disaggregated by “CITI” or major merchandise category.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net sales for each CITI with the merchandise assortment was approximately: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5280" w:type="dxa"/>
            <w:vAlign w:val="bottom"/>
          </w:tcPr>
          <w:p>
            <w:pPr>
              <w:spacing w:after="0"/>
              <w:rPr>
                <w:sz w:val="21"/>
                <w:szCs w:val="21"/>
                <w:color w:val="auto"/>
              </w:rPr>
            </w:pP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July 29,</w:t>
            </w: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July 30,</w:t>
            </w: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rPr>
              <w:t>July 29,</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July 30,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52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3"/>
        </w:trPr>
        <w:tc>
          <w:tcPr>
            <w:tcW w:w="5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
              <w:spacing w:after="0" w:line="183" w:lineRule="exact"/>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21</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Accessories &amp; Beauty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6"/>
                <w:szCs w:val="16"/>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Mens</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Footwear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6"/>
                <w:szCs w:val="16"/>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7"/>
                <w:szCs w:val="17"/>
                <w:color w:val="auto"/>
              </w:rPr>
              <w:t>Home &amp; Lifestyle</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8"/>
                <w:szCs w:val="18"/>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 </w:t>
      </w:r>
      <w:r>
        <w:rPr>
          <w:rFonts w:ascii="Arial" w:cs="Arial" w:eastAsia="Arial" w:hAnsi="Arial"/>
          <w:sz w:val="16"/>
          <w:szCs w:val="16"/>
          <w:u w:val="single" w:color="auto"/>
          <w:color w:val="auto"/>
        </w:rPr>
        <w:t>Leases</w:t>
      </w:r>
    </w:p>
    <w:p>
      <w:pPr>
        <w:spacing w:after="0" w:line="235"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Company leases its retail store locations, distribution centers, and certain office space and equipment. Leases for store locations are typically for a term of five years with options to extend for one or more five-year periods. In April 2022, the Company completed a sale-leaseback of its distribution center in Darlington, South Carolina that resulted in a gain of $34.9 million and a 20-year lease term with the option to extend for six additional periods of five years each. In September 2022, the Company completed a sale-leaseback of its distribution center in Roland, Oklahoma that resulted in a gain of $29.2 million and a 15-year lease term with the option to extend for six additional periods of five years each.</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177" w:lineRule="exact"/>
        <w:rPr>
          <w:sz w:val="20"/>
          <w:szCs w:val="20"/>
          <w:color w:val="auto"/>
        </w:rPr>
      </w:pPr>
    </w:p>
    <w:p>
      <w:pPr>
        <w:jc w:val="both"/>
        <w:ind w:right="480"/>
        <w:spacing w:after="0" w:line="287"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Twenty-Six Weeks Ended</w:t>
            </w:r>
          </w:p>
        </w:tc>
      </w:tr>
      <w:tr>
        <w:trPr>
          <w:trHeight w:val="223"/>
        </w:trPr>
        <w:tc>
          <w:tcPr>
            <w:tcW w:w="7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July 30, 2022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July 29, 2023</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July 30, 2022</w:t>
            </w:r>
          </w:p>
        </w:tc>
      </w:tr>
      <w:tr>
        <w:trPr>
          <w:trHeight w:val="223"/>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15,022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31,408</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28,883</w:t>
            </w:r>
          </w:p>
        </w:tc>
      </w:tr>
      <w:tr>
        <w:trPr>
          <w:trHeight w:val="243"/>
        </w:trPr>
        <w:tc>
          <w:tcPr>
            <w:tcW w:w="4020" w:type="dxa"/>
            <w:vAlign w:val="bottom"/>
            <w:gridSpan w:val="2"/>
          </w:tcPr>
          <w:p>
            <w:pPr>
              <w:spacing w:after="0"/>
              <w:rPr>
                <w:sz w:val="20"/>
                <w:szCs w:val="20"/>
                <w:color w:val="auto"/>
              </w:rPr>
            </w:pPr>
            <w:r>
              <w:rPr>
                <w:rFonts w:ascii="Arial" w:cs="Arial" w:eastAsia="Arial" w:hAnsi="Arial"/>
                <w:sz w:val="16"/>
                <w:szCs w:val="16"/>
                <w:color w:val="auto"/>
              </w:rPr>
              <w:t>Variable lease cost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2,580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5,779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4,913</w:t>
            </w:r>
          </w:p>
        </w:tc>
      </w:tr>
      <w:tr>
        <w:trPr>
          <w:trHeight w:val="243"/>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5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373</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2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210"/>
        </w:trPr>
        <w:tc>
          <w:tcPr>
            <w:tcW w:w="4020" w:type="dxa"/>
            <w:vAlign w:val="bottom"/>
            <w:gridSpan w:val="2"/>
          </w:tcPr>
          <w:p>
            <w:pPr>
              <w:spacing w:after="0"/>
              <w:rPr>
                <w:sz w:val="20"/>
                <w:szCs w:val="20"/>
                <w:color w:val="auto"/>
              </w:rPr>
            </w:pPr>
            <w:r>
              <w:rPr>
                <w:rFonts w:ascii="Arial" w:cs="Arial" w:eastAsia="Arial" w:hAnsi="Arial"/>
                <w:sz w:val="16"/>
                <w:szCs w:val="16"/>
                <w:color w:val="auto"/>
              </w:rPr>
              <w:t>Total lease cost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18,921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17,975</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37,965</w:t>
            </w:r>
          </w:p>
        </w:tc>
        <w:tc>
          <w:tcPr>
            <w:tcW w:w="200" w:type="dxa"/>
            <w:vAlign w:val="bottom"/>
          </w:tcPr>
          <w:p>
            <w:pPr>
              <w:spacing w:after="0"/>
              <w:rPr>
                <w:sz w:val="18"/>
                <w:szCs w:val="18"/>
                <w:color w:val="auto"/>
              </w:rPr>
            </w:pPr>
          </w:p>
        </w:tc>
        <w:tc>
          <w:tcPr>
            <w:tcW w:w="460" w:type="dxa"/>
            <w:vAlign w:val="bottom"/>
          </w:tcPr>
          <w:p>
            <w:pPr>
              <w:jc w:val="right"/>
              <w:ind w:right="30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34,515</w:t>
            </w:r>
          </w:p>
        </w:tc>
      </w:tr>
      <w:tr>
        <w:trPr>
          <w:trHeight w:val="20"/>
        </w:trPr>
        <w:tc>
          <w:tcPr>
            <w:tcW w:w="7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5940" w:type="dxa"/>
            <w:vAlign w:val="bottom"/>
            <w:gridSpan w:val="6"/>
          </w:tcPr>
          <w:p>
            <w:pPr>
              <w:spacing w:after="0"/>
              <w:rPr>
                <w:sz w:val="20"/>
                <w:szCs w:val="20"/>
                <w:color w:val="auto"/>
              </w:rPr>
            </w:pPr>
            <w:r>
              <w:rPr>
                <w:rFonts w:ascii="Arial" w:cs="Arial" w:eastAsia="Arial" w:hAnsi="Arial"/>
                <w:sz w:val="16"/>
                <w:szCs w:val="16"/>
                <w:color w:val="auto"/>
              </w:rPr>
              <w:t>Future minimum lease payments as of July 29, 2023 are as follows (in thousands):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0"/>
        </w:trPr>
        <w:tc>
          <w:tcPr>
            <w:tcW w:w="76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Costs</w:t>
            </w:r>
          </w:p>
        </w:tc>
        <w:tc>
          <w:tcPr>
            <w:tcW w:w="460" w:type="dxa"/>
            <w:vAlign w:val="bottom"/>
            <w:tcBorders>
              <w:bottom w:val="single" w:sz="8" w:color="CCEEFF"/>
            </w:tcBorders>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2023</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27,108</w:t>
            </w:r>
          </w:p>
        </w:tc>
        <w:tc>
          <w:tcPr>
            <w:tcW w:w="46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58,778</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48,309</w:t>
            </w:r>
          </w:p>
        </w:tc>
        <w:tc>
          <w:tcPr>
            <w:tcW w:w="46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37,454</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27,329</w:t>
            </w:r>
          </w:p>
        </w:tc>
        <w:tc>
          <w:tcPr>
            <w:tcW w:w="46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760" w:type="dxa"/>
            <w:vAlign w:val="bottom"/>
          </w:tcPr>
          <w:p>
            <w:pPr>
              <w:spacing w:after="0"/>
              <w:rPr>
                <w:sz w:val="16"/>
                <w:szCs w:val="16"/>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121,557</w:t>
            </w:r>
          </w:p>
        </w:tc>
        <w:tc>
          <w:tcPr>
            <w:tcW w:w="460" w:type="dxa"/>
            <w:vAlign w:val="bottom"/>
            <w:tcBorders>
              <w:bottom w:val="single" w:sz="8" w:color="CCEEFF"/>
            </w:tcBorders>
          </w:tcPr>
          <w:p>
            <w:pPr>
              <w:spacing w:after="0"/>
              <w:rPr>
                <w:sz w:val="16"/>
                <w:szCs w:val="16"/>
                <w:color w:val="auto"/>
              </w:rPr>
            </w:pP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320,535</w:t>
            </w:r>
          </w:p>
        </w:tc>
        <w:tc>
          <w:tcPr>
            <w:tcW w:w="46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76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Less: imputed interest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ind w:right="168"/>
              <w:spacing w:after="0"/>
              <w:rPr>
                <w:sz w:val="20"/>
                <w:szCs w:val="20"/>
                <w:color w:val="auto"/>
              </w:rPr>
            </w:pPr>
            <w:r>
              <w:rPr>
                <w:rFonts w:ascii="Arial" w:cs="Arial" w:eastAsia="Arial" w:hAnsi="Arial"/>
                <w:sz w:val="16"/>
                <w:szCs w:val="16"/>
                <w:color w:val="auto"/>
              </w:rPr>
              <w:t xml:space="preserve">(75,470) </w:t>
            </w:r>
            <w:r>
              <w:rPr>
                <w:rFonts w:ascii="Arial" w:cs="Arial" w:eastAsia="Arial" w:hAnsi="Arial"/>
                <w:sz w:val="12"/>
                <w:szCs w:val="12"/>
                <w:color w:val="auto"/>
              </w:rPr>
              <w:t>(1)</w:t>
            </w:r>
          </w:p>
        </w:tc>
        <w:tc>
          <w:tcPr>
            <w:tcW w:w="740" w:type="dxa"/>
            <w:vAlign w:val="bottom"/>
          </w:tcPr>
          <w:p>
            <w:pPr>
              <w:spacing w:after="0"/>
              <w:rPr>
                <w:sz w:val="16"/>
                <w:szCs w:val="16"/>
                <w:color w:val="auto"/>
              </w:rPr>
            </w:pPr>
          </w:p>
        </w:tc>
      </w:tr>
      <w:tr>
        <w:trPr>
          <w:trHeight w:val="183"/>
        </w:trPr>
        <w:tc>
          <w:tcPr>
            <w:tcW w:w="760" w:type="dxa"/>
            <w:vAlign w:val="bottom"/>
          </w:tcPr>
          <w:p>
            <w:pPr>
              <w:spacing w:after="0"/>
              <w:rPr>
                <w:sz w:val="15"/>
                <w:szCs w:val="15"/>
                <w:color w:val="auto"/>
              </w:rPr>
            </w:pPr>
          </w:p>
        </w:tc>
        <w:tc>
          <w:tcPr>
            <w:tcW w:w="32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245,065</w:t>
            </w:r>
          </w:p>
        </w:tc>
        <w:tc>
          <w:tcPr>
            <w:tcW w:w="460" w:type="dxa"/>
            <w:vAlign w:val="bottom"/>
            <w:tcBorders>
              <w:top w:val="single" w:sz="8" w:color="CCEEFF"/>
              <w:bottom w:val="single" w:sz="8" w:color="CCEEFF"/>
            </w:tcBorders>
            <w:shd w:val="clear" w:color="auto" w:fill="CCEEFF"/>
          </w:tcPr>
          <w:p>
            <w:pPr>
              <w:jc w:val="right"/>
              <w:ind w:right="168"/>
              <w:spacing w:after="0"/>
              <w:rPr>
                <w:sz w:val="20"/>
                <w:szCs w:val="20"/>
                <w:color w:val="auto"/>
              </w:rPr>
            </w:pPr>
            <w:r>
              <w:rPr>
                <w:rFonts w:ascii="Arial" w:cs="Arial" w:eastAsia="Arial" w:hAnsi="Arial"/>
                <w:sz w:val="13"/>
                <w:szCs w:val="13"/>
                <w:color w:val="auto"/>
              </w:rPr>
              <w:t>(2)</w:t>
            </w:r>
          </w:p>
        </w:tc>
        <w:tc>
          <w:tcPr>
            <w:tcW w:w="74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62" w:lineRule="exact"/>
        <w:rPr>
          <w:sz w:val="20"/>
          <w:szCs w:val="20"/>
          <w:color w:val="auto"/>
        </w:rPr>
      </w:pPr>
    </w:p>
    <w:p>
      <w:pPr>
        <w:ind w:left="1380" w:hanging="319"/>
        <w:spacing w:after="0"/>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55" w:lineRule="exact"/>
        <w:rPr>
          <w:rFonts w:ascii="Arial" w:cs="Arial" w:eastAsia="Arial" w:hAnsi="Arial"/>
          <w:sz w:val="14"/>
          <w:szCs w:val="14"/>
          <w:color w:val="auto"/>
        </w:rPr>
      </w:pPr>
    </w:p>
    <w:p>
      <w:pPr>
        <w:ind w:left="1380" w:hanging="319"/>
        <w:spacing w:after="0"/>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July 29, 2023</w:t>
            </w: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July 30, 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36,865</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10,242</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58,745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natural disasters such as hurricanes; uncertainty and economic impact of pandemics, epidemics or other public health emergencies such as the ongoing COVID-19 pandemic;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changes in consumer confidence and consumer spending patterns; competition within the industry; competition in our markets; the duration and extent of any economic stimulus programs; changes in product mix; interruptions in suppliers’ businesses; the ongoing assessment and impact of the January 2023 cyber disruption we identified on January 14, 2023, including legal, reputational, financial and contractual risks resulting from the January 2023 disruption, and other risks related to cybersecurity, data privacy and intellectual property; the results of pending or threatened litigation; temporary changes in demand due to weather patterns; seasonality of the Company’s business;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January 28, 2023, and in Part II, “Item 1A. Risk Factors” and elsewhere in the Company’s Quarterly Reports on Form 10-Q and any amendments thereto and in the other documents the Company files with the SEC, including reports on Form 8-K.</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4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are a leading specialty value retailer of apparel, accessories and home trends for way less spend primarily for African American and multicultural families. Our high-quality and trend-right merchandise offerings at everyday low prices are designed to appeal to the fashion and trend preferences of value-conscious customers. As of July 29, 2023, we operated 611 stores in urban, suburban and rural markets in 33 states.</w:t>
      </w:r>
    </w:p>
    <w:p>
      <w:pPr>
        <w:sectPr>
          <w:pgSz w:w="11900" w:h="16838" w:orient="portrait"/>
          <w:cols w:equalWidth="0" w:num="1">
            <w:col w:w="9920"/>
          </w:cols>
          <w:pgMar w:left="980" w:top="51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367030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Economic Conditions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expect that our operations in the short-term will continue to be influenced by general economic conditions, including the recent inflationary pressures, which are particularly impactful to the communities we serve. Given the macro-economic environment, we expect low-income families to remain under pressure through the majority of fiscal 2023. In addition,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256"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become a one-stop-shop, traffic to our stores is still influenced by weather patterns to some extent.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 Disruption</w:t>
      </w:r>
    </w:p>
    <w:p>
      <w:pPr>
        <w:spacing w:after="0" w:line="28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January 2023, we experienced a disruption of our back office and distribution center IT systems, which was due to what is known as Hive ransomware (the “January 2023 cyber disruption”). In connection with this incident, we engaged third party consultants and forensic experts to assist with the restoration and remediation of the Company’s systems and, with the assistance of law enforcement, to investigate the incident. We do not retain sensitive customer data on our systems. The impact of the January 2023 cyber disruption is not expected to be material to our full year fiscal 2023 financial results.</w:t>
      </w:r>
    </w:p>
    <w:p>
      <w:pPr>
        <w:spacing w:after="0" w:line="22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In the first half of fiscal 2023, the January 2023 cyber disruption related costs, net of an expected insurance receivable, totaled $1.7 million, comprised of incremental inventory processing costs, third-party consulting services and legal counsel. In fiscal 2022, cyber disruption related costs incurred totaled $0.1 million, primarily comprised of third-party consulting services and legal counsel. We do have cyber insurance, and we are working diligently with our insurance carriers on claims to recover costs incurred. We anticipate that our financial costs related to the January 2023 cyber disruption will ultimately be covered by insurance, subject to a retention. We expect to incur ongoing costs related to the cyber disruption, including costs to enhance data security, and plan to take further steps to prevent unauthorized access to, or manipulation of, our systems and data. Several putative class action lawsuits have been filed against the Company and several inquiries have been made to the Company with respect to the January 2023 cyber disruption. See Note 6 to the Financial Statements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following discussion contains references to fiscal years 2023 and 2022, which represent fiscal years ending or ended on February 3, 2024 and January 28, 2023, respectively. Fiscal 2023 has a 53-week accounting period and fiscal 2022 had a 52-week accounting period. This discussion and analysis should be read with the unaudited condensed consolidated financial statements and the notes thereto contained in Part 1, Item 1 of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43"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8" w:right="10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4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month of operation at the earliest or until its 24</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month at the latest. As an example, stores opened in fiscal 2022 and fiscal 2023 are not considered comparable stores in fiscal 2023.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July 29, 2023 and July 30, 2022</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$11.4 million, or 6.2%, to $173.6 million in the second quarter of 2023 from $185.0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2022. The decrease in sales was due to a 5.3% decrease in comparable store sales and a decrease of $1.8 million from net store opening and closing activity. The decrease in comparable store sales was the result of continued inflationary pressures in the second quarter of 2023 that are particularly impactful to our core customers.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$7.4 million, or 6.4%, to $107.2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2023 from $114.6 million in the second quarter of 2022. Cost of sales as a percentage of sales decreased to 61.8% from 61.9%. The change of 10 basis points was due to an increase of 50 basis points in the core merchandise margin (initial mark-up, net of markdowns) due primarily to lower markdowns, partially offset by an increase of 30 basis points in freight costs due to the deleveraging effect of lower sales and an increase of 10 basis points in shrinkage.</w:t>
      </w:r>
    </w:p>
    <w:p>
      <w:pPr>
        <w:spacing w:after="0" w:line="194"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$1.0 million, or 1.6%, to $69.5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second quarter of 2023 from $68.5 million in the second quarter of 2022. The increase was driven by (1) $2.4 million of one-time items that reduced expenses in the second quarter of last year (primarily consisting of an insurance gain and an adjustment to accrued vacation); (2) higher rent expense this year related to the sale-leasebacks of our distribution centers; and (3) higher incentive compensation this year due to the reversal last year of certain performance-based awards that were determined to be improbable of vesting. These increases were partially offset by lower insurance expense due primarily to an actuarial adjustment for future losses, lower professional fees and lower payroll expenses. As a percentage of sales, Selling, general and administrative expenses increased to 40.1% in the second quarter of 2023 from 37.0% in the second quarter of 2022, due to the factors discussed above and the deleveraging effect of lower sales.</w:t>
      </w:r>
    </w:p>
    <w:p>
      <w:pPr>
        <w:spacing w:after="0" w:line="39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$0.6 million, or 10.7%, to $4.7 million in the second quarter of 2023 from $5.3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2022.</w:t>
      </w:r>
    </w:p>
    <w:p>
      <w:pPr>
        <w:spacing w:after="0" w:line="178"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was $2.1 million in the second quarter of 2023 compared to benefit of $0.9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2022 due primarily to a higher pretax loss in the current period. For the second quarter of 2023, we used the discrete effective tax rate method to determine income tax expense based upon interim period results.</w:t>
      </w:r>
    </w:p>
    <w:p>
      <w:pPr>
        <w:spacing w:after="0" w:line="191"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Net loss was $5.0 million in the second quarter of 2023 compared to net loss of $2.5 million in the second quarter of 2022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factors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Twenty-Six Weeks Ended July 29, 2023 and July 30, 2022</w:t>
      </w:r>
    </w:p>
    <w:p>
      <w:pPr>
        <w:spacing w:after="0" w:line="25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$40.0 million, or 10.2%, to $353.2 million in the first twenty-six weeks of 2023 from $393.2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2022. The decrease in sales was due to a 10.0% decrease in comparable store sales and a $1.6 million decrease from net store opening and closing activity. The decrease in comparable store sales was the result of continued inflationary pressures in the first twenty-six weeks of 2023 that are particularly impactful to our core customers.</w:t>
      </w:r>
    </w:p>
    <w:p>
      <w:pPr>
        <w:spacing w:after="0" w:line="178"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$20.7 million, or 8.6%, to $220.9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twenty-six weeks of 2023 from $241.6 million in the same period of 2022. Cost of sales as a percentage of sales increased to 62.5% in the first twenty-six weeks of 2023 from 61.4% in the same period of 2022. The change of 110 basis points was due to an increase of 90 basis points in freight costs, a decrease of 10 basis points in the core merchandise margin (initial mark-up, net of markdowns) and an increase of 10 basis points in shrinkage due primarily to the deleveraging effect of lower sales.</w:t>
      </w:r>
    </w:p>
    <w:p>
      <w:pPr>
        <w:sectPr>
          <w:pgSz w:w="11900" w:h="16838" w:orient="portrait"/>
          <w:cols w:equalWidth="0" w:num="1">
            <w:col w:w="9920"/>
          </w:cols>
          <w:pgMar w:left="980" w:top="51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$0.9 million, or 0.6%, to $140.4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twenty-six weeks of 2023 from $139.5 million in the same period of 2022. The increase was due to (1) $2.4 million of one-time items that reduced expenses in the second quarter of last year (primarily consisting of an insurance gain and an adjustment to accrued vacation); (2) an incremental $1.2 million of costs related to the cyber disruption; and (3) higher rent expense this year related to the sale-leasebacks of our distribution centers. These increases were partially offset by lower insurance expense due to lower claims and an actuarial adjustment for future losses, lower professional fees and lower payroll costs. As a percentage of sales, Selling, general and administrative expenses increased to 39.7% in the first twenty-six weeks of 2023 from 35.5% in the first twenty-six weeks of 2022, due to the factors discussed above and the deleveraging effect of lower sales.</w:t>
      </w:r>
    </w:p>
    <w:p>
      <w:pPr>
        <w:spacing w:after="0" w:line="19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$1.3 million, or 12.4%, to $9.4 million in the first twenty-six weeks of 2023 from $10.7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last year.</w:t>
      </w:r>
    </w:p>
    <w:p>
      <w:pPr>
        <w:spacing w:after="0" w:line="164" w:lineRule="exact"/>
        <w:rPr>
          <w:sz w:val="20"/>
          <w:szCs w:val="20"/>
          <w:color w:val="auto"/>
        </w:rPr>
      </w:pPr>
    </w:p>
    <w:p>
      <w:pPr>
        <w:ind w:right="260"/>
        <w:spacing w:after="0" w:line="316"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first quarter of 2022, we completed a sale-leaseback transaction for our distribution center in Darlington,</w:t>
      </w:r>
      <w:r>
        <w:rPr>
          <w:rFonts w:ascii="Arial" w:cs="Arial" w:eastAsia="Arial" w:hAnsi="Arial"/>
          <w:sz w:val="16"/>
          <w:szCs w:val="16"/>
          <w:i w:val="1"/>
          <w:iCs w:val="1"/>
          <w:color w:val="auto"/>
        </w:rPr>
        <w:t xml:space="preserve"> </w:t>
      </w:r>
      <w:r>
        <w:rPr>
          <w:rFonts w:ascii="Arial" w:cs="Arial" w:eastAsia="Arial" w:hAnsi="Arial"/>
          <w:sz w:val="16"/>
          <w:szCs w:val="16"/>
          <w:color w:val="auto"/>
        </w:rPr>
        <w:t>South Carolina that resulted in a $34.9 million gain.</w:t>
      </w:r>
    </w:p>
    <w:p>
      <w:pPr>
        <w:spacing w:after="0" w:line="150"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Income tax benefit was $4.0 million in the first twenty-six weeks of 2023 compared to income tax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$8.5 million in the first twenty-six weeks of 2022 due to pretax loss this year compared to pretax income last year that included the gain on sale leaseback. For the first half of 2023, we used the discrete effective tax rate method to determine income tax expense based upon interim period results.</w:t>
      </w:r>
    </w:p>
    <w:p>
      <w:pPr>
        <w:spacing w:after="0" w:line="178"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i w:val="1"/>
          <w:iCs w:val="1"/>
          <w:color w:val="auto"/>
        </w:rPr>
        <w:t xml:space="preserve">Net (Loss) Income. </w:t>
      </w:r>
      <w:r>
        <w:rPr>
          <w:rFonts w:ascii="Arial" w:cs="Arial" w:eastAsia="Arial" w:hAnsi="Arial"/>
          <w:sz w:val="16"/>
          <w:szCs w:val="16"/>
          <w:color w:val="auto"/>
        </w:rPr>
        <w:t>Net loss was $11.7 million in the first twenty-six weeks of 2023 compared to net income of $27.7 million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2022 due to the factors discussed above.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capital allocation strategy is to maintain adequate liquidity to prioritize investments in opportunities to profitably grow our business and maintain current operations, then to return excess cash to shareholders through our repurchase programs. Our quarter-end cash and cash equivalents balance was $65.8 million compared to cash and cash equivalents of $27.9 million at the end of the second quarter last year.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Until required for other purposes, we maintain cash and cash equivalents in deposit or money market accounts.</w:t>
      </w:r>
    </w:p>
    <w:p>
      <w:pPr>
        <w:spacing w:after="0" w:line="23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48"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Our quarter-end inventory balance was $134.5 million, compared with $142.1 million at the end of the second quarter last year. The decrease was primarily due to a planned reduction in our packaway inventory, partially offset by a strategic increase in our average in-store inventory.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6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Capital expenditures in the first twenty-six weeks of 2023 were $6.9 million, a decrease of $11.5 million over the first twenty-six weeks of 2022 as we pared back our investments in new stores and remodels. We anticipate capital expenditures in fiscal 2023 in the range of $15 to $20 million, primarily for opening five new stores and remodeling ten to twenty stores, combined with ongoing investments in our systems.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24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did not repurchase any shares of our common stock in the first half of 2023. During the first half of 2022, we returned $10.0 million to shareholders through share repurchases. See Part II of this Report and Note 7 to the Financial Statements for more information.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have a revolving credit facility that matures in April 2026 and provides a $75 million credit commitment and a $25 million uncommitted “accordion” feature. Additional details of the credit facility are in Note 4 to the Financial Statements. At the end of the second quarter of 2023, we had no borrowings under the credit facility and $0.6 million in letters of credit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$30.0 million in the first twenty-six weeks of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$38.2 million in the same period of 2022. Sources of cash this year included net loss adjusted for non-cash expenses totaling $22.2 million (compared to net income adjusted for non-cash items of $32.7 million in the first twenty-six weeks of 2022) and an increase of $12.4 million in accounts payable (compared to a $16.3 million decrease in the same period last year).</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Significant uses of cash from operating activities in the first twenty-six weeks of 2023 included (1) a $31.2 million decrease in accrued expenses and other long-term liabilities (compared to a $24.1 million decrease in the first twenty-six weeks of 2022) due primarily to payments of operating lease liabilities; and (2) a $28.7 million increase in inventory (compared to a $19.5 million increase in the same period last year).</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$6.9 million in the first twenty-six weeks of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of $28.4 million in the same period last year. Cash used in the first twenty-six weeks of 2023 consisted of purchases of property and equipment. Cash provided by investing activities in the first twenty-six weeks of 2022 consisted of $45.5 million net proceeds from the sale-leaseback transaction, partially offset by $18.4 million for purchases of property and equipment.</w:t>
      </w:r>
    </w:p>
    <w:p>
      <w:pPr>
        <w:spacing w:after="0" w:line="17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$0.8 million in the first twenty-six weeks of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$12.1 million in the same period last year. Cash used in the first twenty-six weeks of 2023 consisted of payments to settle withholding taxes on restricted stock that vested. Cash used in the first twenty-six weeks of 2022 consisted of $10.0 million of repurchases of our common stock and payments of $2.1 million to settle withholding taxes on restricted stock that vested.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July 29, 2023, our contractual commitments for operating leases totaled $245.1 million (with $46.5 million due within 12 months). See Note 9 to the Financial Statements for more information regarding lease commitments.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43"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9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There have been no material changes to the Critical Accounting Policies outlined in our Annual Report on Form 10-K for the fiscal year ended January 28, 2023.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56"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auto"/>
        </w:rPr>
        <w:t>There have been no material changes in our market risk during the twenty-six weeks ended July 29, 2023 compared to the disclosures in Part II, Item 7A of our Annual Report on Form 10-K for the fiscal year ended January 28, 2023</w:t>
      </w:r>
      <w:r>
        <w:rPr>
          <w:rFonts w:ascii="Arial" w:cs="Arial" w:eastAsia="Arial" w:hAnsi="Arial"/>
          <w:sz w:val="17"/>
          <w:szCs w:val="17"/>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8" w:right="10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4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July 29, 2023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90"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July 29,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8" w:right="10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See Note 6 to the Financial Statements for information regarding legal matters.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4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January 28, 2023.</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3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did not repurchase any shares in the second quarter of 2023. At July 29, 2023, $50.0 million remained available under the Company’s stock repurchase authorization.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518" w:right="11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w:t>
            </w:r>
          </w:p>
        </w:tc>
        <w:tc>
          <w:tcPr>
            <w:tcW w:w="8960" w:type="dxa"/>
            <w:vAlign w:val="bottom"/>
            <w:gridSpan w:val="12"/>
          </w:tcPr>
          <w:p>
            <w:pPr>
              <w:spacing w:after="0"/>
              <w:rPr>
                <w:rFonts w:ascii="Arial" w:cs="Arial" w:eastAsia="Arial" w:hAnsi="Arial"/>
                <w:sz w:val="16"/>
                <w:szCs w:val="16"/>
                <w:color w:val="0000EE"/>
              </w:rPr>
            </w:pPr>
            <w:hyperlink r:id="rId29">
              <w:r>
                <w:rPr>
                  <w:rFonts w:ascii="Arial" w:cs="Arial" w:eastAsia="Arial" w:hAnsi="Arial"/>
                  <w:sz w:val="16"/>
                  <w:szCs w:val="16"/>
                  <w:color w:val="0000EE"/>
                </w:rPr>
                <w:t>Third Amended and Restated Certificate of Incorporation (incorporated by reference to Exhibit 3.1 to the Company’s Current</w:t>
              </w:r>
            </w:hyperlink>
          </w:p>
        </w:tc>
      </w:tr>
      <w:tr>
        <w:trPr>
          <w:trHeight w:val="209"/>
        </w:trPr>
        <w:tc>
          <w:tcPr>
            <w:tcW w:w="920" w:type="dxa"/>
            <w:vAlign w:val="bottom"/>
          </w:tcPr>
          <w:p>
            <w:pPr>
              <w:spacing w:after="0"/>
              <w:rPr>
                <w:sz w:val="18"/>
                <w:szCs w:val="18"/>
                <w:color w:val="auto"/>
              </w:rPr>
            </w:pPr>
          </w:p>
        </w:tc>
        <w:tc>
          <w:tcPr>
            <w:tcW w:w="8860" w:type="dxa"/>
            <w:vAlign w:val="bottom"/>
            <w:tcBorders>
              <w:top w:val="single" w:sz="8" w:color="0000EE"/>
            </w:tcBorders>
            <w:gridSpan w:val="10"/>
          </w:tcPr>
          <w:p>
            <w:pPr>
              <w:spacing w:after="0"/>
              <w:rPr>
                <w:rFonts w:ascii="Arial" w:cs="Arial" w:eastAsia="Arial" w:hAnsi="Arial"/>
                <w:sz w:val="16"/>
                <w:szCs w:val="16"/>
                <w:color w:val="0000EE"/>
              </w:rPr>
            </w:pPr>
            <w:hyperlink r:id="rId29">
              <w:r>
                <w:rPr>
                  <w:rFonts w:ascii="Arial" w:cs="Arial" w:eastAsia="Arial" w:hAnsi="Arial"/>
                  <w:sz w:val="16"/>
                  <w:szCs w:val="16"/>
                  <w:color w:val="0000EE"/>
                </w:rPr>
                <w:t>Report on Form 8-K filed with the SEC on June 7, 2018)</w:t>
              </w:r>
              <w:r>
                <w:rPr>
                  <w:rFonts w:ascii="Arial" w:cs="Arial" w:eastAsia="Arial" w:hAnsi="Arial"/>
                  <w:sz w:val="16"/>
                  <w:szCs w:val="16"/>
                  <w:color w:val="000000"/>
                </w:rPr>
                <w:t>.</w:t>
              </w:r>
            </w:hyperlink>
          </w:p>
        </w:tc>
        <w:tc>
          <w:tcPr>
            <w:tcW w:w="100" w:type="dxa"/>
            <w:vAlign w:val="bottom"/>
            <w:gridSpan w:val="2"/>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w:t>
            </w:r>
          </w:p>
        </w:tc>
        <w:tc>
          <w:tcPr>
            <w:tcW w:w="8960" w:type="dxa"/>
            <w:vAlign w:val="bottom"/>
            <w:gridSpan w:val="12"/>
          </w:tcPr>
          <w:p>
            <w:pPr>
              <w:spacing w:after="0"/>
              <w:rPr>
                <w:rFonts w:ascii="Arial" w:cs="Arial" w:eastAsia="Arial" w:hAnsi="Arial"/>
                <w:sz w:val="16"/>
                <w:szCs w:val="16"/>
                <w:color w:val="0000EE"/>
              </w:rPr>
            </w:pPr>
            <w:hyperlink r:id="rId30">
              <w:r>
                <w:rPr>
                  <w:rFonts w:ascii="Arial" w:cs="Arial" w:eastAsia="Arial" w:hAnsi="Arial"/>
                  <w:sz w:val="16"/>
                  <w:szCs w:val="16"/>
                  <w:color w:val="0000EE"/>
                </w:rPr>
                <w:t>Certificate of Change of Registered Agent and/or Registered Office (incorporated by reference to Exhibit 3.1 to the</w:t>
              </w:r>
            </w:hyperlink>
          </w:p>
        </w:tc>
      </w:tr>
      <w:tr>
        <w:trPr>
          <w:trHeight w:val="209"/>
        </w:trPr>
        <w:tc>
          <w:tcPr>
            <w:tcW w:w="920" w:type="dxa"/>
            <w:vAlign w:val="bottom"/>
          </w:tcPr>
          <w:p>
            <w:pPr>
              <w:spacing w:after="0"/>
              <w:rPr>
                <w:sz w:val="18"/>
                <w:szCs w:val="18"/>
                <w:color w:val="auto"/>
              </w:rPr>
            </w:pPr>
          </w:p>
        </w:tc>
        <w:tc>
          <w:tcPr>
            <w:tcW w:w="8160" w:type="dxa"/>
            <w:vAlign w:val="bottom"/>
            <w:tcBorders>
              <w:top w:val="single" w:sz="8" w:color="0000EE"/>
            </w:tcBorders>
            <w:gridSpan w:val="7"/>
          </w:tcPr>
          <w:p>
            <w:pPr>
              <w:spacing w:after="0"/>
              <w:rPr>
                <w:rFonts w:ascii="Arial" w:cs="Arial" w:eastAsia="Arial" w:hAnsi="Arial"/>
                <w:sz w:val="16"/>
                <w:szCs w:val="16"/>
                <w:color w:val="0000EE"/>
              </w:rPr>
            </w:pPr>
            <w:hyperlink r:id="rId30">
              <w:r>
                <w:rPr>
                  <w:rFonts w:ascii="Arial" w:cs="Arial" w:eastAsia="Arial" w:hAnsi="Arial"/>
                  <w:sz w:val="16"/>
                  <w:szCs w:val="16"/>
                  <w:color w:val="0000EE"/>
                </w:rPr>
                <w:t>Company’s Current Report on Form 8-K filed with the SEC on October 31, 2022).</w:t>
              </w:r>
            </w:hyperlink>
          </w:p>
        </w:tc>
        <w:tc>
          <w:tcPr>
            <w:tcW w:w="800" w:type="dxa"/>
            <w:vAlign w:val="bottom"/>
            <w:gridSpan w:val="5"/>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3.3</w:t>
            </w:r>
          </w:p>
        </w:tc>
        <w:tc>
          <w:tcPr>
            <w:tcW w:w="8960" w:type="dxa"/>
            <w:vAlign w:val="bottom"/>
            <w:tcBorders>
              <w:bottom w:val="single" w:sz="8" w:color="0000EE"/>
            </w:tcBorders>
            <w:gridSpan w:val="12"/>
          </w:tcPr>
          <w:p>
            <w:pPr>
              <w:spacing w:after="0"/>
              <w:rPr>
                <w:rFonts w:ascii="Arial" w:cs="Arial" w:eastAsia="Arial" w:hAnsi="Arial"/>
                <w:sz w:val="16"/>
                <w:szCs w:val="16"/>
                <w:color w:val="0000EE"/>
              </w:rPr>
            </w:pPr>
            <w:hyperlink r:id="rId31">
              <w:r>
                <w:rPr>
                  <w:rFonts w:ascii="Arial" w:cs="Arial" w:eastAsia="Arial" w:hAnsi="Arial"/>
                  <w:sz w:val="16"/>
                  <w:szCs w:val="16"/>
                  <w:color w:val="0000EE"/>
                </w:rPr>
                <w:t>Fourth Amended and Restated Bylaws (incorporated by reference to Exhibit 3.2 to the Company’s Current Report on Form 8-</w:t>
              </w:r>
            </w:hyperlink>
          </w:p>
        </w:tc>
      </w:tr>
      <w:tr>
        <w:trPr>
          <w:trHeight w:val="210"/>
        </w:trPr>
        <w:tc>
          <w:tcPr>
            <w:tcW w:w="920" w:type="dxa"/>
            <w:vAlign w:val="bottom"/>
          </w:tcPr>
          <w:p>
            <w:pPr>
              <w:spacing w:after="0"/>
              <w:rPr>
                <w:sz w:val="18"/>
                <w:szCs w:val="18"/>
                <w:color w:val="auto"/>
              </w:rPr>
            </w:pPr>
          </w:p>
        </w:tc>
        <w:tc>
          <w:tcPr>
            <w:tcW w:w="8960" w:type="dxa"/>
            <w:vAlign w:val="bottom"/>
            <w:gridSpan w:val="12"/>
          </w:tcPr>
          <w:p>
            <w:pPr>
              <w:spacing w:after="0"/>
              <w:rPr>
                <w:rFonts w:ascii="Arial" w:cs="Arial" w:eastAsia="Arial" w:hAnsi="Arial"/>
                <w:sz w:val="16"/>
                <w:szCs w:val="16"/>
                <w:color w:val="0000EE"/>
              </w:rPr>
            </w:pPr>
            <w:hyperlink r:id="rId31">
              <w:r>
                <w:rPr>
                  <w:rFonts w:ascii="Arial" w:cs="Arial" w:eastAsia="Arial" w:hAnsi="Arial"/>
                  <w:sz w:val="16"/>
                  <w:szCs w:val="16"/>
                  <w:color w:val="0000EE"/>
                </w:rPr>
                <w:t>K filed with the SEC on October 31, 2022).</w:t>
              </w:r>
            </w:hyperlink>
          </w:p>
        </w:tc>
      </w:tr>
      <w:tr>
        <w:trPr>
          <w:trHeight w:val="20"/>
        </w:trPr>
        <w:tc>
          <w:tcPr>
            <w:tcW w:w="9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8960" w:type="dxa"/>
            <w:vAlign w:val="bottom"/>
            <w:gridSpan w:val="12"/>
          </w:tcPr>
          <w:p>
            <w:pPr>
              <w:spacing w:after="0"/>
              <w:rPr>
                <w:sz w:val="20"/>
                <w:szCs w:val="20"/>
                <w:color w:val="auto"/>
              </w:rPr>
            </w:pPr>
            <w:r>
              <w:rPr>
                <w:rFonts w:ascii="Arial" w:cs="Arial" w:eastAsia="Arial" w:hAnsi="Arial"/>
                <w:sz w:val="16"/>
                <w:szCs w:val="16"/>
                <w:color w:val="0000EE"/>
              </w:rPr>
              <w:t>Form of Restricted Stock Unit Award Agreement for Employees under the Citi Trends, Inc. 2021 Incentive Plan (Performance</w:t>
            </w:r>
          </w:p>
        </w:tc>
      </w:tr>
      <w:tr>
        <w:trPr>
          <w:trHeight w:val="210"/>
        </w:trPr>
        <w:tc>
          <w:tcPr>
            <w:tcW w:w="920" w:type="dxa"/>
            <w:vAlign w:val="bottom"/>
          </w:tcPr>
          <w:p>
            <w:pPr>
              <w:spacing w:after="0"/>
              <w:rPr>
                <w:sz w:val="18"/>
                <w:szCs w:val="18"/>
                <w:color w:val="auto"/>
              </w:rPr>
            </w:pPr>
          </w:p>
        </w:tc>
        <w:tc>
          <w:tcPr>
            <w:tcW w:w="8940" w:type="dxa"/>
            <w:vAlign w:val="bottom"/>
            <w:tcBorders>
              <w:top w:val="single" w:sz="8" w:color="0000EE"/>
            </w:tcBorders>
            <w:gridSpan w:val="11"/>
          </w:tcPr>
          <w:p>
            <w:pPr>
              <w:spacing w:after="0"/>
              <w:rPr>
                <w:sz w:val="20"/>
                <w:szCs w:val="20"/>
                <w:color w:val="auto"/>
              </w:rPr>
            </w:pPr>
            <w:r>
              <w:rPr>
                <w:rFonts w:ascii="Arial" w:cs="Arial" w:eastAsia="Arial" w:hAnsi="Arial"/>
                <w:sz w:val="16"/>
                <w:szCs w:val="16"/>
                <w:color w:val="0000EE"/>
              </w:rPr>
              <w:t>Based Vesting – EBITDA Target)</w:t>
            </w:r>
            <w:r>
              <w:rPr>
                <w:rFonts w:ascii="Arial" w:cs="Arial" w:eastAsia="Arial" w:hAnsi="Arial"/>
                <w:sz w:val="16"/>
                <w:szCs w:val="16"/>
                <w:color w:val="000000"/>
              </w:rPr>
              <w:t>.+</w:t>
            </w: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8960" w:type="dxa"/>
            <w:vAlign w:val="bottom"/>
            <w:gridSpan w:val="12"/>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 Adopted</w:t>
            </w:r>
          </w:p>
        </w:tc>
      </w:tr>
      <w:tr>
        <w:trPr>
          <w:trHeight w:val="209"/>
        </w:trPr>
        <w:tc>
          <w:tcPr>
            <w:tcW w:w="920" w:type="dxa"/>
            <w:vAlign w:val="bottom"/>
          </w:tcPr>
          <w:p>
            <w:pPr>
              <w:spacing w:after="0"/>
              <w:rPr>
                <w:sz w:val="18"/>
                <w:szCs w:val="18"/>
                <w:color w:val="auto"/>
              </w:rPr>
            </w:pPr>
          </w:p>
        </w:tc>
        <w:tc>
          <w:tcPr>
            <w:tcW w:w="8520" w:type="dxa"/>
            <w:vAlign w:val="bottom"/>
            <w:tcBorders>
              <w:top w:val="single" w:sz="8" w:color="0000EE"/>
            </w:tcBorders>
            <w:gridSpan w:val="9"/>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c>
          <w:tcPr>
            <w:tcW w:w="440" w:type="dxa"/>
            <w:vAlign w:val="bottom"/>
            <w:gridSpan w:val="3"/>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84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 Adopted</w:t>
            </w:r>
          </w:p>
        </w:tc>
        <w:tc>
          <w:tcPr>
            <w:tcW w:w="480" w:type="dxa"/>
            <w:vAlign w:val="bottom"/>
            <w:gridSpan w:val="4"/>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8960" w:type="dxa"/>
            <w:vAlign w:val="bottom"/>
            <w:gridSpan w:val="12"/>
          </w:tcPr>
          <w:p>
            <w:pPr>
              <w:spacing w:after="0"/>
              <w:rPr>
                <w:sz w:val="20"/>
                <w:szCs w:val="20"/>
                <w:color w:val="auto"/>
              </w:rPr>
            </w:pPr>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p>
        </w:tc>
      </w:tr>
      <w:tr>
        <w:trPr>
          <w:trHeight w:val="20"/>
        </w:trPr>
        <w:tc>
          <w:tcPr>
            <w:tcW w:w="920" w:type="dxa"/>
            <w:vAlign w:val="bottom"/>
          </w:tcPr>
          <w:p>
            <w:pPr>
              <w:spacing w:after="0" w:line="20" w:lineRule="exact"/>
              <w:rPr>
                <w:sz w:val="1"/>
                <w:szCs w:val="1"/>
                <w:color w:val="auto"/>
              </w:rPr>
            </w:pPr>
          </w:p>
        </w:tc>
        <w:tc>
          <w:tcPr>
            <w:tcW w:w="4280" w:type="dxa"/>
            <w:vAlign w:val="bottom"/>
            <w:gridSpan w:val="5"/>
            <w:shd w:val="clear" w:color="auto" w:fill="0000EE"/>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8960" w:type="dxa"/>
            <w:vAlign w:val="bottom"/>
            <w:gridSpan w:val="12"/>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 Act of 2002.+†</w:t>
            </w:r>
          </w:p>
        </w:tc>
      </w:tr>
      <w:tr>
        <w:trPr>
          <w:trHeight w:val="20"/>
        </w:trPr>
        <w:tc>
          <w:tcPr>
            <w:tcW w:w="9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1" w:lineRule="exact"/>
        <w:rPr>
          <w:sz w:val="20"/>
          <w:szCs w:val="20"/>
          <w:color w:val="auto"/>
        </w:rPr>
      </w:pPr>
    </w:p>
    <w:p>
      <w:pPr>
        <w:ind w:left="920" w:right="240" w:hanging="911"/>
        <w:spacing w:after="0" w:line="328"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294" w:lineRule="exact"/>
        <w:rPr>
          <w:sz w:val="20"/>
          <w:szCs w:val="20"/>
          <w:color w:val="auto"/>
        </w:rPr>
      </w:pPr>
    </w:p>
    <w:p>
      <w:pPr>
        <w:ind w:left="920" w:right="320" w:hanging="911"/>
        <w:spacing w:after="0" w:line="328"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80"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-229870</wp:posOffset>
            </wp:positionV>
            <wp:extent cx="15684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15"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indicates management contract for compensatory plan or arrangement.</w:t>
      </w:r>
    </w:p>
    <w:p>
      <w:pPr>
        <w:spacing w:after="0" w:line="235"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17"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8" w:right="10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4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00" w:lineRule="exact"/>
        <w:rPr>
          <w:sz w:val="20"/>
          <w:szCs w:val="20"/>
          <w:color w:val="auto"/>
        </w:rPr>
      </w:pPr>
    </w:p>
    <w:p>
      <w:pPr>
        <w:spacing w:after="0" w:line="24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6, 2023</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Heather Plutino</w:t>
            </w:r>
          </w:p>
        </w:tc>
        <w:tc>
          <w:tcPr>
            <w:tcW w:w="0" w:type="dxa"/>
            <w:vAlign w:val="bottom"/>
          </w:tcPr>
          <w:p>
            <w:pPr>
              <w:spacing w:after="0"/>
              <w:rPr>
                <w:sz w:val="1"/>
                <w:szCs w:val="1"/>
                <w:color w:val="auto"/>
              </w:rPr>
            </w:pPr>
          </w:p>
        </w:tc>
      </w:tr>
      <w:tr>
        <w:trPr>
          <w:trHeight w:val="60"/>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Heather Plutino</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8" w:right="9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PERFORMANCE-BASED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RESTRICTED STOCK UNIT AWARD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Non-transferable Grant to</w:t>
      </w: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808080"/>
        </w:rPr>
        <w:t>__________________</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(“Grantee”)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Citi Trends, Inc. (the “Company”) of</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______</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(the “Units") representing the right to earn, on a one-for-one basis, shares of the Company’s</w:t>
      </w:r>
    </w:p>
    <w:p>
      <w:pPr>
        <w:spacing w:after="0" w:line="3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common stock (“Shares”) , as provided herein, pursuant to and subject to the provisions of the Citi Trends 2021 Incentive Plan (the “Plan”), and to the terms and conditions set forth on the following page of this Agreement (the “Agreement”).</w:t>
      </w:r>
    </w:p>
    <w:p>
      <w:pPr>
        <w:spacing w:after="0" w:line="183" w:lineRule="exact"/>
        <w:rPr>
          <w:sz w:val="20"/>
          <w:szCs w:val="20"/>
          <w:color w:val="auto"/>
        </w:rPr>
      </w:pPr>
    </w:p>
    <w:p>
      <w:pPr>
        <w:spacing w:after="0"/>
        <w:tabs>
          <w:tab w:leader="none" w:pos="7000" w:val="left"/>
        </w:tabs>
        <w:rPr>
          <w:sz w:val="20"/>
          <w:szCs w:val="20"/>
          <w:color w:val="auto"/>
        </w:rPr>
      </w:pPr>
      <w:r>
        <w:rPr>
          <w:rFonts w:ascii="Arial" w:cs="Arial" w:eastAsia="Arial" w:hAnsi="Arial"/>
          <w:sz w:val="20"/>
          <w:szCs w:val="20"/>
          <w:color w:val="auto"/>
        </w:rPr>
        <w:t>The target number of Shares subject to this award is _____ (the “Target Award”).</w:t>
      </w:r>
      <w:r>
        <w:rPr>
          <w:sz w:val="20"/>
          <w:szCs w:val="20"/>
          <w:color w:val="auto"/>
        </w:rPr>
        <w:tab/>
      </w:r>
      <w:r>
        <w:rPr>
          <w:rFonts w:ascii="Arial" w:cs="Arial" w:eastAsia="Arial" w:hAnsi="Arial"/>
          <w:sz w:val="19"/>
          <w:szCs w:val="19"/>
          <w:color w:val="auto"/>
        </w:rPr>
        <w:t>Depending on the Company’s level of</w:t>
      </w:r>
    </w:p>
    <w:p>
      <w:pPr>
        <w:spacing w:after="0" w:line="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 xml:space="preserve">achievement of Adjusted EBITDA (as defined in Section 14 of the terms and conditions of this Agreement) for the fiscal year ended January 31, 2026 (“fiscal 2025”)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and subject to Grantee’s remaining in Continuous Service with the Company through such date, Grantee may earn and vest in between 0% and 200% of the Target Award, subject to the terms and conditions of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Units, Grantee shall be deemed to have agreed to the terms and conditions of this Agreement and the Plan.</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Capitalized terms used herein and not otherwise defined shall have the meanings assigned to such terms in the Plan.</w:t>
      </w:r>
    </w:p>
    <w:p>
      <w:pPr>
        <w:spacing w:after="0" w:line="200" w:lineRule="exact"/>
        <w:rPr>
          <w:sz w:val="20"/>
          <w:szCs w:val="20"/>
          <w:color w:val="auto"/>
        </w:rPr>
      </w:pPr>
    </w:p>
    <w:p>
      <w:pPr>
        <w:spacing w:after="0" w:line="254" w:lineRule="exact"/>
        <w:rPr>
          <w:sz w:val="20"/>
          <w:szCs w:val="20"/>
          <w:color w:val="auto"/>
        </w:rPr>
      </w:pPr>
    </w:p>
    <w:p>
      <w:pPr>
        <w:jc w:val="center"/>
        <w:ind w:left="860" w:right="140"/>
        <w:spacing w:after="0" w:line="260" w:lineRule="auto"/>
        <w:rPr>
          <w:sz w:val="20"/>
          <w:szCs w:val="20"/>
          <w:color w:val="auto"/>
        </w:rPr>
      </w:pPr>
      <w:r>
        <w:rPr>
          <w:rFonts w:ascii="Arial" w:cs="Arial" w:eastAsia="Arial" w:hAnsi="Arial"/>
          <w:sz w:val="20"/>
          <w:szCs w:val="20"/>
          <w:color w:val="auto"/>
        </w:rPr>
        <w:t>IN WITNESS WHEREOF, the Company, acting by and through its duly authorized officers, has caused this Agreement to be duly executed.</w:t>
      </w:r>
    </w:p>
    <w:p>
      <w:pPr>
        <w:spacing w:after="0" w:line="200" w:lineRule="exact"/>
        <w:rPr>
          <w:sz w:val="20"/>
          <w:szCs w:val="20"/>
          <w:color w:val="auto"/>
        </w:rPr>
      </w:pPr>
    </w:p>
    <w:p>
      <w:pPr>
        <w:spacing w:after="0" w:line="214"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 xml:space="preserve">Grant Date of Award: </w:t>
      </w:r>
      <w:r>
        <w:rPr>
          <w:rFonts w:ascii="Arial" w:cs="Arial" w:eastAsia="Arial" w:hAnsi="Arial"/>
          <w:sz w:val="20"/>
          <w:szCs w:val="20"/>
          <w:b w:val="1"/>
          <w:bCs w:val="1"/>
          <w:u w:val="single" w:color="auto"/>
          <w:color w:val="auto"/>
        </w:rPr>
        <w:t>____________</w:t>
      </w:r>
    </w:p>
    <w:p>
      <w:pPr>
        <w:spacing w:after="0" w:line="200" w:lineRule="exact"/>
        <w:rPr>
          <w:sz w:val="20"/>
          <w:szCs w:val="20"/>
          <w:color w:val="auto"/>
        </w:rPr>
      </w:pPr>
    </w:p>
    <w:p>
      <w:pPr>
        <w:spacing w:after="0" w:line="265"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CITI TRENDS, INC.</w:t>
      </w:r>
    </w:p>
    <w:p>
      <w:pPr>
        <w:spacing w:after="0" w:line="200" w:lineRule="exact"/>
        <w:rPr>
          <w:sz w:val="20"/>
          <w:szCs w:val="20"/>
          <w:color w:val="auto"/>
        </w:rPr>
      </w:pPr>
    </w:p>
    <w:p>
      <w:pPr>
        <w:spacing w:after="0" w:line="259"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By: ____________________________________________</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David Makuen, Chief Executive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369570</wp:posOffset>
            </wp:positionV>
            <wp:extent cx="64808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118" w:right="859" w:bottom="1440" w:gutter="0" w:footer="0" w:header="0"/>
        </w:sectPr>
      </w:pPr>
    </w:p>
    <w:bookmarkStart w:id="20" w:name="page21"/>
    <w:bookmarkEnd w:id="20"/>
    <w:p>
      <w:pPr>
        <w:ind w:left="6"/>
        <w:spacing w:after="0"/>
        <w:rPr>
          <w:sz w:val="20"/>
          <w:szCs w:val="20"/>
          <w:color w:val="auto"/>
        </w:rPr>
      </w:pPr>
      <w:r>
        <w:rPr>
          <w:rFonts w:ascii="Arial" w:cs="Arial" w:eastAsia="Arial" w:hAnsi="Arial"/>
          <w:sz w:val="16"/>
          <w:szCs w:val="16"/>
          <w:b w:val="1"/>
          <w:bCs w:val="1"/>
          <w:color w:val="auto"/>
        </w:rPr>
        <w:t>TERMS AND CONDITIONS</w:t>
      </w:r>
    </w:p>
    <w:p>
      <w:pPr>
        <w:spacing w:after="0" w:line="198" w:lineRule="exact"/>
        <w:rPr>
          <w:sz w:val="20"/>
          <w:szCs w:val="20"/>
          <w:color w:val="auto"/>
        </w:rPr>
      </w:pPr>
    </w:p>
    <w:p>
      <w:pPr>
        <w:jc w:val="both"/>
        <w:ind w:left="6" w:hanging="6"/>
        <w:spacing w:after="0" w:line="255" w:lineRule="auto"/>
        <w:tabs>
          <w:tab w:leader="none" w:pos="23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Grant of Units</w:t>
      </w:r>
      <w:r>
        <w:rPr>
          <w:rFonts w:ascii="Arial" w:cs="Arial" w:eastAsia="Arial" w:hAnsi="Arial"/>
          <w:sz w:val="16"/>
          <w:szCs w:val="16"/>
          <w:color w:val="auto"/>
        </w:rPr>
        <w:t>. The Company hereby grants to Grantee, subject to the restrictions and the terms and conditions set forth in the Plan and in this Agreement, the number of Units indicated on page 1 hereof which represent the right to receive shares of the Company’s Stock.</w:t>
      </w:r>
    </w:p>
    <w:p>
      <w:pPr>
        <w:spacing w:after="0" w:line="150" w:lineRule="exact"/>
        <w:rPr>
          <w:rFonts w:ascii="Arial" w:cs="Arial" w:eastAsia="Arial" w:hAnsi="Arial"/>
          <w:sz w:val="16"/>
          <w:szCs w:val="16"/>
          <w:color w:val="auto"/>
        </w:rPr>
      </w:pPr>
    </w:p>
    <w:p>
      <w:pPr>
        <w:jc w:val="both"/>
        <w:ind w:left="6" w:right="20" w:hanging="6"/>
        <w:spacing w:after="0" w:line="271" w:lineRule="auto"/>
        <w:tabs>
          <w:tab w:leader="none" w:pos="23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Vesting of Units</w:t>
      </w:r>
      <w:r>
        <w:rPr>
          <w:rFonts w:ascii="Arial" w:cs="Arial" w:eastAsia="Arial" w:hAnsi="Arial"/>
          <w:sz w:val="16"/>
          <w:szCs w:val="16"/>
          <w:color w:val="auto"/>
        </w:rPr>
        <w:t>. The Units have been credited to a bookkeeping account on behalf of Grantee. The Units will vest and become non-forfeitable on the earliest to occur of the following (each, a “Vesting Date”):</w:t>
      </w:r>
    </w:p>
    <w:p>
      <w:pPr>
        <w:spacing w:after="0" w:line="122" w:lineRule="exact"/>
        <w:rPr>
          <w:sz w:val="20"/>
          <w:szCs w:val="20"/>
          <w:color w:val="auto"/>
        </w:rPr>
      </w:pPr>
    </w:p>
    <w:p>
      <w:pPr>
        <w:jc w:val="both"/>
        <w:ind w:left="6" w:hanging="6"/>
        <w:spacing w:after="0" w:line="297" w:lineRule="auto"/>
        <w:tabs>
          <w:tab w:leader="none" w:pos="33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as to the number of Units earned based on the Company’s level of achievement of Adjusted EBITDA fiscal 2025 as set forth on </w:t>
      </w:r>
      <w:r>
        <w:rPr>
          <w:rFonts w:ascii="Arial" w:cs="Arial" w:eastAsia="Arial" w:hAnsi="Arial"/>
          <w:sz w:val="14"/>
          <w:szCs w:val="14"/>
          <w:u w:val="single" w:color="auto"/>
          <w:color w:val="auto"/>
        </w:rPr>
        <w:t>Exhibit A</w:t>
      </w:r>
      <w:r>
        <w:rPr>
          <w:rFonts w:ascii="Arial" w:cs="Arial" w:eastAsia="Arial" w:hAnsi="Arial"/>
          <w:sz w:val="14"/>
          <w:szCs w:val="14"/>
          <w:color w:val="auto"/>
        </w:rPr>
        <w:t>, on the date of the Company’s earnings release for fiscal 2025, subject to either (i) Grantee’s Continuous Service with the Company through such date, or (ii) termination of Grantee’s Continuous Service prior to such date by reason of Grantee’s death or Disability;</w:t>
      </w:r>
    </w:p>
    <w:p>
      <w:pPr>
        <w:spacing w:after="0" w:line="107" w:lineRule="exact"/>
        <w:rPr>
          <w:rFonts w:ascii="Arial" w:cs="Arial" w:eastAsia="Arial" w:hAnsi="Arial"/>
          <w:sz w:val="14"/>
          <w:szCs w:val="14"/>
          <w:color w:val="auto"/>
        </w:rPr>
      </w:pPr>
    </w:p>
    <w:p>
      <w:pPr>
        <w:jc w:val="both"/>
        <w:ind w:left="6" w:right="20" w:hanging="6"/>
        <w:spacing w:after="0" w:line="277" w:lineRule="auto"/>
        <w:tabs>
          <w:tab w:leader="none" w:pos="33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 to the number of Units equal to the Target Award, on the occurrence of a Change in Control, unless the Units are assumed by the surviving entity or otherwise equitably converted or substituted in connection with the Change in Control, and subject to Grantee’s Continuous Service on the date of the Change in Control; or</w:t>
      </w:r>
    </w:p>
    <w:p>
      <w:pPr>
        <w:spacing w:after="0" w:line="118" w:lineRule="exact"/>
        <w:rPr>
          <w:rFonts w:ascii="Arial" w:cs="Arial" w:eastAsia="Arial" w:hAnsi="Arial"/>
          <w:sz w:val="15"/>
          <w:szCs w:val="15"/>
          <w:color w:val="auto"/>
        </w:rPr>
      </w:pPr>
    </w:p>
    <w:p>
      <w:pPr>
        <w:jc w:val="both"/>
        <w:ind w:left="6" w:hanging="6"/>
        <w:spacing w:after="0" w:line="273" w:lineRule="auto"/>
        <w:tabs>
          <w:tab w:leader="none" w:pos="33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 to the number of Units equal to the Target Award, if the Units are assumed by the surviving entity or otherwise equitably converted or substituted in connection with a Change in Control, on the termination of Grantee’s employment by the Company without Cause (or Grantee’s resignation for Good Reason as provided in any employment, severance or similar agreement between Grantee and the Company or an Affiliate) within twelve (12) months after the effective date of the Change in Control.</w:t>
      </w:r>
    </w:p>
    <w:p>
      <w:pPr>
        <w:spacing w:after="0" w:line="123" w:lineRule="exact"/>
        <w:rPr>
          <w:sz w:val="20"/>
          <w:szCs w:val="20"/>
          <w:color w:val="auto"/>
        </w:rPr>
      </w:pPr>
    </w:p>
    <w:p>
      <w:pPr>
        <w:jc w:val="both"/>
        <w:ind w:left="6"/>
        <w:spacing w:after="0" w:line="262" w:lineRule="auto"/>
        <w:rPr>
          <w:sz w:val="20"/>
          <w:szCs w:val="20"/>
          <w:color w:val="auto"/>
        </w:rPr>
      </w:pPr>
      <w:r>
        <w:rPr>
          <w:rFonts w:ascii="Arial" w:cs="Arial" w:eastAsia="Arial" w:hAnsi="Arial"/>
          <w:sz w:val="16"/>
          <w:szCs w:val="16"/>
          <w:color w:val="auto"/>
        </w:rPr>
        <w:t>Any Units that fail to vest in accordance with the terms of this Agreement will be forfeited and reconveyed to the Company without further consideration or any act or action by Grantee.</w:t>
      </w:r>
    </w:p>
    <w:p>
      <w:pPr>
        <w:spacing w:after="0" w:line="128" w:lineRule="exact"/>
        <w:rPr>
          <w:sz w:val="20"/>
          <w:szCs w:val="20"/>
          <w:color w:val="auto"/>
        </w:rPr>
      </w:pPr>
    </w:p>
    <w:p>
      <w:pPr>
        <w:jc w:val="both"/>
        <w:ind w:left="6" w:firstLine="35"/>
        <w:spacing w:after="0" w:line="303" w:lineRule="auto"/>
        <w:tabs>
          <w:tab w:leader="none" w:pos="208" w:val="left"/>
        </w:tabs>
        <w:numPr>
          <w:ilvl w:val="1"/>
          <w:numId w:val="17"/>
        </w:numPr>
        <w:rPr>
          <w:rFonts w:ascii="Arial" w:cs="Arial" w:eastAsia="Arial" w:hAnsi="Arial"/>
          <w:sz w:val="14"/>
          <w:szCs w:val="14"/>
          <w:color w:val="auto"/>
        </w:rPr>
      </w:pPr>
      <w:r>
        <w:rPr>
          <w:rFonts w:ascii="Arial" w:cs="Arial" w:eastAsia="Arial" w:hAnsi="Arial"/>
          <w:sz w:val="14"/>
          <w:szCs w:val="14"/>
          <w:u w:val="single" w:color="auto"/>
          <w:color w:val="auto"/>
        </w:rPr>
        <w:t>Termination of Continuous Service</w:t>
      </w:r>
      <w:r>
        <w:rPr>
          <w:rFonts w:ascii="Arial" w:cs="Arial" w:eastAsia="Arial" w:hAnsi="Arial"/>
          <w:sz w:val="14"/>
          <w:szCs w:val="14"/>
          <w:color w:val="auto"/>
        </w:rPr>
        <w:t>. If Grantee’s employment is terminated for any reason other than death or Disability prior to the Vesting Date, then all of the Units will be forfeited and reconveyed to the Company on the date of termination without further consideration or any act or action by Grantee.</w:t>
      </w:r>
    </w:p>
    <w:p>
      <w:pPr>
        <w:spacing w:after="0" w:line="103" w:lineRule="exact"/>
        <w:rPr>
          <w:rFonts w:ascii="Arial" w:cs="Arial" w:eastAsia="Arial" w:hAnsi="Arial"/>
          <w:sz w:val="14"/>
          <w:szCs w:val="14"/>
          <w:color w:val="auto"/>
        </w:rPr>
      </w:pPr>
    </w:p>
    <w:p>
      <w:pPr>
        <w:jc w:val="both"/>
        <w:ind w:left="6" w:hanging="6"/>
        <w:spacing w:after="0" w:line="253" w:lineRule="auto"/>
        <w:tabs>
          <w:tab w:leader="none" w:pos="30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Conversion to Stock</w:t>
      </w:r>
      <w:r>
        <w:rPr>
          <w:rFonts w:ascii="Arial" w:cs="Arial" w:eastAsia="Arial" w:hAnsi="Arial"/>
          <w:sz w:val="16"/>
          <w:szCs w:val="16"/>
          <w:color w:val="auto"/>
        </w:rPr>
        <w:t>. Unless the Units are forfeited prior to the Vesting Date as provided in section 3 above, the Units will be converted on the Vesting Date to actual shares of Stock, and such Shares will be registered on the books of the Company in the name of Grantee (or in street name to Grantee’s brokerage account) as of the Vesting Date in uncertificated (book-entry) form unless Grantee requests a stock certificate or certificates for the Shares.</w:t>
      </w:r>
    </w:p>
    <w:p>
      <w:pPr>
        <w:spacing w:after="0" w:line="20" w:lineRule="exact"/>
        <w:rPr>
          <w:sz w:val="20"/>
          <w:szCs w:val="20"/>
          <w:color w:val="auto"/>
        </w:rPr>
      </w:pPr>
      <w:r>
        <w:rPr>
          <w:sz w:val="20"/>
          <w:szCs w:val="20"/>
          <w:color w:val="auto"/>
        </w:rPr>
        <w:br w:type="column"/>
      </w:r>
    </w:p>
    <w:p>
      <w:pPr>
        <w:ind w:firstLine="3"/>
        <w:spacing w:after="0" w:line="273" w:lineRule="auto"/>
        <w:tabs>
          <w:tab w:leader="none" w:pos="176"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Dividend Rights</w:t>
      </w:r>
      <w:r>
        <w:rPr>
          <w:rFonts w:ascii="Arial" w:cs="Arial" w:eastAsia="Arial" w:hAnsi="Arial"/>
          <w:sz w:val="15"/>
          <w:szCs w:val="15"/>
          <w:color w:val="auto"/>
        </w:rPr>
        <w:t>. Grantee shall accrue cash and non-cash dividends, if any, paid with respect to the Stock, but the payment of such dividends shall be deferred and held (without interest) by the Company for the account of Grantee until the expiration of the restrictions set forth in this award agreement. Such dividends shall be subject to the same vesting restrictions as the Stock to which they relate. Accrued dividends deferred and held pursuant to the foregoing provision shall be paid by the Company to the Grantee promptly upon the expiration of the restrictions set forth in this award agreement (and in any event within 30 days of the date of such expiration).</w:t>
      </w:r>
    </w:p>
    <w:p>
      <w:pPr>
        <w:spacing w:after="0" w:line="128" w:lineRule="exact"/>
        <w:rPr>
          <w:rFonts w:ascii="Arial" w:cs="Arial" w:eastAsia="Arial" w:hAnsi="Arial"/>
          <w:sz w:val="15"/>
          <w:szCs w:val="15"/>
          <w:color w:val="auto"/>
        </w:rPr>
      </w:pPr>
    </w:p>
    <w:p>
      <w:pPr>
        <w:jc w:val="both"/>
        <w:ind w:firstLine="3"/>
        <w:spacing w:after="0" w:line="273" w:lineRule="auto"/>
        <w:tabs>
          <w:tab w:leader="none" w:pos="216"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Restrictions on Transfer</w:t>
      </w:r>
      <w:r>
        <w:rPr>
          <w:rFonts w:ascii="Arial" w:cs="Arial" w:eastAsia="Arial" w:hAnsi="Arial"/>
          <w:sz w:val="15"/>
          <w:szCs w:val="15"/>
          <w:color w:val="auto"/>
        </w:rPr>
        <w:t>. No right or interest of Grantee in the Units may be pledged, hypothecated or otherwise encumbered to or in favor of any party other than the Company or an Affiliate, or be subjected to any lien, obligation or liability of Grantee to any other party other than the Company or an Affiliate. Units are not assignable or transferable by Grantee other than by will or the laws of descent and distribution.</w:t>
      </w:r>
    </w:p>
    <w:p>
      <w:pPr>
        <w:spacing w:after="0" w:line="124" w:lineRule="exact"/>
        <w:rPr>
          <w:rFonts w:ascii="Arial" w:cs="Arial" w:eastAsia="Arial" w:hAnsi="Arial"/>
          <w:sz w:val="15"/>
          <w:szCs w:val="15"/>
          <w:color w:val="auto"/>
        </w:rPr>
      </w:pPr>
    </w:p>
    <w:p>
      <w:pPr>
        <w:jc w:val="both"/>
        <w:ind w:firstLine="3"/>
        <w:spacing w:after="0" w:line="295" w:lineRule="auto"/>
        <w:tabs>
          <w:tab w:leader="none" w:pos="203"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Limitation of Rights</w:t>
      </w:r>
      <w:r>
        <w:rPr>
          <w:rFonts w:ascii="Arial" w:cs="Arial" w:eastAsia="Arial" w:hAnsi="Arial"/>
          <w:sz w:val="14"/>
          <w:szCs w:val="14"/>
          <w:color w:val="auto"/>
        </w:rPr>
        <w:t>. The Units do not confer to Grantee or Grantee’s beneficiary any rights of a stockholder of the Company unless and until shares of Stock are in fact issued to such person in connection with the Units. Nothing in this Agreement shall interfere with or limit in any way the right of the Company to terminate Grantee’s employment at any time, nor confer upon Grantee any right to continue in the employ of the Company.</w:t>
      </w:r>
    </w:p>
    <w:p>
      <w:pPr>
        <w:spacing w:after="0" w:line="122" w:lineRule="exact"/>
        <w:rPr>
          <w:rFonts w:ascii="Arial" w:cs="Arial" w:eastAsia="Arial" w:hAnsi="Arial"/>
          <w:sz w:val="14"/>
          <w:szCs w:val="14"/>
          <w:color w:val="auto"/>
        </w:rPr>
      </w:pPr>
    </w:p>
    <w:p>
      <w:pPr>
        <w:jc w:val="both"/>
        <w:ind w:firstLine="3"/>
        <w:spacing w:after="0" w:line="290" w:lineRule="auto"/>
        <w:tabs>
          <w:tab w:leader="none" w:pos="203"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Payment of Taxes</w:t>
      </w:r>
      <w:r>
        <w:rPr>
          <w:rFonts w:ascii="Arial" w:cs="Arial" w:eastAsia="Arial" w:hAnsi="Arial"/>
          <w:sz w:val="14"/>
          <w:szCs w:val="14"/>
          <w:color w:val="auto"/>
        </w:rPr>
        <w:t>. Grantee will, no later than the date as of which the Units first become includable in Grantee’s gross income for federal income tax purposes, pay to the Company, or make other arrangements satisfactory to the Committee regarding payment of, any federal, state and local taxes of any kind required by law to be withheld with respect to such amount. To the extent not prohibited by applicable laws or regulations, Grantee may elect that any such withholding requirement be satisfied, in whole or in part, by having the Company withhold from the Units upon settlement a number of shares of Stock having a Fair Market Value on the date of withholding, equal to the minimum amount (and not any greater amount) required to be withheld for tax purposes, all in accordance with such procedures as the Committee establishes. The obligations of the Company under this Agreement will be conditional on such payment or arrangements, and the Company will, to the extent permitted by law, have the right to deduct any such taxes from the award or any payment of any kind otherwise due to Grantee.</w:t>
      </w:r>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Unless otherwise determined by the Committee, the withholding requirement shall be satisfied by withholding Shares having a Fair Market Value on the date of withholding equal to the amount required to be withheld in accordance with applicable tax requirements.</w:t>
      </w:r>
    </w:p>
    <w:p>
      <w:pPr>
        <w:spacing w:after="0" w:line="137" w:lineRule="exact"/>
        <w:rPr>
          <w:sz w:val="20"/>
          <w:szCs w:val="20"/>
          <w:color w:val="auto"/>
        </w:rPr>
      </w:pPr>
    </w:p>
    <w:p>
      <w:pPr>
        <w:jc w:val="both"/>
        <w:ind w:firstLine="3"/>
        <w:spacing w:after="0" w:line="269"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may amend, modify or terminate this Certificate without approval of Grantee; provided, however,</w:t>
      </w:r>
    </w:p>
    <w:p>
      <w:pPr>
        <w:spacing w:after="0" w:line="137" w:lineRule="exact"/>
        <w:rPr>
          <w:rFonts w:ascii="Arial" w:cs="Arial" w:eastAsia="Arial" w:hAnsi="Arial"/>
          <w:sz w:val="16"/>
          <w:szCs w:val="16"/>
          <w:color w:val="auto"/>
        </w:rPr>
      </w:pPr>
    </w:p>
    <w:p>
      <w:pPr>
        <w:ind w:left="1680" w:hanging="100"/>
        <w:spacing w:after="0"/>
        <w:tabs>
          <w:tab w:leader="none" w:pos="16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369570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
        <w:spacing w:after="0" w:line="276" w:lineRule="auto"/>
        <w:rPr>
          <w:sz w:val="20"/>
          <w:szCs w:val="20"/>
          <w:color w:val="auto"/>
        </w:rPr>
      </w:pPr>
      <w:r>
        <w:rPr>
          <w:rFonts w:ascii="Arial" w:cs="Arial" w:eastAsia="Arial" w:hAnsi="Arial"/>
          <w:sz w:val="15"/>
          <w:szCs w:val="15"/>
          <w:color w:val="auto"/>
        </w:rPr>
        <w:t>that such amendment, modification or termination shall not, without Grantee’s consent, reduce or diminish the value of this award determined as if it had been fully vested (i.e., as if all restrictions on the Units hereunder had expired) on the date of such amendment or termination.</w:t>
      </w:r>
    </w:p>
    <w:p>
      <w:pPr>
        <w:spacing w:after="0" w:line="119" w:lineRule="exact"/>
        <w:rPr>
          <w:sz w:val="20"/>
          <w:szCs w:val="20"/>
          <w:color w:val="auto"/>
        </w:rPr>
      </w:pPr>
    </w:p>
    <w:p>
      <w:pPr>
        <w:jc w:val="both"/>
        <w:ind w:left="7" w:hanging="7"/>
        <w:spacing w:after="0" w:line="275" w:lineRule="auto"/>
        <w:tabs>
          <w:tab w:leader="none" w:pos="331"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Plan Controls</w:t>
      </w:r>
      <w:r>
        <w:rPr>
          <w:rFonts w:ascii="Arial" w:cs="Arial" w:eastAsia="Arial" w:hAnsi="Arial"/>
          <w:sz w:val="15"/>
          <w:szCs w:val="15"/>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119" w:lineRule="exact"/>
        <w:rPr>
          <w:rFonts w:ascii="Arial" w:cs="Arial" w:eastAsia="Arial" w:hAnsi="Arial"/>
          <w:sz w:val="15"/>
          <w:szCs w:val="15"/>
          <w:color w:val="auto"/>
        </w:rPr>
      </w:pPr>
    </w:p>
    <w:p>
      <w:pPr>
        <w:jc w:val="both"/>
        <w:ind w:left="7" w:hanging="7"/>
        <w:spacing w:after="0" w:line="325" w:lineRule="auto"/>
        <w:tabs>
          <w:tab w:leader="none" w:pos="325"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Successors</w:t>
      </w:r>
      <w:r>
        <w:rPr>
          <w:rFonts w:ascii="Arial" w:cs="Arial" w:eastAsia="Arial" w:hAnsi="Arial"/>
          <w:sz w:val="14"/>
          <w:szCs w:val="14"/>
          <w:color w:val="auto"/>
        </w:rPr>
        <w:t>. This Agreement shall be binding upon any successor of the Company, in accordance with the terms of this Agreement and the Plan.</w:t>
      </w:r>
    </w:p>
    <w:p>
      <w:pPr>
        <w:spacing w:after="0" w:line="88" w:lineRule="exact"/>
        <w:rPr>
          <w:rFonts w:ascii="Arial" w:cs="Arial" w:eastAsia="Arial" w:hAnsi="Arial"/>
          <w:sz w:val="14"/>
          <w:szCs w:val="14"/>
          <w:color w:val="auto"/>
        </w:rPr>
      </w:pPr>
    </w:p>
    <w:p>
      <w:pPr>
        <w:jc w:val="both"/>
        <w:ind w:left="7" w:hanging="7"/>
        <w:spacing w:after="0" w:line="276" w:lineRule="auto"/>
        <w:tabs>
          <w:tab w:leader="none" w:pos="412"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132" w:lineRule="exact"/>
        <w:rPr>
          <w:rFonts w:ascii="Arial" w:cs="Arial" w:eastAsia="Arial" w:hAnsi="Arial"/>
          <w:sz w:val="15"/>
          <w:szCs w:val="15"/>
          <w:color w:val="auto"/>
        </w:rPr>
      </w:pPr>
    </w:p>
    <w:p>
      <w:pPr>
        <w:jc w:val="both"/>
        <w:ind w:left="7" w:hanging="7"/>
        <w:spacing w:after="0" w:line="293" w:lineRule="auto"/>
        <w:tabs>
          <w:tab w:leader="none" w:pos="264"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104 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111" w:lineRule="exact"/>
        <w:rPr>
          <w:rFonts w:ascii="Arial" w:cs="Arial" w:eastAsia="Arial" w:hAnsi="Arial"/>
          <w:sz w:val="14"/>
          <w:szCs w:val="14"/>
          <w:color w:val="auto"/>
        </w:rPr>
      </w:pPr>
    </w:p>
    <w:p>
      <w:pPr>
        <w:jc w:val="both"/>
        <w:ind w:left="7" w:hanging="7"/>
        <w:spacing w:after="0" w:line="271" w:lineRule="auto"/>
        <w:tabs>
          <w:tab w:leader="none" w:pos="264"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Definition of Adjusted EBITDA</w:t>
      </w:r>
      <w:r>
        <w:rPr>
          <w:rFonts w:ascii="Arial" w:cs="Arial" w:eastAsia="Arial" w:hAnsi="Arial"/>
          <w:sz w:val="15"/>
          <w:szCs w:val="15"/>
          <w:color w:val="auto"/>
        </w:rPr>
        <w:t>. For purposes of this Agreement, “Adjusted EBITDA” means EBITDA as adjusted for bonus and equity expense and certain other unusual or non-recurring items (including, but not limited to, unplanned and significant costs related to litigation, claim judgements, settlements or proxy contests). Such adjustments for unusual or non-recurring items must have also been approved as adjustments by the Committee for the calculation of bonuses under management’s annual cash incentive program for the fiscal year under which Adjusted EBITDA is being calculated for this Agreement.</w:t>
      </w:r>
    </w:p>
    <w:p>
      <w:pPr>
        <w:sectPr>
          <w:pgSz w:w="11900" w:h="16838" w:orient="portrait"/>
          <w:cols w:equalWidth="0" w:num="3">
            <w:col w:w="3426" w:space="220"/>
            <w:col w:w="3420" w:space="233"/>
            <w:col w:w="3427"/>
          </w:cols>
          <w:pgMar w:left="634" w:top="504" w:right="539" w:bottom="1440" w:gutter="0" w:footer="0" w:header="0"/>
        </w:sectPr>
      </w:pPr>
    </w:p>
    <w:bookmarkStart w:id="21" w:name="page22"/>
    <w:bookmarkEnd w:id="21"/>
    <w:p>
      <w:pPr>
        <w:jc w:val="center"/>
        <w:ind w:right="-80"/>
        <w:spacing w:after="0"/>
        <w:rPr>
          <w:sz w:val="20"/>
          <w:szCs w:val="20"/>
          <w:color w:val="auto"/>
        </w:rPr>
      </w:pPr>
      <w:r>
        <w:rPr>
          <w:rFonts w:ascii="Arial" w:cs="Arial" w:eastAsia="Arial" w:hAnsi="Arial"/>
          <w:sz w:val="20"/>
          <w:szCs w:val="20"/>
          <w:b w:val="1"/>
          <w:bCs w:val="1"/>
          <w:u w:val="single" w:color="auto"/>
          <w:color w:val="auto"/>
        </w:rPr>
        <w:t>EXHIBIT A</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Performance Matrix for Determining Number of Earned Units</w:t>
      </w:r>
    </w:p>
    <w:p>
      <w:pPr>
        <w:spacing w:after="0" w:line="200" w:lineRule="exact"/>
        <w:rPr>
          <w:sz w:val="20"/>
          <w:szCs w:val="20"/>
          <w:color w:val="auto"/>
        </w:rPr>
      </w:pPr>
    </w:p>
    <w:p>
      <w:pPr>
        <w:spacing w:after="0" w:line="392" w:lineRule="exact"/>
        <w:rPr>
          <w:sz w:val="20"/>
          <w:szCs w:val="20"/>
          <w:color w:val="auto"/>
        </w:rPr>
      </w:pPr>
    </w:p>
    <w:tbl>
      <w:tblPr>
        <w:tblLayout w:type="fixed"/>
        <w:tblInd w:w="1950" w:type="dxa"/>
        <w:tblCellMar>
          <w:top w:w="0" w:type="dxa"/>
          <w:left w:w="0" w:type="dxa"/>
          <w:bottom w:w="0" w:type="dxa"/>
          <w:right w:w="0" w:type="dxa"/>
        </w:tblCellMar>
      </w:tblPr>
      <w:tr>
        <w:trPr>
          <w:trHeight w:val="220"/>
        </w:trPr>
        <w:tc>
          <w:tcPr>
            <w:tcW w:w="2400" w:type="dxa"/>
            <w:vAlign w:val="bottom"/>
            <w:tcBorders>
              <w:top w:val="single" w:sz="8" w:color="auto"/>
              <w:left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5"/>
              </w:rPr>
              <w:t>Adjusted EBITDA for</w:t>
            </w:r>
          </w:p>
        </w:tc>
        <w:tc>
          <w:tcPr>
            <w:tcW w:w="216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7"/>
              </w:rPr>
              <w:t>Percentage of Target</w:t>
            </w:r>
          </w:p>
        </w:tc>
      </w:tr>
      <w:tr>
        <w:trPr>
          <w:trHeight w:val="266"/>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Fiscal 2025</w:t>
            </w:r>
          </w:p>
        </w:tc>
        <w:tc>
          <w:tcPr>
            <w:tcW w:w="2160" w:type="dxa"/>
            <w:vAlign w:val="bottom"/>
            <w:tcBorders>
              <w:bottom w:val="single" w:sz="8" w:color="auto"/>
              <w:right w:val="single" w:sz="8" w:color="auto"/>
            </w:tcBorders>
          </w:tcPr>
          <w:p>
            <w:pPr>
              <w:jc w:val="center"/>
              <w:spacing w:after="0" w:line="266" w:lineRule="exact"/>
              <w:rPr>
                <w:sz w:val="20"/>
                <w:szCs w:val="20"/>
                <w:color w:val="auto"/>
              </w:rPr>
            </w:pPr>
            <w:r>
              <w:rPr>
                <w:rFonts w:ascii="Arial" w:cs="Arial" w:eastAsia="Arial" w:hAnsi="Arial"/>
                <w:sz w:val="20"/>
                <w:szCs w:val="20"/>
                <w:b w:val="1"/>
                <w:bCs w:val="1"/>
                <w:color w:val="auto"/>
                <w:w w:val="89"/>
              </w:rPr>
              <w:t xml:space="preserve">Award Earned </w:t>
            </w:r>
            <w:r>
              <w:rPr>
                <w:rFonts w:ascii="Arial" w:cs="Arial" w:eastAsia="Arial" w:hAnsi="Arial"/>
                <w:sz w:val="29"/>
                <w:szCs w:val="29"/>
                <w:b w:val="1"/>
                <w:bCs w:val="1"/>
                <w:color w:val="auto"/>
                <w:w w:val="89"/>
                <w:vertAlign w:val="superscript"/>
              </w:rPr>
              <w:t>(1)</w:t>
            </w:r>
          </w:p>
        </w:tc>
      </w:tr>
      <w:tr>
        <w:trPr>
          <w:trHeight w:val="295"/>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 __________</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77"/>
        </w:trPr>
        <w:tc>
          <w:tcPr>
            <w:tcW w:w="240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r>
      <w:tr>
        <w:trPr>
          <w:trHeight w:val="295"/>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 __________</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r>
      <w:tr>
        <w:trPr>
          <w:trHeight w:val="77"/>
        </w:trPr>
        <w:tc>
          <w:tcPr>
            <w:tcW w:w="240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r>
      <w:tr>
        <w:trPr>
          <w:trHeight w:val="294"/>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 __________</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77"/>
        </w:trPr>
        <w:tc>
          <w:tcPr>
            <w:tcW w:w="240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r>
      <w:tr>
        <w:trPr>
          <w:trHeight w:val="295"/>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 __________</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77"/>
        </w:trPr>
        <w:tc>
          <w:tcPr>
            <w:tcW w:w="240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r>
    </w:tbl>
    <w:p>
      <w:pPr>
        <w:spacing w:after="0" w:line="373" w:lineRule="exact"/>
        <w:rPr>
          <w:sz w:val="20"/>
          <w:szCs w:val="20"/>
          <w:color w:val="auto"/>
        </w:rPr>
      </w:pPr>
    </w:p>
    <w:p>
      <w:pPr>
        <w:ind w:left="2440" w:hanging="492"/>
        <w:spacing w:after="0"/>
        <w:tabs>
          <w:tab w:leader="none" w:pos="24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Payouts between performance levels will be determined based on straight line interpolation.</w:t>
      </w:r>
    </w:p>
    <w:p>
      <w:pPr>
        <w:spacing w:after="0" w:line="196" w:lineRule="exact"/>
        <w:rPr>
          <w:rFonts w:ascii="Arial" w:cs="Arial" w:eastAsia="Arial" w:hAnsi="Arial"/>
          <w:sz w:val="13"/>
          <w:szCs w:val="13"/>
          <w:color w:val="auto"/>
        </w:rPr>
      </w:pPr>
    </w:p>
    <w:p>
      <w:pPr>
        <w:ind w:left="4520" w:hanging="100"/>
        <w:spacing w:after="0"/>
        <w:tabs>
          <w:tab w:leader="none" w:pos="4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369570</wp:posOffset>
            </wp:positionV>
            <wp:extent cx="68065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806565" cy="2603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David N. Makuen, certify that:</w:t>
      </w:r>
    </w:p>
    <w:p>
      <w:pPr>
        <w:spacing w:after="0" w:line="20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July 29, 2023 of Citi Trends, Inc.;</w:t>
      </w:r>
    </w:p>
    <w:p>
      <w:pPr>
        <w:spacing w:after="0" w:line="194" w:lineRule="exact"/>
        <w:rPr>
          <w:rFonts w:ascii="Arial" w:cs="Arial" w:eastAsia="Arial" w:hAnsi="Arial"/>
          <w:sz w:val="16"/>
          <w:szCs w:val="16"/>
          <w:color w:val="auto"/>
        </w:rPr>
      </w:pPr>
    </w:p>
    <w:p>
      <w:pPr>
        <w:ind w:left="660" w:right="140" w:hanging="652"/>
        <w:spacing w:after="0" w:line="26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left="660" w:right="460" w:hanging="652"/>
        <w:spacing w:after="0" w:line="27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6"/>
          <w:szCs w:val="16"/>
          <w:color w:val="auto"/>
        </w:rPr>
      </w:pPr>
    </w:p>
    <w:p>
      <w:pPr>
        <w:ind w:left="660" w:right="40" w:hanging="652"/>
        <w:spacing w:after="0" w:line="27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ind w:left="1300" w:right="160" w:hanging="644"/>
        <w:spacing w:after="0" w:line="256"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6"/>
          <w:szCs w:val="16"/>
          <w:color w:val="auto"/>
        </w:rPr>
      </w:pPr>
    </w:p>
    <w:p>
      <w:pPr>
        <w:ind w:left="1300" w:right="160" w:hanging="644"/>
        <w:spacing w:after="0" w:line="261"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6"/>
          <w:szCs w:val="16"/>
          <w:color w:val="auto"/>
        </w:rPr>
      </w:pPr>
    </w:p>
    <w:p>
      <w:pPr>
        <w:ind w:left="1300" w:right="240" w:hanging="644"/>
        <w:spacing w:after="0" w:line="27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6"/>
          <w:szCs w:val="16"/>
          <w:color w:val="auto"/>
        </w:rPr>
      </w:pPr>
    </w:p>
    <w:p>
      <w:pPr>
        <w:ind w:left="1300" w:hanging="644"/>
        <w:spacing w:after="0" w:line="27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40" w:hanging="652"/>
        <w:spacing w:after="0" w:line="26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jc w:val="both"/>
        <w:ind w:left="1300" w:right="80" w:hanging="644"/>
        <w:spacing w:after="0" w:line="27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1300" w:right="380" w:hanging="644"/>
        <w:spacing w:after="0" w:line="29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6, 2023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377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231F20"/>
        </w:rPr>
        <w:t>David N. Makuen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Heather Plutino, certify that:</w:t>
      </w:r>
    </w:p>
    <w:p>
      <w:pPr>
        <w:spacing w:after="0" w:line="20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July 29, 2023 of Citi Trends, Inc.;</w:t>
      </w:r>
    </w:p>
    <w:p>
      <w:pPr>
        <w:spacing w:after="0" w:line="194" w:lineRule="exact"/>
        <w:rPr>
          <w:rFonts w:ascii="Arial" w:cs="Arial" w:eastAsia="Arial" w:hAnsi="Arial"/>
          <w:sz w:val="16"/>
          <w:szCs w:val="16"/>
          <w:color w:val="auto"/>
        </w:rPr>
      </w:pPr>
    </w:p>
    <w:p>
      <w:pPr>
        <w:ind w:left="660" w:right="140" w:hanging="652"/>
        <w:spacing w:after="0" w:line="26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left="660" w:right="460" w:hanging="652"/>
        <w:spacing w:after="0" w:line="270"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6"/>
          <w:szCs w:val="16"/>
          <w:color w:val="auto"/>
        </w:rPr>
      </w:pPr>
    </w:p>
    <w:p>
      <w:pPr>
        <w:ind w:left="660" w:right="40" w:hanging="652"/>
        <w:spacing w:after="0" w:line="270"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ind w:left="1300" w:right="160" w:hanging="644"/>
        <w:spacing w:after="0" w:line="256"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6"/>
          <w:szCs w:val="16"/>
          <w:color w:val="auto"/>
        </w:rPr>
      </w:pPr>
    </w:p>
    <w:p>
      <w:pPr>
        <w:ind w:left="1300" w:right="160" w:hanging="644"/>
        <w:spacing w:after="0" w:line="261"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6"/>
          <w:szCs w:val="16"/>
          <w:color w:val="auto"/>
        </w:rPr>
      </w:pPr>
    </w:p>
    <w:p>
      <w:pPr>
        <w:ind w:left="1300" w:right="240" w:hanging="644"/>
        <w:spacing w:after="0" w:line="270"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6"/>
          <w:szCs w:val="16"/>
          <w:color w:val="auto"/>
        </w:rPr>
      </w:pPr>
    </w:p>
    <w:p>
      <w:pPr>
        <w:ind w:left="1300" w:hanging="644"/>
        <w:spacing w:after="0" w:line="270"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40" w:hanging="652"/>
        <w:spacing w:after="0" w:line="26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jc w:val="both"/>
        <w:ind w:left="1300" w:right="80" w:hanging="644"/>
        <w:spacing w:after="0" w:line="270"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1300" w:right="380" w:hanging="644"/>
        <w:spacing w:after="0" w:line="293"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6, 2023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377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Heather Plutino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 w:name="page25"/>
    <w:bookmarkEnd w:id="24"/>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David N. Makuen, Chief Executive Officer of Citi Trends, Inc.,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Heather Plutino, Chief Financial officer of Citi Trends, Inc., certify that:</w:t>
      </w:r>
    </w:p>
    <w:p>
      <w:pPr>
        <w:spacing w:after="0" w:line="208" w:lineRule="exact"/>
        <w:rPr>
          <w:sz w:val="20"/>
          <w:szCs w:val="20"/>
          <w:color w:val="auto"/>
        </w:rPr>
      </w:pPr>
    </w:p>
    <w:p>
      <w:pPr>
        <w:ind w:left="220" w:hanging="176"/>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July 29, 2023;</w:t>
      </w:r>
    </w:p>
    <w:p>
      <w:pPr>
        <w:spacing w:after="0" w:line="194" w:lineRule="exact"/>
        <w:rPr>
          <w:rFonts w:ascii="Arial" w:cs="Arial" w:eastAsia="Arial" w:hAnsi="Arial"/>
          <w:sz w:val="16"/>
          <w:szCs w:val="16"/>
          <w:color w:val="auto"/>
        </w:rPr>
      </w:pPr>
    </w:p>
    <w:p>
      <w:pPr>
        <w:ind w:left="40" w:right="79" w:firstLine="4"/>
        <w:spacing w:after="0" w:line="276"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57" w:lineRule="exact"/>
        <w:rPr>
          <w:rFonts w:ascii="Arial" w:cs="Arial" w:eastAsia="Arial" w:hAnsi="Arial"/>
          <w:sz w:val="16"/>
          <w:szCs w:val="16"/>
          <w:color w:val="auto"/>
        </w:rPr>
      </w:pPr>
    </w:p>
    <w:p>
      <w:pPr>
        <w:jc w:val="both"/>
        <w:ind w:left="40" w:right="139" w:firstLine="4"/>
        <w:spacing w:after="0" w:line="270"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6, 2023</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18415</wp:posOffset>
            </wp:positionV>
            <wp:extent cx="2983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David N. Makuen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6, 2023</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18415</wp:posOffset>
            </wp:positionV>
            <wp:extent cx="2983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Heather Plutino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200" w:lineRule="exact"/>
        <w:rPr>
          <w:sz w:val="20"/>
          <w:szCs w:val="20"/>
          <w:color w:val="auto"/>
        </w:rPr>
      </w:pPr>
    </w:p>
    <w:p>
      <w:pPr>
        <w:spacing w:after="0" w:line="206" w:lineRule="exact"/>
        <w:rPr>
          <w:sz w:val="20"/>
          <w:szCs w:val="20"/>
          <w:color w:val="auto"/>
        </w:rPr>
      </w:pPr>
    </w:p>
    <w:p>
      <w:pPr>
        <w:ind w:left="40" w:right="99"/>
        <w:spacing w:after="0" w:line="276"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320675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01"/>
    </w:lvl>
  </w:abstractNum>
  <w:abstractNum w:abstractNumId="11">
    <w:nsid w:val="3F2DBA31"/>
    <w:multiLevelType w:val="hybridMultilevel"/>
    <w:lvl w:ilvl="0">
      <w:lvlJc w:val="left"/>
      <w:lvlText w:val="+"/>
      <w:numFmt w:val="bullet"/>
      <w:start w:val="1"/>
    </w:lvl>
    <w:lvl w:ilvl="1">
      <w:lvlJc w:val="left"/>
      <w:lvlText w:val="%2"/>
      <w:numFmt w:val="decimal"/>
      <w:start w:val="104"/>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1"/>
    </w:lvl>
    <w:lvl w:ilvl="1">
      <w:lvlJc w:val="left"/>
      <w:lvlText w:val="%2."/>
      <w:numFmt w:val="decimal"/>
      <w:start w:val="3"/>
    </w:lvl>
  </w:abstractNum>
  <w:abstractNum w:abstractNumId="17">
    <w:nsid w:val="333AB105"/>
    <w:multiLevelType w:val="hybridMultilevel"/>
    <w:lvl w:ilvl="0">
      <w:lvlJc w:val="left"/>
      <w:lvlText w:val="%1."/>
      <w:numFmt w:val="decimal"/>
      <w:start w:val="4"/>
    </w:lvl>
    <w:lvl w:ilvl="1">
      <w:lvlJc w:val="left"/>
      <w:lvlText w:val="%2"/>
      <w:numFmt w:val="decimal"/>
      <w:start w:val="1"/>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decimal"/>
      <w:start w:val="9"/>
    </w:lvl>
    <w:lvl w:ilvl="1">
      <w:lvlJc w:val="left"/>
      <w:lvlText w:val="-"/>
      <w:numFmt w:val="bullet"/>
      <w:start w:val="1"/>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decimal"/>
      <w:start w:val="1"/>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29" Type="http://schemas.openxmlformats.org/officeDocument/2006/relationships/hyperlink" Target="http://www.sec.gov/Archives/edgar/data/1318484/000110465918038871/a18-15022_1ex3d1.htm" TargetMode="External"/><Relationship Id="rId30" Type="http://schemas.openxmlformats.org/officeDocument/2006/relationships/hyperlink" Target="https://www.sec.gov/Archives/edgar/data/1318484/000110465922113020/tm2229093d1_ex3-1.htm" TargetMode="External"/><Relationship Id="rId31" Type="http://schemas.openxmlformats.org/officeDocument/2006/relationships/hyperlink" Target="https://www.sec.gov/Archives/edgar/data/1318484/000110465922113020/tm2229093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2023-09-06T13:03:48Z</dcterms:created>
  <dcterms:modified xsi:type="dcterms:W3CDTF">2023-09-06T13:03:48Z</dcterms:modified>
</cp:coreProperties>
</file>