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2E74B5"/>
        </w:rPr>
      </w:pPr>
      <w:hyperlink w:anchor="page2">
        <w:r>
          <w:rPr>
            <w:rFonts w:ascii="Arial" w:cs="Arial" w:eastAsia="Arial" w:hAnsi="Arial"/>
            <w:sz w:val="20"/>
            <w:szCs w:val="20"/>
            <w:u w:val="single" w:color="auto"/>
            <w:color w:val="2E74B5"/>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3950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379095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4" w:lineRule="exact"/>
        <w:rPr>
          <w:sz w:val="24"/>
          <w:szCs w:val="24"/>
          <w:color w:val="auto"/>
        </w:rPr>
      </w:pPr>
    </w:p>
    <w:p>
      <w:pPr>
        <w:ind w:left="3360" w:right="280" w:hanging="3093"/>
        <w:spacing w:after="0" w:line="423" w:lineRule="auto"/>
        <w:tabs>
          <w:tab w:leader="none" w:pos="6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May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-436245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620" w:right="280" w:hanging="3353"/>
        <w:spacing w:after="0" w:line="391" w:lineRule="auto"/>
        <w:tabs>
          <w:tab w:leader="none" w:pos="67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000-51315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-401320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4360" w:type="dxa"/>
            <w:vAlign w:val="bottom"/>
          </w:tcPr>
          <w:p>
            <w:pPr>
              <w:jc w:val="center"/>
              <w:ind w:right="1410"/>
              <w:spacing w:after="0"/>
              <w:rPr>
                <w:sz w:val="20"/>
                <w:szCs w:val="20"/>
                <w:color w:val="auto"/>
              </w:rPr>
            </w:pPr>
            <w:r>
              <w:rPr>
                <w:rFonts w:ascii="Arial" w:cs="Arial" w:eastAsia="Arial" w:hAnsi="Arial"/>
                <w:sz w:val="18"/>
                <w:szCs w:val="18"/>
                <w:b w:val="1"/>
                <w:bCs w:val="1"/>
                <w:color w:val="auto"/>
                <w:w w:val="98"/>
              </w:rPr>
              <w:t>DELAWARE</w:t>
            </w:r>
          </w:p>
        </w:tc>
        <w:tc>
          <w:tcPr>
            <w:tcW w:w="2860" w:type="dxa"/>
            <w:vAlign w:val="bottom"/>
          </w:tcPr>
          <w:p>
            <w:pPr>
              <w:jc w:val="right"/>
              <w:ind w:right="130"/>
              <w:spacing w:after="0"/>
              <w:rPr>
                <w:sz w:val="20"/>
                <w:szCs w:val="20"/>
                <w:color w:val="auto"/>
              </w:rPr>
            </w:pPr>
            <w:r>
              <w:rPr>
                <w:rFonts w:ascii="Arial" w:cs="Arial" w:eastAsia="Arial" w:hAnsi="Arial"/>
                <w:sz w:val="18"/>
                <w:szCs w:val="18"/>
                <w:b w:val="1"/>
                <w:bCs w:val="1"/>
                <w:color w:val="auto"/>
              </w:rPr>
              <w:t>52-2150697</w:t>
            </w:r>
          </w:p>
        </w:tc>
      </w:tr>
      <w:tr>
        <w:trPr>
          <w:trHeight w:val="216"/>
        </w:trPr>
        <w:tc>
          <w:tcPr>
            <w:tcW w:w="4360" w:type="dxa"/>
            <w:vAlign w:val="bottom"/>
          </w:tcPr>
          <w:p>
            <w:pPr>
              <w:jc w:val="center"/>
              <w:ind w:right="1430"/>
              <w:spacing w:after="0"/>
              <w:rPr>
                <w:sz w:val="20"/>
                <w:szCs w:val="20"/>
                <w:color w:val="auto"/>
              </w:rPr>
            </w:pPr>
            <w:r>
              <w:rPr>
                <w:rFonts w:ascii="Arial" w:cs="Arial" w:eastAsia="Arial" w:hAnsi="Arial"/>
                <w:sz w:val="18"/>
                <w:szCs w:val="18"/>
                <w:color w:val="auto"/>
                <w:w w:val="92"/>
              </w:rPr>
              <w:t>(State or other jurisdiction of</w:t>
            </w:r>
          </w:p>
        </w:tc>
        <w:tc>
          <w:tcPr>
            <w:tcW w:w="286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4360" w:type="dxa"/>
            <w:vAlign w:val="bottom"/>
          </w:tcPr>
          <w:p>
            <w:pPr>
              <w:jc w:val="center"/>
              <w:ind w:right="1430"/>
              <w:spacing w:after="0"/>
              <w:rPr>
                <w:sz w:val="20"/>
                <w:szCs w:val="20"/>
                <w:color w:val="auto"/>
              </w:rPr>
            </w:pPr>
            <w:r>
              <w:rPr>
                <w:rFonts w:ascii="Arial" w:cs="Arial" w:eastAsia="Arial" w:hAnsi="Arial"/>
                <w:sz w:val="18"/>
                <w:szCs w:val="18"/>
                <w:color w:val="auto"/>
                <w:w w:val="92"/>
              </w:rPr>
              <w:t>incorporation or organization)</w:t>
            </w:r>
          </w:p>
        </w:tc>
        <w:tc>
          <w:tcPr>
            <w:tcW w:w="2860" w:type="dxa"/>
            <w:vAlign w:val="bottom"/>
          </w:tcPr>
          <w:p>
            <w:pPr>
              <w:jc w:val="center"/>
              <w:ind w:left="1430"/>
              <w:spacing w:after="0"/>
              <w:rPr>
                <w:sz w:val="20"/>
                <w:szCs w:val="20"/>
                <w:color w:val="auto"/>
              </w:rPr>
            </w:pPr>
            <w:r>
              <w:rPr>
                <w:rFonts w:ascii="Arial" w:cs="Arial" w:eastAsia="Arial" w:hAnsi="Arial"/>
                <w:sz w:val="18"/>
                <w:szCs w:val="18"/>
                <w:color w:val="auto"/>
                <w:w w:val="95"/>
              </w:rPr>
              <w:t>Identification No.)</w:t>
            </w:r>
          </w:p>
        </w:tc>
      </w:tr>
      <w:tr>
        <w:trPr>
          <w:trHeight w:val="468"/>
        </w:trPr>
        <w:tc>
          <w:tcPr>
            <w:tcW w:w="43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104 Coleman Boulevard</w:t>
            </w:r>
          </w:p>
        </w:tc>
        <w:tc>
          <w:tcPr>
            <w:tcW w:w="2860" w:type="dxa"/>
            <w:vAlign w:val="bottom"/>
          </w:tcPr>
          <w:p>
            <w:pPr>
              <w:spacing w:after="0"/>
              <w:rPr>
                <w:sz w:val="24"/>
                <w:szCs w:val="24"/>
                <w:color w:val="auto"/>
              </w:rPr>
            </w:pPr>
          </w:p>
        </w:tc>
      </w:tr>
      <w:tr>
        <w:trPr>
          <w:trHeight w:val="220"/>
        </w:trPr>
        <w:tc>
          <w:tcPr>
            <w:tcW w:w="43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Savannah, Georgia</w:t>
            </w:r>
          </w:p>
        </w:tc>
        <w:tc>
          <w:tcPr>
            <w:tcW w:w="2860" w:type="dxa"/>
            <w:vAlign w:val="bottom"/>
          </w:tcPr>
          <w:p>
            <w:pPr>
              <w:jc w:val="right"/>
              <w:ind w:right="350"/>
              <w:spacing w:after="0"/>
              <w:rPr>
                <w:sz w:val="20"/>
                <w:szCs w:val="20"/>
                <w:color w:val="auto"/>
              </w:rPr>
            </w:pPr>
            <w:r>
              <w:rPr>
                <w:rFonts w:ascii="Arial" w:cs="Arial" w:eastAsia="Arial" w:hAnsi="Arial"/>
                <w:sz w:val="18"/>
                <w:szCs w:val="18"/>
                <w:b w:val="1"/>
                <w:bCs w:val="1"/>
                <w:color w:val="auto"/>
              </w:rPr>
              <w:t>31408</w:t>
            </w:r>
          </w:p>
        </w:tc>
      </w:tr>
      <w:tr>
        <w:trPr>
          <w:trHeight w:val="230"/>
        </w:trPr>
        <w:tc>
          <w:tcPr>
            <w:tcW w:w="436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286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912) 236-1561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660" w:type="dxa"/>
            <w:vAlign w:val="bottom"/>
            <w:tcBorders>
              <w:top w:val="single" w:sz="8" w:color="auto"/>
              <w:left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6"/>
              </w:rPr>
              <w:t>Title of each class</w:t>
            </w:r>
          </w:p>
        </w:tc>
        <w:tc>
          <w:tcPr>
            <w:tcW w:w="22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9"/>
              </w:rPr>
              <w:t>Trading symbol</w:t>
            </w:r>
          </w:p>
        </w:tc>
        <w:tc>
          <w:tcPr>
            <w:tcW w:w="4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48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80" w:type="dxa"/>
            <w:vAlign w:val="bottom"/>
            <w:tcBorders>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CTRN</w:t>
            </w:r>
          </w:p>
        </w:tc>
        <w:tc>
          <w:tcPr>
            <w:tcW w:w="160" w:type="dxa"/>
            <w:vAlign w:val="bottom"/>
            <w:tcBorders>
              <w:bottom w:val="single" w:sz="8" w:color="auto"/>
            </w:tcBorders>
          </w:tcPr>
          <w:p>
            <w:pPr>
              <w:spacing w:after="0"/>
              <w:rPr>
                <w:sz w:val="18"/>
                <w:szCs w:val="18"/>
                <w:color w:val="auto"/>
              </w:rPr>
            </w:pP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NASDAQ Stock Market</w:t>
            </w:r>
          </w:p>
        </w:tc>
      </w:tr>
    </w:tbl>
    <w:p>
      <w:pPr>
        <w:spacing w:after="0" w:line="202"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20"/>
          </w:cols>
          <w:pgMar w:left="980" w:top="231" w:right="799" w:bottom="1440" w:gutter="0" w:footer="0" w:header="0"/>
        </w:sectPr>
      </w:pPr>
    </w:p>
    <w:p>
      <w:pPr>
        <w:spacing w:after="0" w:line="178"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140" w:space="720"/>
            <w:col w:w="2400" w:space="720"/>
            <w:col w:w="3140"/>
          </w:cols>
          <w:pgMar w:left="980" w:top="231" w:right="799" w:bottom="1440" w:gutter="0" w:footer="0" w:header="0"/>
          <w:type w:val="continuous"/>
        </w:sectPr>
      </w:pPr>
    </w:p>
    <w:p>
      <w:pPr>
        <w:spacing w:after="0" w:line="48"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6260" w:space="720"/>
            <w:col w:w="3140"/>
          </w:cols>
          <w:pgMar w:left="980" w:top="231" w:right="799" w:bottom="1440" w:gutter="0" w:footer="0" w:header="0"/>
          <w:type w:val="continuous"/>
        </w:sectPr>
      </w:pPr>
    </w:p>
    <w:p>
      <w:pPr>
        <w:ind w:right="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right="82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18, 2020, the registrant had 10,616,546 outstanding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274955</wp:posOffset>
            </wp:positionV>
            <wp:extent cx="63950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300990</wp:posOffset>
            </wp:positionV>
            <wp:extent cx="63950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652145</wp:posOffset>
            </wp:positionV>
            <wp:extent cx="639508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5085" cy="25400"/>
                    </a:xfrm>
                    <a:prstGeom prst="rect">
                      <a:avLst/>
                    </a:prstGeom>
                    <a:noFill/>
                  </pic:spPr>
                </pic:pic>
              </a:graphicData>
            </a:graphic>
          </wp:anchor>
        </w:drawing>
      </w:r>
    </w:p>
    <w:p>
      <w:pPr>
        <w:sectPr>
          <w:pgSz w:w="11900" w:h="16838" w:orient="portrait"/>
          <w:cols w:equalWidth="0" w:num="1">
            <w:col w:w="10120"/>
          </w:cols>
          <w:pgMar w:left="980" w:top="231" w:right="799" w:bottom="1440" w:gutter="0" w:footer="0" w:header="0"/>
          <w:type w:val="continuous"/>
        </w:sectPr>
      </w:pPr>
    </w:p>
    <w:bookmarkStart w:id="1" w:name="page2"/>
    <w:bookmarkEnd w:id="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CITI TRENDS, INC.</w:t>
            </w:r>
          </w:p>
        </w:tc>
        <w:tc>
          <w:tcPr>
            <w:tcW w:w="194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FORM 10-Q</w:t>
            </w:r>
          </w:p>
        </w:tc>
        <w:tc>
          <w:tcPr>
            <w:tcW w:w="226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720" w:type="dxa"/>
            <w:vAlign w:val="bottom"/>
            <w:gridSpan w:val="6"/>
          </w:tcPr>
          <w:p>
            <w:pPr>
              <w:jc w:val="center"/>
              <w:ind w:right="1800"/>
              <w:spacing w:after="0" w:line="196" w:lineRule="exact"/>
              <w:rPr>
                <w:sz w:val="20"/>
                <w:szCs w:val="20"/>
                <w:color w:val="auto"/>
              </w:rPr>
            </w:pPr>
            <w:r>
              <w:rPr>
                <w:rFonts w:ascii="Arial" w:cs="Arial" w:eastAsia="Arial" w:hAnsi="Arial"/>
                <w:sz w:val="18"/>
                <w:szCs w:val="18"/>
                <w:b w:val="1"/>
                <w:bCs w:val="1"/>
                <w:color w:val="auto"/>
                <w:w w:val="98"/>
              </w:rPr>
              <w:t>TABLE OF CONTENTS</w:t>
            </w:r>
          </w:p>
        </w:tc>
      </w:tr>
      <w:tr>
        <w:trPr>
          <w:trHeight w:val="669"/>
        </w:trPr>
        <w:tc>
          <w:tcPr>
            <w:tcW w:w="7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288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1920" w:type="dxa"/>
            <w:vAlign w:val="bottom"/>
            <w:tcBorders>
              <w:top w:val="single" w:sz="8" w:color="auto"/>
            </w:tcBorders>
            <w:gridSpan w:val="5"/>
          </w:tcPr>
          <w:p>
            <w:pPr>
              <w:spacing w:after="0"/>
              <w:rPr>
                <w:sz w:val="24"/>
                <w:szCs w:val="24"/>
                <w:color w:val="auto"/>
              </w:rPr>
            </w:pPr>
          </w:p>
        </w:tc>
        <w:tc>
          <w:tcPr>
            <w:tcW w:w="1800" w:type="dxa"/>
            <w:vAlign w:val="bottom"/>
          </w:tcPr>
          <w:p>
            <w:pPr>
              <w:spacing w:after="0"/>
              <w:rPr>
                <w:sz w:val="24"/>
                <w:szCs w:val="24"/>
                <w:color w:val="auto"/>
              </w:rPr>
            </w:pPr>
          </w:p>
        </w:tc>
      </w:tr>
      <w:tr>
        <w:trPr>
          <w:trHeight w:val="405"/>
        </w:trPr>
        <w:tc>
          <w:tcPr>
            <w:tcW w:w="7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r>
      <w:tr>
        <w:trPr>
          <w:trHeight w:val="418"/>
        </w:trPr>
        <w:tc>
          <w:tcPr>
            <w:tcW w:w="720" w:type="dxa"/>
            <w:vAlign w:val="bottom"/>
          </w:tcPr>
          <w:p>
            <w:pPr>
              <w:spacing w:after="0"/>
              <w:rPr>
                <w:sz w:val="24"/>
                <w:szCs w:val="24"/>
                <w:color w:val="auto"/>
              </w:rPr>
            </w:pPr>
          </w:p>
        </w:tc>
        <w:tc>
          <w:tcPr>
            <w:tcW w:w="6600" w:type="dxa"/>
            <w:vAlign w:val="bottom"/>
            <w:gridSpan w:val="7"/>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r>
      <w:tr>
        <w:trPr>
          <w:trHeight w:val="418"/>
        </w:trPr>
        <w:tc>
          <w:tcPr>
            <w:tcW w:w="720" w:type="dxa"/>
            <w:vAlign w:val="bottom"/>
          </w:tcPr>
          <w:p>
            <w:pPr>
              <w:spacing w:after="0"/>
              <w:rPr>
                <w:sz w:val="24"/>
                <w:szCs w:val="24"/>
                <w:color w:val="auto"/>
              </w:rPr>
            </w:pPr>
          </w:p>
        </w:tc>
        <w:tc>
          <w:tcPr>
            <w:tcW w:w="6600" w:type="dxa"/>
            <w:vAlign w:val="bottom"/>
            <w:gridSpan w:val="7"/>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r>
      <w:tr>
        <w:trPr>
          <w:trHeight w:val="418"/>
        </w:trPr>
        <w:tc>
          <w:tcPr>
            <w:tcW w:w="720" w:type="dxa"/>
            <w:vAlign w:val="bottom"/>
          </w:tcPr>
          <w:p>
            <w:pPr>
              <w:spacing w:after="0"/>
              <w:rPr>
                <w:sz w:val="24"/>
                <w:szCs w:val="24"/>
                <w:color w:val="auto"/>
              </w:rPr>
            </w:pPr>
          </w:p>
        </w:tc>
        <w:tc>
          <w:tcPr>
            <w:tcW w:w="6600" w:type="dxa"/>
            <w:vAlign w:val="bottom"/>
            <w:gridSpan w:val="7"/>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r>
      <w:tr>
        <w:trPr>
          <w:trHeight w:val="418"/>
        </w:trPr>
        <w:tc>
          <w:tcPr>
            <w:tcW w:w="720" w:type="dxa"/>
            <w:vAlign w:val="bottom"/>
          </w:tcPr>
          <w:p>
            <w:pPr>
              <w:spacing w:after="0"/>
              <w:rPr>
                <w:sz w:val="24"/>
                <w:szCs w:val="24"/>
                <w:color w:val="auto"/>
              </w:rPr>
            </w:pPr>
          </w:p>
        </w:tc>
        <w:tc>
          <w:tcPr>
            <w:tcW w:w="6600" w:type="dxa"/>
            <w:vAlign w:val="bottom"/>
            <w:gridSpan w:val="7"/>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w:t>
              </w:r>
            </w:hyperlink>
          </w:p>
        </w:tc>
      </w:tr>
      <w:tr>
        <w:trPr>
          <w:trHeight w:val="419"/>
        </w:trPr>
        <w:tc>
          <w:tcPr>
            <w:tcW w:w="720" w:type="dxa"/>
            <w:vAlign w:val="bottom"/>
          </w:tcPr>
          <w:p>
            <w:pPr>
              <w:spacing w:after="0"/>
              <w:rPr>
                <w:sz w:val="24"/>
                <w:szCs w:val="24"/>
                <w:color w:val="auto"/>
              </w:rPr>
            </w:pPr>
          </w:p>
        </w:tc>
        <w:tc>
          <w:tcPr>
            <w:tcW w:w="6600" w:type="dxa"/>
            <w:vAlign w:val="bottom"/>
            <w:gridSpan w:val="7"/>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Condensed Consolidated Financial Statements</w:t>
              </w:r>
            </w:hyperlink>
          </w:p>
        </w:tc>
      </w:tr>
      <w:tr>
        <w:trPr>
          <w:trHeight w:val="418"/>
        </w:trPr>
        <w:tc>
          <w:tcPr>
            <w:tcW w:w="72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2</w:t>
              </w:r>
            </w:hyperlink>
          </w:p>
        </w:tc>
        <w:tc>
          <w:tcPr>
            <w:tcW w:w="6600" w:type="dxa"/>
            <w:vAlign w:val="bottom"/>
            <w:gridSpan w:val="7"/>
          </w:tcPr>
          <w:p>
            <w:pPr>
              <w:ind w:left="140"/>
              <w:spacing w:after="0"/>
              <w:rPr>
                <w:rFonts w:ascii="Arial" w:cs="Arial" w:eastAsia="Arial" w:hAnsi="Arial"/>
                <w:sz w:val="18"/>
                <w:szCs w:val="18"/>
                <w:u w:val="single" w:color="auto"/>
                <w:color w:val="0000EE"/>
                <w:w w:val="90"/>
              </w:rPr>
            </w:pPr>
            <w:hyperlink w:anchor="page13">
              <w:r>
                <w:rPr>
                  <w:rFonts w:ascii="Arial" w:cs="Arial" w:eastAsia="Arial" w:hAnsi="Arial"/>
                  <w:sz w:val="18"/>
                  <w:szCs w:val="18"/>
                  <w:u w:val="single" w:color="auto"/>
                  <w:color w:val="0000EE"/>
                  <w:w w:val="90"/>
                </w:rPr>
                <w:t>Management’s Discussion and Analysis of Financial Condition and Results of Operations</w:t>
              </w:r>
            </w:hyperlink>
          </w:p>
        </w:tc>
      </w:tr>
      <w:tr>
        <w:trPr>
          <w:trHeight w:val="418"/>
        </w:trPr>
        <w:tc>
          <w:tcPr>
            <w:tcW w:w="72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3</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Quantitative and Qualitative Disclosures About Market Risk</w:t>
              </w:r>
            </w:hyperlink>
          </w:p>
        </w:tc>
      </w:tr>
      <w:tr>
        <w:trPr>
          <w:trHeight w:val="418"/>
        </w:trPr>
        <w:tc>
          <w:tcPr>
            <w:tcW w:w="72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4</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Controls and Procedures</w:t>
              </w:r>
            </w:hyperlink>
          </w:p>
        </w:tc>
      </w:tr>
      <w:tr>
        <w:trPr>
          <w:trHeight w:val="405"/>
        </w:trPr>
        <w:tc>
          <w:tcPr>
            <w:tcW w:w="72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PART II</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OTHER INFORMATION</w:t>
              </w:r>
            </w:hyperlink>
          </w:p>
        </w:tc>
      </w:tr>
      <w:tr>
        <w:trPr>
          <w:trHeight w:val="418"/>
        </w:trPr>
        <w:tc>
          <w:tcPr>
            <w:tcW w:w="72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Legal Proceedings</w:t>
              </w:r>
            </w:hyperlink>
          </w:p>
        </w:tc>
      </w:tr>
      <w:tr>
        <w:trPr>
          <w:trHeight w:val="419"/>
        </w:trPr>
        <w:tc>
          <w:tcPr>
            <w:tcW w:w="72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1A</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r>
      <w:tr>
        <w:trPr>
          <w:trHeight w:val="418"/>
        </w:trPr>
        <w:tc>
          <w:tcPr>
            <w:tcW w:w="72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Unregistered Sales of Equity Securities and Use of Proceeds</w:t>
              </w:r>
            </w:hyperlink>
          </w:p>
        </w:tc>
      </w:tr>
      <w:tr>
        <w:trPr>
          <w:trHeight w:val="418"/>
        </w:trPr>
        <w:tc>
          <w:tcPr>
            <w:tcW w:w="7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3</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Defaults Upon Senior Securities</w:t>
              </w:r>
            </w:hyperlink>
          </w:p>
        </w:tc>
      </w:tr>
      <w:tr>
        <w:trPr>
          <w:trHeight w:val="419"/>
        </w:trPr>
        <w:tc>
          <w:tcPr>
            <w:tcW w:w="7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4</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Mine Safety Disclosures</w:t>
              </w:r>
            </w:hyperlink>
          </w:p>
        </w:tc>
      </w:tr>
      <w:tr>
        <w:trPr>
          <w:trHeight w:val="418"/>
        </w:trPr>
        <w:tc>
          <w:tcPr>
            <w:tcW w:w="7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5</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Other Information</w:t>
              </w:r>
            </w:hyperlink>
          </w:p>
        </w:tc>
      </w:tr>
      <w:tr>
        <w:trPr>
          <w:trHeight w:val="418"/>
        </w:trPr>
        <w:tc>
          <w:tcPr>
            <w:tcW w:w="7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6</w:t>
              </w:r>
            </w:hyperlink>
          </w:p>
        </w:tc>
        <w:tc>
          <w:tcPr>
            <w:tcW w:w="6600" w:type="dxa"/>
            <w:vAlign w:val="bottom"/>
            <w:gridSpan w:val="7"/>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Exhibits</w:t>
              </w:r>
            </w:hyperlink>
          </w:p>
        </w:tc>
      </w:tr>
      <w:tr>
        <w:trPr>
          <w:trHeight w:val="419"/>
        </w:trPr>
        <w:tc>
          <w:tcPr>
            <w:tcW w:w="720" w:type="dxa"/>
            <w:vAlign w:val="bottom"/>
          </w:tcPr>
          <w:p>
            <w:pPr>
              <w:spacing w:after="0"/>
              <w:rPr>
                <w:sz w:val="24"/>
                <w:szCs w:val="24"/>
                <w:color w:val="auto"/>
              </w:rPr>
            </w:pPr>
          </w:p>
        </w:tc>
        <w:tc>
          <w:tcPr>
            <w:tcW w:w="6600" w:type="dxa"/>
            <w:vAlign w:val="bottom"/>
            <w:gridSpan w:val="7"/>
          </w:tcPr>
          <w:p>
            <w:pPr>
              <w:ind w:left="1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SIGNATURES</w:t>
              </w:r>
            </w:hyperlink>
          </w:p>
        </w:tc>
      </w:tr>
      <w:tr>
        <w:trPr>
          <w:trHeight w:val="850"/>
        </w:trPr>
        <w:tc>
          <w:tcPr>
            <w:tcW w:w="720" w:type="dxa"/>
            <w:vAlign w:val="bottom"/>
          </w:tcPr>
          <w:p>
            <w:pPr>
              <w:spacing w:after="0"/>
              <w:rPr>
                <w:sz w:val="24"/>
                <w:szCs w:val="24"/>
                <w:color w:val="auto"/>
              </w:rPr>
            </w:pPr>
          </w:p>
        </w:tc>
        <w:tc>
          <w:tcPr>
            <w:tcW w:w="4340" w:type="dxa"/>
            <w:vAlign w:val="bottom"/>
            <w:gridSpan w:val="4"/>
          </w:tcPr>
          <w:p>
            <w:pPr>
              <w:jc w:val="center"/>
              <w:ind w:left="3250"/>
              <w:spacing w:after="0"/>
              <w:rPr>
                <w:sz w:val="20"/>
                <w:szCs w:val="20"/>
                <w:color w:val="auto"/>
              </w:rPr>
            </w:pPr>
            <w:r>
              <w:rPr>
                <w:rFonts w:ascii="Arial" w:cs="Arial" w:eastAsia="Arial" w:hAnsi="Arial"/>
                <w:sz w:val="18"/>
                <w:szCs w:val="18"/>
                <w:color w:val="auto"/>
                <w:w w:val="79"/>
              </w:rPr>
              <w:t>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121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PAGE</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2">
            <w:col w:w="7580" w:space="720"/>
            <w:col w:w="840"/>
          </w:cols>
          <w:pgMar w:left="1380" w:top="125" w:right="1379" w:bottom="1440" w:gutter="0" w:footer="0" w:header="0"/>
        </w:sectPr>
      </w:pPr>
    </w:p>
    <w:bookmarkStart w:id="2" w:name="page3"/>
    <w:bookmarkEnd w:id="2"/>
    <w:p>
      <w:pPr>
        <w:ind w:left="20"/>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 2020 and February 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May 2,</w:t>
            </w:r>
          </w:p>
        </w:tc>
        <w:tc>
          <w:tcPr>
            <w:tcW w:w="10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February 1,</w:t>
            </w:r>
          </w:p>
        </w:tc>
      </w:tr>
      <w:tr>
        <w:trPr>
          <w:trHeight w:val="171"/>
        </w:trPr>
        <w:tc>
          <w:tcPr>
            <w:tcW w:w="68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r>
      <w:tr>
        <w:trPr>
          <w:trHeight w:val="210"/>
        </w:trPr>
        <w:tc>
          <w:tcPr>
            <w:tcW w:w="6880" w:type="dxa"/>
            <w:vAlign w:val="bottom"/>
            <w:shd w:val="clear" w:color="auto" w:fill="CCEEFF"/>
          </w:tcPr>
          <w:p>
            <w:pPr>
              <w:ind w:left="31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rPr>
              <w:t>Short-term investment securities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27,562</w:t>
            </w:r>
          </w:p>
        </w:tc>
        <w:tc>
          <w:tcPr>
            <w:tcW w:w="300" w:type="dxa"/>
            <w:vAlign w:val="bottom"/>
          </w:tcPr>
          <w:p>
            <w:pPr>
              <w:spacing w:after="0"/>
              <w:rPr>
                <w:sz w:val="18"/>
                <w:szCs w:val="18"/>
                <w:color w:val="auto"/>
              </w:rPr>
            </w:pPr>
          </w:p>
        </w:tc>
      </w:tr>
      <w:tr>
        <w:trPr>
          <w:trHeight w:val="216"/>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138,258</w:t>
            </w: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14,278</w:t>
            </w:r>
          </w:p>
        </w:tc>
        <w:tc>
          <w:tcPr>
            <w:tcW w:w="300" w:type="dxa"/>
            <w:vAlign w:val="bottom"/>
          </w:tcPr>
          <w:p>
            <w:pPr>
              <w:spacing w:after="0"/>
              <w:rPr>
                <w:sz w:val="18"/>
                <w:szCs w:val="18"/>
                <w:color w:val="auto"/>
              </w:rPr>
            </w:pPr>
          </w:p>
        </w:tc>
      </w:tr>
      <w:tr>
        <w:trPr>
          <w:trHeight w:val="216"/>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receivable</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300" w:type="dxa"/>
            <w:vAlign w:val="bottom"/>
            <w:shd w:val="clear" w:color="auto" w:fill="CCEEFF"/>
          </w:tcPr>
          <w:p>
            <w:pPr>
              <w:spacing w:after="0"/>
              <w:rPr>
                <w:sz w:val="18"/>
                <w:szCs w:val="18"/>
                <w:color w:val="auto"/>
              </w:rPr>
            </w:pPr>
          </w:p>
        </w:tc>
      </w:tr>
      <w:tr>
        <w:trPr>
          <w:trHeight w:val="209"/>
        </w:trPr>
        <w:tc>
          <w:tcPr>
            <w:tcW w:w="68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201,207</w:t>
            </w:r>
          </w:p>
        </w:tc>
        <w:tc>
          <w:tcPr>
            <w:tcW w:w="300" w:type="dxa"/>
            <w:vAlign w:val="bottom"/>
          </w:tcPr>
          <w:p>
            <w:pPr>
              <w:spacing w:after="0"/>
              <w:rPr>
                <w:sz w:val="18"/>
                <w:szCs w:val="18"/>
                <w:color w:val="auto"/>
              </w:rPr>
            </w:pPr>
          </w:p>
        </w:tc>
      </w:tr>
      <w:tr>
        <w:trPr>
          <w:trHeight w:val="202"/>
        </w:trPr>
        <w:tc>
          <w:tcPr>
            <w:tcW w:w="68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2"/>
              </w:rPr>
              <w:t>Property and equipment, net of accumulated depreciation of $267,330 and $262,570 as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May 2, 2020 and February 1, 2020, respectively</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64,985</w:t>
            </w:r>
          </w:p>
        </w:tc>
        <w:tc>
          <w:tcPr>
            <w:tcW w:w="300" w:type="dxa"/>
            <w:vAlign w:val="bottom"/>
            <w:shd w:val="clear" w:color="auto" w:fill="CCEEFF"/>
          </w:tcPr>
          <w:p>
            <w:pPr>
              <w:spacing w:after="0"/>
              <w:rPr>
                <w:sz w:val="20"/>
                <w:szCs w:val="20"/>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rPr>
              <w:t>Operating lease right of use assets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166,749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169,854</w:t>
            </w:r>
          </w:p>
        </w:tc>
        <w:tc>
          <w:tcPr>
            <w:tcW w:w="300" w:type="dxa"/>
            <w:vAlign w:val="bottom"/>
          </w:tcPr>
          <w:p>
            <w:pPr>
              <w:spacing w:after="0"/>
              <w:rPr>
                <w:sz w:val="18"/>
                <w:szCs w:val="18"/>
                <w:color w:val="auto"/>
              </w:rPr>
            </w:pPr>
          </w:p>
        </w:tc>
      </w:tr>
      <w:tr>
        <w:trPr>
          <w:trHeight w:val="216"/>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 securities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w:t>
            </w: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6,669</w:t>
            </w:r>
          </w:p>
        </w:tc>
        <w:tc>
          <w:tcPr>
            <w:tcW w:w="300" w:type="dxa"/>
            <w:vAlign w:val="bottom"/>
          </w:tcPr>
          <w:p>
            <w:pPr>
              <w:spacing w:after="0"/>
              <w:rPr>
                <w:sz w:val="18"/>
                <w:szCs w:val="18"/>
                <w:color w:val="auto"/>
              </w:rPr>
            </w:pPr>
          </w:p>
        </w:tc>
      </w:tr>
      <w:tr>
        <w:trPr>
          <w:trHeight w:val="216"/>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300" w:type="dxa"/>
            <w:vAlign w:val="bottom"/>
            <w:shd w:val="clear" w:color="auto" w:fill="CCEEFF"/>
          </w:tcPr>
          <w:p>
            <w:pPr>
              <w:spacing w:after="0"/>
              <w:rPr>
                <w:sz w:val="18"/>
                <w:szCs w:val="18"/>
                <w:color w:val="auto"/>
              </w:rPr>
            </w:pPr>
          </w:p>
        </w:tc>
      </w:tr>
      <w:tr>
        <w:trPr>
          <w:trHeight w:val="217"/>
        </w:trPr>
        <w:tc>
          <w:tcPr>
            <w:tcW w:w="6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486,843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459,145</w:t>
            </w:r>
          </w:p>
        </w:tc>
        <w:tc>
          <w:tcPr>
            <w:tcW w:w="300" w:type="dxa"/>
            <w:vAlign w:val="bottom"/>
            <w:tcBorders>
              <w:bottom w:val="single" w:sz="8" w:color="CCEEFF"/>
            </w:tcBorders>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Pr>
          <w:p>
            <w:pPr>
              <w:ind w:left="19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94,249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79,596</w:t>
            </w:r>
          </w:p>
        </w:tc>
        <w:tc>
          <w:tcPr>
            <w:tcW w:w="300" w:type="dxa"/>
            <w:vAlign w:val="bottom"/>
          </w:tcPr>
          <w:p>
            <w:pPr>
              <w:spacing w:after="0"/>
              <w:rPr>
                <w:sz w:val="18"/>
                <w:szCs w:val="18"/>
                <w:color w:val="auto"/>
              </w:rPr>
            </w:pPr>
          </w:p>
        </w:tc>
      </w:tr>
      <w:tr>
        <w:trPr>
          <w:trHeight w:val="216"/>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42,944</w:t>
            </w: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14,755</w:t>
            </w:r>
          </w:p>
        </w:tc>
        <w:tc>
          <w:tcPr>
            <w:tcW w:w="300" w:type="dxa"/>
            <w:vAlign w:val="bottom"/>
          </w:tcPr>
          <w:p>
            <w:pPr>
              <w:spacing w:after="0"/>
              <w:rPr>
                <w:sz w:val="18"/>
                <w:szCs w:val="18"/>
                <w:color w:val="auto"/>
              </w:rPr>
            </w:pPr>
          </w:p>
        </w:tc>
      </w:tr>
      <w:tr>
        <w:trPr>
          <w:trHeight w:val="216"/>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Layaway deposits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3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150,862</w:t>
            </w: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135,316</w:t>
            </w:r>
          </w:p>
        </w:tc>
        <w:tc>
          <w:tcPr>
            <w:tcW w:w="30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r>
      <w:tr>
        <w:trPr>
          <w:trHeight w:val="21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3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343,785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288,101</w:t>
            </w:r>
          </w:p>
        </w:tc>
        <w:tc>
          <w:tcPr>
            <w:tcW w:w="300" w:type="dxa"/>
            <w:vAlign w:val="bottom"/>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02"/>
        </w:trPr>
        <w:tc>
          <w:tcPr>
            <w:tcW w:w="6880" w:type="dxa"/>
            <w:vAlign w:val="bottom"/>
          </w:tcPr>
          <w:p>
            <w:pPr>
              <w:ind w:left="240"/>
              <w:spacing w:after="0" w:line="201" w:lineRule="exact"/>
              <w:rPr>
                <w:sz w:val="20"/>
                <w:szCs w:val="20"/>
                <w:color w:val="auto"/>
              </w:rPr>
            </w:pPr>
            <w:r>
              <w:rPr>
                <w:rFonts w:ascii="Arial" w:cs="Arial" w:eastAsia="Arial" w:hAnsi="Arial"/>
                <w:sz w:val="18"/>
                <w:szCs w:val="18"/>
                <w:color w:val="auto"/>
                <w:w w:val="91"/>
              </w:rPr>
              <w:t>Common stock, $0.01 par value. Authorized 32,000,000 shares; 15,950,332 shares issued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w w:val="98"/>
              </w:rPr>
              <w:t>as of May 2, 2020 and 15,907,666 shares issued as of February 1, 2020; 10,616,546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w w:val="93"/>
              </w:rPr>
              <w:t>shares outstanding as of May 2, 2020 and 10,834,134 shares outstanding as of February</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1, 2020</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20"/>
                <w:szCs w:val="20"/>
                <w:color w:val="auto"/>
              </w:rPr>
            </w:pPr>
          </w:p>
        </w:tc>
      </w:tr>
      <w:tr>
        <w:trPr>
          <w:trHeight w:val="216"/>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Paid in capital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93,180</w:t>
            </w: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186,772</w:t>
            </w:r>
          </w:p>
        </w:tc>
        <w:tc>
          <w:tcPr>
            <w:tcW w:w="300" w:type="dxa"/>
            <w:vAlign w:val="bottom"/>
          </w:tcPr>
          <w:p>
            <w:pPr>
              <w:spacing w:after="0"/>
              <w:rPr>
                <w:sz w:val="18"/>
                <w:szCs w:val="18"/>
                <w:color w:val="auto"/>
              </w:rPr>
            </w:pPr>
          </w:p>
        </w:tc>
      </w:tr>
      <w:tr>
        <w:trPr>
          <w:trHeight w:val="202"/>
        </w:trPr>
        <w:tc>
          <w:tcPr>
            <w:tcW w:w="68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5"/>
              </w:rPr>
              <w:t>Treasury stock, at cost; 5,333,786 shares held as of May 2, 2020 and 5,073,532 shares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held as of February 1, 2020</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(115,319)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(109,065)</w:t>
            </w:r>
          </w:p>
        </w:tc>
      </w:tr>
      <w:tr>
        <w:trPr>
          <w:trHeight w:val="209"/>
        </w:trPr>
        <w:tc>
          <w:tcPr>
            <w:tcW w:w="6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143,058</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171,044</w:t>
            </w:r>
          </w:p>
        </w:tc>
        <w:tc>
          <w:tcPr>
            <w:tcW w:w="3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3"/>
        </w:trPr>
        <w:tc>
          <w:tcPr>
            <w:tcW w:w="6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486,843</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459,145</w:t>
            </w:r>
          </w:p>
        </w:tc>
        <w:tc>
          <w:tcPr>
            <w:tcW w:w="3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60"/>
          </w:cols>
          <w:pgMar w:left="1360" w:top="125" w:right="1379" w:bottom="1440" w:gutter="0" w:footer="0" w:header="0"/>
        </w:sectPr>
      </w:pPr>
    </w:p>
    <w:bookmarkStart w:id="3" w:name="page4"/>
    <w:bookmarkEnd w:id="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 Weeks Ended May 2, 2020 and May 4,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93"/>
              <w:spacing w:after="0" w:line="119" w:lineRule="exact"/>
              <w:rPr>
                <w:sz w:val="20"/>
                <w:szCs w:val="20"/>
                <w:color w:val="auto"/>
              </w:rPr>
            </w:pPr>
            <w:r>
              <w:rPr>
                <w:rFonts w:ascii="Arial" w:cs="Arial" w:eastAsia="Arial" w:hAnsi="Arial"/>
                <w:sz w:val="13"/>
                <w:szCs w:val="13"/>
                <w:b w:val="1"/>
                <w:bCs w:val="1"/>
                <w:color w:val="auto"/>
              </w:rPr>
              <w:t>May 2,</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May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Asset impairment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(Loss) Income from operations</w:t>
            </w:r>
          </w:p>
        </w:tc>
        <w:tc>
          <w:tcPr>
            <w:tcW w:w="1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(Loss) Income before income taxes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Net (loss) income</w:t>
            </w:r>
          </w:p>
        </w:tc>
        <w:tc>
          <w:tcPr>
            <w:tcW w:w="1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8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Basic net (loss) income per common share</w:t>
            </w:r>
          </w:p>
        </w:tc>
        <w:tc>
          <w:tcPr>
            <w:tcW w:w="1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(loss) income per common share</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1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 w:name="page5"/>
    <w:bookmarkEnd w:id="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 Weeks Ended May 2, 2020 and May 4,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May 2,</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91"/>
              <w:spacing w:after="0" w:line="119" w:lineRule="exact"/>
              <w:rPr>
                <w:sz w:val="20"/>
                <w:szCs w:val="20"/>
                <w:color w:val="auto"/>
              </w:rPr>
            </w:pPr>
            <w:r>
              <w:rPr>
                <w:rFonts w:ascii="Arial" w:cs="Arial" w:eastAsia="Arial" w:hAnsi="Arial"/>
                <w:sz w:val="13"/>
                <w:szCs w:val="13"/>
                <w:b w:val="1"/>
                <w:bCs w:val="1"/>
                <w:color w:val="auto"/>
              </w:rPr>
              <w:t>May 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6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(20,892)</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Non-cash operating lease costs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00"/>
              <w:spacing w:after="0"/>
              <w:rPr>
                <w:sz w:val="20"/>
                <w:szCs w:val="20"/>
                <w:color w:val="auto"/>
              </w:rPr>
            </w:pPr>
            <w:r>
              <w:rPr>
                <w:rFonts w:ascii="Arial" w:cs="Arial" w:eastAsia="Arial" w:hAnsi="Arial"/>
                <w:sz w:val="18"/>
                <w:szCs w:val="18"/>
                <w:color w:val="auto"/>
              </w:rPr>
              <w:t>Asset impairment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on disposal of property and equipment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Non-cash stock-based compensation expense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00"/>
              <w:spacing w:after="0"/>
              <w:rPr>
                <w:sz w:val="20"/>
                <w:szCs w:val="20"/>
                <w:color w:val="auto"/>
              </w:rPr>
            </w:pPr>
            <w:r>
              <w:rPr>
                <w:rFonts w:ascii="Arial" w:cs="Arial" w:eastAsia="Arial" w:hAnsi="Arial"/>
                <w:sz w:val="18"/>
                <w:szCs w:val="18"/>
                <w:color w:val="auto"/>
              </w:rPr>
              <w:t>Changes in assets and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Prepaid and other current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long-term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receivable/payable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Layaway deposits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Sales/redemptions of investment securities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43,754</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Purchases of investment securities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Borrowings under revolving credit facility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Cash used to settle withholding taxes on the vesting of nonvested restricted stock</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Dividends paid to stockholders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88,207</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period</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End of period</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108,130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Cash paid for interest</w:t>
            </w:r>
          </w:p>
        </w:tc>
        <w:tc>
          <w:tcPr>
            <w:tcW w:w="6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bottom w:val="single" w:sz="8" w:color="CCEEFF"/>
            </w:tcBorders>
          </w:tcPr>
          <w:p>
            <w:pPr>
              <w:ind w:left="620"/>
              <w:spacing w:after="0" w:line="203" w:lineRule="exact"/>
              <w:rPr>
                <w:sz w:val="20"/>
                <w:szCs w:val="20"/>
                <w:color w:val="auto"/>
              </w:rPr>
            </w:pPr>
            <w:r>
              <w:rPr>
                <w:rFonts w:ascii="Arial" w:cs="Arial" w:eastAsia="Arial" w:hAnsi="Arial"/>
                <w:sz w:val="18"/>
                <w:szCs w:val="18"/>
                <w:color w:val="auto"/>
              </w:rPr>
              <w:t>Cash refunds of income taxes</w:t>
            </w:r>
          </w:p>
        </w:tc>
        <w:tc>
          <w:tcPr>
            <w:tcW w:w="4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20"/>
              <w:spacing w:after="0"/>
              <w:rPr>
                <w:sz w:val="20"/>
                <w:szCs w:val="20"/>
                <w:color w:val="auto"/>
              </w:rPr>
            </w:pPr>
            <w:r>
              <w:rPr>
                <w:rFonts w:ascii="Arial" w:cs="Arial" w:eastAsia="Arial" w:hAnsi="Arial"/>
                <w:sz w:val="18"/>
                <w:szCs w:val="18"/>
                <w:color w:val="auto"/>
              </w:rPr>
              <w:t>Accrual for purchases of property and equipment</w:t>
            </w:r>
          </w:p>
        </w:tc>
        <w:tc>
          <w:tcPr>
            <w:tcW w:w="6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 w:name="page6"/>
    <w:bookmarkEnd w:id="5"/>
    <w:p>
      <w:pPr>
        <w:ind w:left="20"/>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 Weeks Ended May 2, 2020 and May 4,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0"/>
          </w:tcPr>
          <w:p>
            <w:pPr>
              <w:ind w:left="340"/>
              <w:spacing w:after="0"/>
              <w:rPr>
                <w:sz w:val="20"/>
                <w:szCs w:val="20"/>
                <w:color w:val="auto"/>
              </w:rPr>
            </w:pPr>
            <w:r>
              <w:rPr>
                <w:rFonts w:ascii="Arial" w:cs="Arial" w:eastAsia="Arial" w:hAnsi="Arial"/>
                <w:sz w:val="14"/>
                <w:szCs w:val="14"/>
                <w:b w:val="1"/>
                <w:bCs w:val="1"/>
                <w:color w:val="auto"/>
              </w:rPr>
              <w:t>Thirteen Weeks Ended May 2, 2020</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1340" w:type="dxa"/>
            <w:vAlign w:val="bottom"/>
            <w:gridSpan w:val="4"/>
          </w:tcPr>
          <w:p>
            <w:pPr>
              <w:jc w:val="right"/>
              <w:ind w:right="128"/>
              <w:spacing w:after="0" w:line="142"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Paid in</w:t>
            </w:r>
          </w:p>
        </w:tc>
        <w:tc>
          <w:tcPr>
            <w:tcW w:w="40" w:type="dxa"/>
            <w:vAlign w:val="bottom"/>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Retained</w:t>
            </w:r>
          </w:p>
        </w:tc>
        <w:tc>
          <w:tcPr>
            <w:tcW w:w="144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7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6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—February 1, 2020</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15,907,666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157</w:t>
            </w: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$ 93,180</w:t>
            </w: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$ 186,772</w:t>
            </w: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5,073,532</w:t>
            </w: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(109,065)</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$ 171,044</w:t>
            </w: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Vesting of nonvested restricted stock units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nonvested shares under incentive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(8,872)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(34,487)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(479)</w:t>
            </w:r>
          </w:p>
        </w:tc>
        <w:tc>
          <w:tcPr>
            <w:tcW w:w="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(479)</w:t>
            </w: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260,254</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(6,254)</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(6,254)</w:t>
            </w: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(831)</w:t>
            </w:r>
          </w:p>
        </w:tc>
        <w:tc>
          <w:tcPr>
            <w:tcW w:w="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(831)</w:t>
            </w: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(20,892)</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(20,892)</w:t>
            </w:r>
          </w:p>
        </w:tc>
      </w:tr>
      <w:tr>
        <w:trPr>
          <w:trHeight w:val="149"/>
        </w:trPr>
        <w:tc>
          <w:tcPr>
            <w:tcW w:w="4260" w:type="dxa"/>
            <w:vAlign w:val="bottom"/>
          </w:tcPr>
          <w:p>
            <w:pPr>
              <w:spacing w:after="0" w:line="142" w:lineRule="exact"/>
              <w:rPr>
                <w:sz w:val="20"/>
                <w:szCs w:val="20"/>
                <w:color w:val="auto"/>
              </w:rPr>
            </w:pPr>
            <w:r>
              <w:rPr>
                <w:rFonts w:ascii="Arial" w:cs="Arial" w:eastAsia="Arial" w:hAnsi="Arial"/>
                <w:sz w:val="14"/>
                <w:szCs w:val="14"/>
                <w:color w:val="auto"/>
              </w:rPr>
              <w:t>Balances —May 2, 2020</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15,950,332</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158</w:t>
            </w: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$ 93,170</w:t>
            </w: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$ 165,049</w:t>
            </w: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5,333,786</w:t>
            </w: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 (115,319)</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$ 143,058</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0"/>
          </w:tcPr>
          <w:p>
            <w:pPr>
              <w:jc w:val="right"/>
              <w:ind w:right="620"/>
              <w:spacing w:after="0"/>
              <w:rPr>
                <w:sz w:val="20"/>
                <w:szCs w:val="20"/>
                <w:color w:val="auto"/>
              </w:rPr>
            </w:pPr>
            <w:r>
              <w:rPr>
                <w:rFonts w:ascii="Arial" w:cs="Arial" w:eastAsia="Arial" w:hAnsi="Arial"/>
                <w:sz w:val="14"/>
                <w:szCs w:val="14"/>
                <w:b w:val="1"/>
                <w:bCs w:val="1"/>
                <w:color w:val="auto"/>
              </w:rPr>
              <w:t>Thirteen Weeks Ended May 4, 2019</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1420" w:type="dxa"/>
            <w:vAlign w:val="bottom"/>
            <w:gridSpan w:val="5"/>
          </w:tcPr>
          <w:p>
            <w:pPr>
              <w:ind w:left="200"/>
              <w:spacing w:after="0" w:line="142" w:lineRule="exact"/>
              <w:rPr>
                <w:sz w:val="20"/>
                <w:szCs w:val="20"/>
                <w:color w:val="auto"/>
              </w:rPr>
            </w:pPr>
            <w:r>
              <w:rPr>
                <w:rFonts w:ascii="Arial" w:cs="Arial" w:eastAsia="Arial" w:hAnsi="Arial"/>
                <w:sz w:val="14"/>
                <w:szCs w:val="14"/>
                <w:b w:val="1"/>
                <w:bCs w:val="1"/>
                <w:color w:val="auto"/>
              </w:rPr>
              <w:t>Common Stock</w:t>
            </w: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Paid in</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8"/>
              </w:rPr>
              <w:t>Retained</w:t>
            </w:r>
          </w:p>
        </w:tc>
        <w:tc>
          <w:tcPr>
            <w:tcW w:w="142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Capital</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Earnings</w:t>
            </w:r>
          </w:p>
        </w:tc>
        <w:tc>
          <w:tcPr>
            <w:tcW w:w="7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3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Balances —February 2, 2019</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15,827,713</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$ 91,794</w:t>
            </w: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$ 176,094</w:t>
            </w: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3,669,476</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(80,620)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187,425</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Arial" w:cs="Arial" w:eastAsia="Arial" w:hAnsi="Arial"/>
                <w:sz w:val="14"/>
                <w:szCs w:val="14"/>
                <w:color w:val="auto"/>
              </w:rPr>
              <w:t>Adoption of lease accounting standard (see Note 12)</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(2,060)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(2,060)</w:t>
            </w:r>
          </w:p>
        </w:tc>
        <w:tc>
          <w:tcPr>
            <w:tcW w:w="20" w:type="dxa"/>
            <w:vAlign w:val="bottom"/>
          </w:tcPr>
          <w:p>
            <w:pPr>
              <w:spacing w:after="0"/>
              <w:rPr>
                <w:sz w:val="12"/>
                <w:szCs w:val="12"/>
                <w:color w:val="auto"/>
              </w:rPr>
            </w:pPr>
          </w:p>
        </w:tc>
      </w:tr>
      <w:tr>
        <w:trPr>
          <w:trHeight w:val="149"/>
        </w:trPr>
        <w:tc>
          <w:tcPr>
            <w:tcW w:w="4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Vesting of nonvested restricted stock units</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Arial" w:cs="Arial" w:eastAsia="Arial" w:hAnsi="Arial"/>
                <w:sz w:val="14"/>
                <w:szCs w:val="14"/>
                <w:color w:val="auto"/>
              </w:rPr>
              <w:t>Issuance of nonvested shares under incentive plan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57,133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c>
          <w:tcPr>
            <w:tcW w:w="20" w:type="dxa"/>
            <w:vAlign w:val="bottom"/>
          </w:tcPr>
          <w:p>
            <w:pPr>
              <w:spacing w:after="0"/>
              <w:rPr>
                <w:sz w:val="12"/>
                <w:szCs w:val="12"/>
                <w:color w:val="auto"/>
              </w:rPr>
            </w:pPr>
          </w:p>
        </w:tc>
      </w:tr>
      <w:tr>
        <w:trPr>
          <w:trHeight w:val="148"/>
        </w:trPr>
        <w:tc>
          <w:tcPr>
            <w:tcW w:w="4360" w:type="dxa"/>
            <w:vAlign w:val="bottom"/>
          </w:tcPr>
          <w:p>
            <w:pPr>
              <w:ind w:left="20"/>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(36,237)</w:t>
            </w:r>
          </w:p>
        </w:tc>
        <w:tc>
          <w:tcPr>
            <w:tcW w:w="1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(712)</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 common stock</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82,312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(1,640)</w:t>
            </w:r>
          </w:p>
        </w:tc>
        <w:tc>
          <w:tcPr>
            <w:tcW w:w="20" w:type="dxa"/>
            <w:vAlign w:val="bottom"/>
          </w:tcPr>
          <w:p>
            <w:pPr>
              <w:spacing w:after="0"/>
              <w:rPr>
                <w:sz w:val="12"/>
                <w:szCs w:val="12"/>
                <w:color w:val="auto"/>
              </w:rPr>
            </w:pPr>
          </w:p>
        </w:tc>
      </w:tr>
      <w:tr>
        <w:trPr>
          <w:trHeight w:val="149"/>
        </w:trPr>
        <w:tc>
          <w:tcPr>
            <w:tcW w:w="4360" w:type="dxa"/>
            <w:vAlign w:val="bottom"/>
          </w:tcPr>
          <w:p>
            <w:pPr>
              <w:ind w:left="20"/>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(958)</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(958)</w:t>
            </w:r>
          </w:p>
        </w:tc>
        <w:tc>
          <w:tcPr>
            <w:tcW w:w="20" w:type="dxa"/>
            <w:vAlign w:val="bottom"/>
          </w:tcPr>
          <w:p>
            <w:pPr>
              <w:spacing w:after="0"/>
              <w:rPr>
                <w:sz w:val="12"/>
                <w:szCs w:val="12"/>
                <w:color w:val="auto"/>
              </w:rPr>
            </w:pPr>
          </w:p>
        </w:tc>
      </w:tr>
      <w:tr>
        <w:trPr>
          <w:trHeight w:val="148"/>
        </w:trPr>
        <w:tc>
          <w:tcPr>
            <w:tcW w:w="4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w:t>
            </w:r>
          </w:p>
        </w:tc>
        <w:tc>
          <w:tcPr>
            <w:tcW w:w="20" w:type="dxa"/>
            <w:vAlign w:val="bottom"/>
          </w:tcPr>
          <w:p>
            <w:pPr>
              <w:spacing w:after="0"/>
              <w:rPr>
                <w:sz w:val="12"/>
                <w:szCs w:val="12"/>
                <w:color w:val="auto"/>
              </w:rPr>
            </w:pPr>
          </w:p>
        </w:tc>
      </w:tr>
      <w:tr>
        <w:trPr>
          <w:trHeight w:val="149"/>
        </w:trPr>
        <w:tc>
          <w:tcPr>
            <w:tcW w:w="4360" w:type="dxa"/>
            <w:vAlign w:val="bottom"/>
          </w:tcPr>
          <w:p>
            <w:pPr>
              <w:ind w:left="20"/>
              <w:spacing w:after="0" w:line="142" w:lineRule="exact"/>
              <w:rPr>
                <w:sz w:val="20"/>
                <w:szCs w:val="20"/>
                <w:color w:val="auto"/>
              </w:rPr>
            </w:pPr>
            <w:r>
              <w:rPr>
                <w:rFonts w:ascii="Arial" w:cs="Arial" w:eastAsia="Arial" w:hAnsi="Arial"/>
                <w:sz w:val="14"/>
                <w:szCs w:val="14"/>
                <w:color w:val="auto"/>
              </w:rPr>
              <w:t>Balances—May 4, 2019</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15,848,609</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$ 91,788</w:t>
            </w: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$ 180,864</w:t>
            </w: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3,751,788</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(82,260)</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190,549</w:t>
            </w:r>
          </w:p>
        </w:tc>
        <w:tc>
          <w:tcPr>
            <w:tcW w:w="20" w:type="dxa"/>
            <w:vAlign w:val="bottom"/>
          </w:tcPr>
          <w:p>
            <w:pPr>
              <w:spacing w:after="0"/>
              <w:rPr>
                <w:sz w:val="12"/>
                <w:szCs w:val="12"/>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60"/>
          </w:cols>
          <w:pgMar w:left="1360" w:top="125" w:right="1379" w:bottom="1440" w:gutter="0" w:footer="0" w:header="0"/>
        </w:sectPr>
      </w:pPr>
    </w:p>
    <w:bookmarkStart w:id="6" w:name="page7"/>
    <w:bookmarkEnd w:id="6"/>
    <w:p>
      <w:pPr>
        <w:ind w:left="6"/>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Notes to the Condensed Consolidated Financial Statements (unaudited)</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May 2, 2020</w:t>
      </w:r>
    </w:p>
    <w:p>
      <w:pPr>
        <w:spacing w:after="0" w:line="211" w:lineRule="exact"/>
        <w:rPr>
          <w:sz w:val="20"/>
          <w:szCs w:val="20"/>
          <w:color w:val="auto"/>
        </w:rPr>
      </w:pPr>
    </w:p>
    <w:p>
      <w:pPr>
        <w:ind w:left="186" w:hanging="186"/>
        <w:spacing w:after="0"/>
        <w:tabs>
          <w:tab w:leader="none" w:pos="18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Basis of Presentation</w:t>
      </w:r>
    </w:p>
    <w:p>
      <w:pPr>
        <w:spacing w:after="0" w:line="23" w:lineRule="exact"/>
        <w:rPr>
          <w:sz w:val="20"/>
          <w:szCs w:val="20"/>
          <w:color w:val="auto"/>
        </w:rPr>
      </w:pPr>
    </w:p>
    <w:p>
      <w:pPr>
        <w:jc w:val="both"/>
        <w:ind w:left="6" w:right="80"/>
        <w:spacing w:after="0" w:line="255" w:lineRule="auto"/>
        <w:rPr>
          <w:sz w:val="20"/>
          <w:szCs w:val="20"/>
          <w:color w:val="auto"/>
        </w:rPr>
      </w:pPr>
      <w:r>
        <w:rPr>
          <w:rFonts w:ascii="Arial" w:cs="Arial" w:eastAsia="Arial" w:hAnsi="Arial"/>
          <w:sz w:val="18"/>
          <w:szCs w:val="18"/>
          <w:color w:val="auto"/>
        </w:rPr>
        <w:t>Citi Trends, Inc. (collectively referred to herein with its wholly owned subsidiary as the “Company”) is a value-priced retailer of fashion apparel, accessories and home goods for the entire family. As of May 2, 2020, the Company operated 574 stores in 33 states, including temporarily closed stores.</w:t>
      </w:r>
    </w:p>
    <w:p>
      <w:pPr>
        <w:spacing w:after="0" w:line="190" w:lineRule="exact"/>
        <w:rPr>
          <w:sz w:val="20"/>
          <w:szCs w:val="20"/>
          <w:color w:val="auto"/>
        </w:rPr>
      </w:pPr>
    </w:p>
    <w:p>
      <w:pPr>
        <w:ind w:left="6" w:right="40"/>
        <w:spacing w:after="0" w:line="289"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February 1, 2020 is derived from the audited financial statements in the Company’s Annual Report on Form 10-K for the fiscal year ended February 1, 2020 (the “2019 Form 10-K”). These condensed consolidated financial statements should be read in conjunction with the audited consolidated financial statements and notes thereto included in the 2019 Form 10-K. Operating results for the thirteen weeks ended May 2, 2020 are not necessarily indicative of the results that may be expected for the fiscal year, as a result of the seasonality of the business and the current uncertainty surrounding the economic impact of the novel coronavirus (“COVID-19”) pandemic.</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Fiscal Year</w:t>
      </w:r>
    </w:p>
    <w:p>
      <w:pPr>
        <w:spacing w:after="0" w:line="23" w:lineRule="exact"/>
        <w:rPr>
          <w:sz w:val="20"/>
          <w:szCs w:val="20"/>
          <w:color w:val="auto"/>
        </w:rPr>
      </w:pPr>
    </w:p>
    <w:p>
      <w:pPr>
        <w:ind w:left="6" w:right="140"/>
        <w:spacing w:after="0" w:line="290" w:lineRule="auto"/>
        <w:rPr>
          <w:sz w:val="20"/>
          <w:szCs w:val="20"/>
          <w:color w:val="auto"/>
        </w:rPr>
      </w:pPr>
      <w:r>
        <w:rPr>
          <w:rFonts w:ascii="Arial" w:cs="Arial" w:eastAsia="Arial" w:hAnsi="Arial"/>
          <w:sz w:val="17"/>
          <w:szCs w:val="17"/>
          <w:color w:val="auto"/>
        </w:rPr>
        <w:t>The following contains references to fiscal years 2020 and 2019, which represent fiscal years ending or ended on January 30, 2021 and February 1, 2020, respectively. Fiscal 2020 and 2019 both have 52-week accounting periods.</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3" w:lineRule="exact"/>
        <w:rPr>
          <w:sz w:val="20"/>
          <w:szCs w:val="20"/>
          <w:color w:val="auto"/>
        </w:rPr>
      </w:pPr>
    </w:p>
    <w:p>
      <w:pPr>
        <w:ind w:left="6" w:right="320"/>
        <w:spacing w:after="0" w:line="252" w:lineRule="auto"/>
        <w:rPr>
          <w:sz w:val="20"/>
          <w:szCs w:val="20"/>
          <w:color w:val="auto"/>
        </w:rPr>
      </w:pPr>
      <w:r>
        <w:rPr>
          <w:rFonts w:ascii="Arial" w:cs="Arial" w:eastAsia="Arial" w:hAnsi="Arial"/>
          <w:sz w:val="18"/>
          <w:szCs w:val="18"/>
          <w:color w:val="auto"/>
        </w:rPr>
        <w:t>In June 2016, the FASB issued ASU 2016-13, Financial Instruments – Credit Losses (Topic 326), which introduced an expected credit loss model for the impairment of financial assets measured at amortized costs. The model replaces the incurred loss model for those assets and broadens the information an entity must consider in developing its expected credit loss estimate for assets measured at amortized cost. The Company adopted ASU No. 2016-13 on February 2, 2020. The adoption of the new standard did not have a material impact to the Company’s consolidated financial position, results of operations or cash flows.</w:t>
      </w:r>
    </w:p>
    <w:p>
      <w:pPr>
        <w:spacing w:after="0" w:line="194" w:lineRule="exact"/>
        <w:rPr>
          <w:sz w:val="20"/>
          <w:szCs w:val="20"/>
          <w:color w:val="auto"/>
        </w:rPr>
      </w:pPr>
    </w:p>
    <w:p>
      <w:pPr>
        <w:ind w:left="186" w:hanging="186"/>
        <w:spacing w:after="0"/>
        <w:tabs>
          <w:tab w:leader="none" w:pos="18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Impact of the COVID-19 Pandemic</w:t>
      </w:r>
    </w:p>
    <w:p>
      <w:pPr>
        <w:spacing w:after="0" w:line="225" w:lineRule="exact"/>
        <w:rPr>
          <w:sz w:val="20"/>
          <w:szCs w:val="20"/>
          <w:color w:val="auto"/>
        </w:rPr>
      </w:pPr>
    </w:p>
    <w:p>
      <w:pPr>
        <w:ind w:left="6" w:right="160"/>
        <w:spacing w:after="0" w:line="287" w:lineRule="auto"/>
        <w:rPr>
          <w:sz w:val="20"/>
          <w:szCs w:val="20"/>
          <w:color w:val="auto"/>
        </w:rPr>
      </w:pPr>
      <w:r>
        <w:rPr>
          <w:rFonts w:ascii="Arial" w:cs="Arial" w:eastAsia="Arial" w:hAnsi="Arial"/>
          <w:sz w:val="16"/>
          <w:szCs w:val="16"/>
          <w:color w:val="auto"/>
        </w:rPr>
        <w:t>In December 2019, COVID-19 emerged and spread worldwide. On March 11, 2020, the World Health Organization declared COVID-19 a pandemic. After closely monitoring and taking into consideration the guidance from federal, state and local governments, the Company temporarily closed all of its retail store locations and distribution centers effective March 20,</w:t>
      </w:r>
    </w:p>
    <w:p>
      <w:pPr>
        <w:spacing w:after="0" w:line="2" w:lineRule="exact"/>
        <w:rPr>
          <w:sz w:val="20"/>
          <w:szCs w:val="20"/>
          <w:color w:val="auto"/>
        </w:rPr>
      </w:pPr>
    </w:p>
    <w:p>
      <w:pPr>
        <w:ind w:left="6"/>
        <w:spacing w:after="0" w:line="267" w:lineRule="auto"/>
        <w:rPr>
          <w:sz w:val="20"/>
          <w:szCs w:val="20"/>
          <w:color w:val="auto"/>
        </w:rPr>
      </w:pPr>
      <w:r>
        <w:rPr>
          <w:rFonts w:ascii="Arial" w:cs="Arial" w:eastAsia="Arial" w:hAnsi="Arial"/>
          <w:sz w:val="17"/>
          <w:szCs w:val="17"/>
          <w:color w:val="auto"/>
        </w:rPr>
        <w:t>2020. The temporary closure of the Company’s stores has had an adverse impact on the Company’s financial condition, results of operations and liquidity. The Company has taken several steps to increase its cash position and preserve financial flexibility in light of uncertainties resulting from the COVID-19 pandemic. On March 20, 2020, the Company borrowed $43.7 million in principal amount under its revolving credit facility. Other measures taken to mitigate the operating and financial impact of the pandemic, included (i) furloughing substantially all store and distribution center personnel, and a significant portion of the corporate staff starting as of April 3, 2020, with employee benefits for eligible employees continuing through the temporary furlough; (ii) implementing temporary tiered salary reductions for management level corporate employees and reducing the cash portion of non-employee director fees; (iii) extending payment terms with vendors and suppliers; (iv) abating payments of rent as appropriate; (v) executing substantial reductions in operating expenses, store occupancy costs, capital expenditures and other costs, including through reduced inventory purchases and eliminating the 401(k) plan match; (vi) suspending any repurchases of shares and payment of dividends; and (vii) amending the revolving credit facility to extend the term to August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121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46"/>
          </w:cols>
          <w:pgMar w:left="1374" w:top="125" w:right="1379" w:bottom="1440" w:gutter="0" w:footer="0" w:header="0"/>
        </w:sectPr>
      </w:pPr>
    </w:p>
    <w:bookmarkStart w:id="7" w:name="page8"/>
    <w:bookmarkEnd w:id="7"/>
    <w:p>
      <w:pPr>
        <w:ind w:left="6"/>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6" w:right="60"/>
        <w:spacing w:after="0" w:line="263" w:lineRule="auto"/>
        <w:rPr>
          <w:sz w:val="20"/>
          <w:szCs w:val="20"/>
          <w:color w:val="auto"/>
        </w:rPr>
      </w:pPr>
      <w:r>
        <w:rPr>
          <w:rFonts w:ascii="Arial" w:cs="Arial" w:eastAsia="Arial" w:hAnsi="Arial"/>
          <w:sz w:val="18"/>
          <w:szCs w:val="18"/>
          <w:color w:val="auto"/>
        </w:rPr>
        <w:t>Beginning April 24, 2020, the Company started to reopen stores in select states in accordance with state and local government guidelines. As of May 2, 2020, the Company had reopened 16 stores. As of June 9, 2020, the Company had reopened more than 530 stores, while also opening 4 new stores.</w:t>
      </w:r>
    </w:p>
    <w:p>
      <w:pPr>
        <w:spacing w:after="0" w:line="184" w:lineRule="exact"/>
        <w:rPr>
          <w:sz w:val="20"/>
          <w:szCs w:val="20"/>
          <w:color w:val="auto"/>
        </w:rPr>
      </w:pPr>
    </w:p>
    <w:p>
      <w:pPr>
        <w:ind w:left="186" w:hanging="186"/>
        <w:spacing w:after="0"/>
        <w:tabs>
          <w:tab w:leader="none" w:pos="18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Equivalents/Concentration of Credit Risk</w:t>
      </w:r>
    </w:p>
    <w:p>
      <w:pPr>
        <w:spacing w:after="0" w:line="225" w:lineRule="exact"/>
        <w:rPr>
          <w:sz w:val="20"/>
          <w:szCs w:val="20"/>
          <w:color w:val="auto"/>
        </w:rPr>
      </w:pPr>
    </w:p>
    <w:p>
      <w:pPr>
        <w:ind w:left="6" w:right="80"/>
        <w:spacing w:after="0" w:line="296"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61" w:lineRule="exact"/>
        <w:rPr>
          <w:sz w:val="20"/>
          <w:szCs w:val="20"/>
          <w:color w:val="auto"/>
        </w:rPr>
      </w:pPr>
    </w:p>
    <w:p>
      <w:pPr>
        <w:ind w:left="186" w:hanging="186"/>
        <w:spacing w:after="0"/>
        <w:tabs>
          <w:tab w:leader="none" w:pos="18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left="6" w:right="40"/>
        <w:spacing w:after="0" w:line="275" w:lineRule="auto"/>
        <w:rPr>
          <w:sz w:val="20"/>
          <w:szCs w:val="20"/>
          <w:color w:val="auto"/>
        </w:rPr>
      </w:pPr>
      <w:r>
        <w:rPr>
          <w:rFonts w:ascii="Arial" w:cs="Arial" w:eastAsia="Arial" w:hAnsi="Arial"/>
          <w:sz w:val="17"/>
          <w:szCs w:val="17"/>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76" w:lineRule="exact"/>
        <w:rPr>
          <w:sz w:val="20"/>
          <w:szCs w:val="20"/>
          <w:color w:val="auto"/>
        </w:rPr>
      </w:pPr>
    </w:p>
    <w:p>
      <w:pPr>
        <w:ind w:left="6" w:right="100"/>
        <w:spacing w:after="0" w:line="301"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thirteen weeks ended May 2, 2020 and May 4, 2019, there were 179,000 and 108,000 shares of nonvested restricted stock, respectively, excluded from the calculation of diluted earnings per share because of antidilution.</w:t>
      </w:r>
    </w:p>
    <w:p>
      <w:pPr>
        <w:spacing w:after="0" w:line="157" w:lineRule="exact"/>
        <w:rPr>
          <w:sz w:val="20"/>
          <w:szCs w:val="20"/>
          <w:color w:val="auto"/>
        </w:rPr>
      </w:pPr>
    </w:p>
    <w:p>
      <w:pPr>
        <w:ind w:left="6" w:right="40"/>
        <w:spacing w:after="0" w:line="263" w:lineRule="auto"/>
        <w:rPr>
          <w:sz w:val="20"/>
          <w:szCs w:val="20"/>
          <w:color w:val="auto"/>
        </w:rPr>
      </w:pPr>
      <w:r>
        <w:rPr>
          <w:rFonts w:ascii="Arial" w:cs="Arial" w:eastAsia="Arial" w:hAnsi="Arial"/>
          <w:sz w:val="18"/>
          <w:szCs w:val="18"/>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24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Thirteen Weeks Ended</w:t>
            </w:r>
          </w:p>
        </w:tc>
      </w:tr>
      <w:tr>
        <w:trPr>
          <w:trHeight w:val="155"/>
        </w:trPr>
        <w:tc>
          <w:tcPr>
            <w:tcW w:w="6720" w:type="dxa"/>
            <w:vAlign w:val="bottom"/>
          </w:tcPr>
          <w:p>
            <w:pPr>
              <w:spacing w:after="0"/>
              <w:rPr>
                <w:sz w:val="13"/>
                <w:szCs w:val="13"/>
                <w:color w:val="auto"/>
              </w:rPr>
            </w:pP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May 2, 2020</w:t>
            </w:r>
          </w:p>
        </w:tc>
        <w:tc>
          <w:tcPr>
            <w:tcW w:w="110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rPr>
              <w:t>May 4, 2019</w:t>
            </w:r>
          </w:p>
        </w:tc>
      </w:tr>
      <w:tr>
        <w:trPr>
          <w:trHeight w:val="203"/>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10,442,636</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11,976,142</w:t>
            </w: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30,164</w:t>
            </w:r>
          </w:p>
        </w:tc>
      </w:tr>
      <w:tr>
        <w:trPr>
          <w:trHeight w:val="203"/>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and common stock equivalents outstanding</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10,442,636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12,006,306</w:t>
            </w:r>
          </w:p>
        </w:tc>
      </w:tr>
    </w:tbl>
    <w:p>
      <w:pPr>
        <w:spacing w:after="0" w:line="215" w:lineRule="exact"/>
        <w:rPr>
          <w:sz w:val="20"/>
          <w:szCs w:val="20"/>
          <w:color w:val="auto"/>
        </w:rPr>
      </w:pPr>
    </w:p>
    <w:p>
      <w:pPr>
        <w:ind w:left="186" w:hanging="186"/>
        <w:spacing w:after="0"/>
        <w:tabs>
          <w:tab w:leader="none" w:pos="18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Fair Value Measurement</w:t>
      </w:r>
    </w:p>
    <w:p>
      <w:pPr>
        <w:spacing w:after="0" w:line="225" w:lineRule="exact"/>
        <w:rPr>
          <w:sz w:val="20"/>
          <w:szCs w:val="20"/>
          <w:color w:val="auto"/>
        </w:rPr>
      </w:pPr>
    </w:p>
    <w:p>
      <w:pPr>
        <w:ind w:left="6" w:right="60"/>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87" w:lineRule="exact"/>
        <w:rPr>
          <w:sz w:val="20"/>
          <w:szCs w:val="20"/>
          <w:color w:val="auto"/>
        </w:rPr>
      </w:pPr>
    </w:p>
    <w:p>
      <w:pPr>
        <w:ind w:left="646" w:right="66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46"/>
        <w:spacing w:after="0"/>
        <w:rPr>
          <w:sz w:val="20"/>
          <w:szCs w:val="20"/>
          <w:color w:val="auto"/>
        </w:rPr>
      </w:pPr>
      <w:r>
        <w:rPr>
          <w:rFonts w:ascii="Arial" w:cs="Arial" w:eastAsia="Arial" w:hAnsi="Arial"/>
          <w:sz w:val="16"/>
          <w:szCs w:val="16"/>
          <w:color w:val="auto"/>
        </w:rPr>
        <w:t>Level 2: Observable prices that are based on inputs not quoted on active markets, but corroborated by market data.</w:t>
      </w:r>
    </w:p>
    <w:p>
      <w:pPr>
        <w:spacing w:after="0" w:line="248" w:lineRule="exact"/>
        <w:rPr>
          <w:sz w:val="20"/>
          <w:szCs w:val="20"/>
          <w:color w:val="auto"/>
        </w:rPr>
      </w:pPr>
    </w:p>
    <w:p>
      <w:pPr>
        <w:ind w:left="646" w:right="100" w:firstLine="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Level 3 inputs are given the lowest priority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121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46"/>
          </w:cols>
          <w:pgMar w:left="1374" w:top="125" w:right="1379" w:bottom="1440" w:gutter="0" w:footer="0" w:header="0"/>
        </w:sectPr>
      </w:pPr>
    </w:p>
    <w:bookmarkStart w:id="8" w:name="page9"/>
    <w:bookmarkEnd w:id="8"/>
    <w:p>
      <w:pPr>
        <w:ind w:left="20"/>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20" w:right="160"/>
        <w:spacing w:after="0" w:line="255" w:lineRule="auto"/>
        <w:rPr>
          <w:sz w:val="20"/>
          <w:szCs w:val="20"/>
          <w:color w:val="auto"/>
        </w:rPr>
      </w:pPr>
      <w:r>
        <w:rPr>
          <w:rFonts w:ascii="Arial" w:cs="Arial" w:eastAsia="Arial" w:hAnsi="Arial"/>
          <w:sz w:val="18"/>
          <w:szCs w:val="18"/>
          <w:color w:val="auto"/>
        </w:rPr>
        <w:t>As of May 2, 2020, the Company’s investment securities are classified as held-to-maturity since the Company has the intent and ability to hold the investments to maturity. Such securities are carried at amortized cost plus accrued interest and consist of the following (in thousands):</w:t>
      </w:r>
    </w:p>
    <w:tbl>
      <w:tblPr>
        <w:tblLayout w:type="fixed"/>
        <w:tblInd w:w="0" w:type="dxa"/>
        <w:tblCellMar>
          <w:top w:w="0" w:type="dxa"/>
          <w:left w:w="0" w:type="dxa"/>
          <w:bottom w:w="0" w:type="dxa"/>
          <w:right w:w="0" w:type="dxa"/>
        </w:tblCellMar>
      </w:tblPr>
      <w:tr>
        <w:trPr>
          <w:trHeight w:val="142"/>
        </w:trPr>
        <w:tc>
          <w:tcPr>
            <w:tcW w:w="5520" w:type="dxa"/>
            <w:vAlign w:val="bottom"/>
          </w:tcPr>
          <w:p>
            <w:pPr>
              <w:spacing w:after="0"/>
              <w:rPr>
                <w:sz w:val="12"/>
                <w:szCs w:val="12"/>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2"/>
                <w:szCs w:val="12"/>
                <w:color w:val="auto"/>
              </w:rPr>
            </w:pPr>
          </w:p>
        </w:tc>
        <w:tc>
          <w:tcPr>
            <w:tcW w:w="7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Gross</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w:t>
            </w: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Obligations of the U.S. Treasury and U.S. government agencies (Level 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720"/>
        <w:spacing w:after="0" w:line="258" w:lineRule="auto"/>
        <w:rPr>
          <w:sz w:val="20"/>
          <w:szCs w:val="20"/>
          <w:color w:val="auto"/>
        </w:rPr>
      </w:pPr>
      <w:r>
        <w:rPr>
          <w:rFonts w:ascii="Arial" w:cs="Arial" w:eastAsia="Arial" w:hAnsi="Arial"/>
          <w:sz w:val="18"/>
          <w:szCs w:val="18"/>
          <w:color w:val="auto"/>
        </w:rPr>
        <w:t>As of February 1, 2020, the Company’s investment securities were classified as held-to-maturity and consisted of the following (in thousands):</w:t>
      </w:r>
    </w:p>
    <w:tbl>
      <w:tblPr>
        <w:tblLayout w:type="fixed"/>
        <w:tblInd w:w="20" w:type="dxa"/>
        <w:tblCellMar>
          <w:top w:w="0" w:type="dxa"/>
          <w:left w:w="0" w:type="dxa"/>
          <w:bottom w:w="0" w:type="dxa"/>
          <w:right w:w="0" w:type="dxa"/>
        </w:tblCellMar>
      </w:tblPr>
      <w:tr>
        <w:trPr>
          <w:trHeight w:val="141"/>
        </w:trPr>
        <w:tc>
          <w:tcPr>
            <w:tcW w:w="5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21"/>
              <w:spacing w:after="0" w:line="141"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1"/>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6"/>
                <w:szCs w:val="16"/>
                <w:color w:val="auto"/>
                <w:w w:val="96"/>
              </w:rPr>
              <w:t>Obligations of the U.S. Treasury and U.S. government agencies (Level 1)</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17,277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Bank certificates of deposit (Level 2)</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27,562</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27,568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Long-term:</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6"/>
                <w:szCs w:val="16"/>
                <w:color w:val="auto"/>
              </w:rPr>
              <w:t>Obligations of the U.S. Treasury (Level 1)</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Bank certificates of deposit (Level 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15,675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46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February 1, 2020 by contractual maturity were as follows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03"/>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Mature in one year or less</w:t>
            </w:r>
          </w:p>
        </w:tc>
        <w:tc>
          <w:tcPr>
            <w:tcW w:w="1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27,562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Mature after one year through five years</w:t>
            </w:r>
          </w:p>
        </w:tc>
        <w:tc>
          <w:tcPr>
            <w:tcW w:w="14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43,237</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43,242</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220"/>
        <w:spacing w:after="0" w:line="259" w:lineRule="auto"/>
        <w:rPr>
          <w:sz w:val="20"/>
          <w:szCs w:val="20"/>
          <w:color w:val="auto"/>
        </w:rPr>
      </w:pPr>
      <w:r>
        <w:rPr>
          <w:rFonts w:ascii="Arial" w:cs="Arial" w:eastAsia="Arial" w:hAnsi="Arial"/>
          <w:sz w:val="18"/>
          <w:szCs w:val="18"/>
          <w:color w:val="auto"/>
        </w:rPr>
        <w:t>During the thirteen weeks ended May 2, 2020, in response to the COVID-19 pandemic and in order to enhance its liquidity position, the Company sold substantially all of its investment securities which were classified as held-to-maturity as of February 1, 2020. Net gains from the sales of investment securities were $38,300 and $12,500 for short-term and long-term investment securities, respectively.</w:t>
      </w:r>
    </w:p>
    <w:p>
      <w:pPr>
        <w:spacing w:after="0" w:line="187" w:lineRule="exact"/>
        <w:rPr>
          <w:sz w:val="20"/>
          <w:szCs w:val="20"/>
          <w:color w:val="auto"/>
        </w:rPr>
      </w:pPr>
    </w:p>
    <w:p>
      <w:pPr>
        <w:ind w:left="240" w:hanging="226"/>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Impairment of Assets</w:t>
      </w:r>
    </w:p>
    <w:p>
      <w:pPr>
        <w:spacing w:after="0" w:line="225" w:lineRule="exact"/>
        <w:rPr>
          <w:sz w:val="20"/>
          <w:szCs w:val="20"/>
          <w:color w:val="auto"/>
        </w:rPr>
      </w:pPr>
    </w:p>
    <w:p>
      <w:pPr>
        <w:ind w:left="20" w:right="220"/>
        <w:spacing w:after="0" w:line="254" w:lineRule="auto"/>
        <w:rPr>
          <w:sz w:val="20"/>
          <w:szCs w:val="20"/>
          <w:color w:val="auto"/>
        </w:rPr>
      </w:pPr>
      <w:r>
        <w:rPr>
          <w:rFonts w:ascii="Arial" w:cs="Arial" w:eastAsia="Arial" w:hAnsi="Arial"/>
          <w:sz w:val="18"/>
          <w:szCs w:val="18"/>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In the thirteen weeks ended May 2, 2020, non-cash impairment expense related to an underperforming store totaled $0.3 million, comprised of $0.2 million for an operating lease right-of-use asset and $0.1 million for leasehold improvements and fixtures and equipment. There was no impairment expense recorded in the thirteen weeks ended May 4, 2019.</w:t>
      </w:r>
    </w:p>
    <w:p>
      <w:pPr>
        <w:spacing w:after="0" w:line="195" w:lineRule="exact"/>
        <w:rPr>
          <w:sz w:val="20"/>
          <w:szCs w:val="20"/>
          <w:color w:val="auto"/>
        </w:rPr>
      </w:pPr>
    </w:p>
    <w:p>
      <w:pPr>
        <w:ind w:left="240" w:hanging="226"/>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ind w:left="20" w:right="200"/>
        <w:spacing w:after="0" w:line="301" w:lineRule="auto"/>
        <w:rPr>
          <w:sz w:val="20"/>
          <w:szCs w:val="20"/>
          <w:color w:val="auto"/>
        </w:rPr>
      </w:pPr>
      <w:r>
        <w:rPr>
          <w:rFonts w:ascii="Arial" w:cs="Arial" w:eastAsia="Arial" w:hAnsi="Arial"/>
          <w:sz w:val="16"/>
          <w:szCs w:val="16"/>
          <w:color w:val="auto"/>
        </w:rPr>
        <w:t>On October 27, 2011, the Company entered into a five-year, $50 million credit facility with Bank of America. The facility was amended on August 18, 2015, extending the maturity date to August 18, 2020. The facility was amended again on May 12, 2020, extending the maturity date to August 18, 2021. The amended facility provides a $50 million credit commitment and a $25 million uncommitted “accordion” feature that under certain circumstances could allow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60"/>
          </w:cols>
          <w:pgMar w:left="1360" w:top="125" w:right="1379" w:bottom="1440" w:gutter="0" w:footer="0" w:header="0"/>
        </w:sectPr>
      </w:pPr>
    </w:p>
    <w:bookmarkStart w:id="9" w:name="page10"/>
    <w:bookmarkEnd w:id="9"/>
    <w:p>
      <w:pPr>
        <w:ind w:left="6"/>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6" w:right="60"/>
        <w:spacing w:after="0" w:line="269" w:lineRule="auto"/>
        <w:rPr>
          <w:sz w:val="20"/>
          <w:szCs w:val="20"/>
          <w:color w:val="auto"/>
        </w:rPr>
      </w:pPr>
      <w:r>
        <w:rPr>
          <w:rFonts w:ascii="Arial" w:cs="Arial" w:eastAsia="Arial" w:hAnsi="Arial"/>
          <w:sz w:val="17"/>
          <w:szCs w:val="17"/>
          <w:color w:val="auto"/>
        </w:rPr>
        <w:t>to increase the size of the facility to $75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Borrowings under the Revolving Credit Facility will bear interest (a) for Eurodollar Loans, at a rate equal to LIBOR plus either 2.25% or 2.5%, or (b) for Base Rate Loans, at a rate equal to the highest of (i) the prime rate, (ii) the Federal Funds Rate plus 0.5% or (iii) LIBOR for a period of one month plus 1.0%, plus, in each case either 1.25% or 1.5%, based in any such case on the average daily availability for borrowings under the facility. On March 20, 2020, in response to the COVID-19 pandemic, the Company borrowed $43.7 million on the credit facility to enhance its liquidity position. Such borrowings accrued interest ranging from 1.625% to 3.5%.</w:t>
      </w:r>
    </w:p>
    <w:p>
      <w:pPr>
        <w:spacing w:after="0" w:line="182" w:lineRule="exact"/>
        <w:rPr>
          <w:sz w:val="20"/>
          <w:szCs w:val="20"/>
          <w:color w:val="auto"/>
        </w:rPr>
      </w:pPr>
    </w:p>
    <w:p>
      <w:pPr>
        <w:ind w:left="226" w:hanging="226"/>
        <w:spacing w:after="0"/>
        <w:tabs>
          <w:tab w:leader="none" w:pos="22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left="6" w:right="80"/>
        <w:spacing w:after="0" w:line="29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66" w:lineRule="exact"/>
        <w:rPr>
          <w:sz w:val="20"/>
          <w:szCs w:val="20"/>
          <w:color w:val="auto"/>
        </w:rPr>
      </w:pPr>
    </w:p>
    <w:p>
      <w:pPr>
        <w:ind w:left="6" w:right="40"/>
        <w:spacing w:after="0" w:line="286" w:lineRule="auto"/>
        <w:rPr>
          <w:sz w:val="20"/>
          <w:szCs w:val="20"/>
          <w:color w:val="auto"/>
        </w:rPr>
      </w:pPr>
      <w:r>
        <w:rPr>
          <w:rFonts w:ascii="Arial" w:cs="Arial" w:eastAsia="Arial" w:hAnsi="Arial"/>
          <w:sz w:val="17"/>
          <w:szCs w:val="17"/>
          <w:color w:val="auto"/>
        </w:rPr>
        <w:t>For the thirteen weeks ended May 2, 2020, the Company utilized the discrete effective tax rate method to determine its tax expense based upon interim period results. The Company concluded that the use of the discrete method was more appropriate than the annual effective tax rate method because the full-year tax rate is not reliably predictable.</w:t>
      </w:r>
    </w:p>
    <w:p>
      <w:pPr>
        <w:spacing w:after="0" w:line="165" w:lineRule="exact"/>
        <w:rPr>
          <w:sz w:val="20"/>
          <w:szCs w:val="20"/>
          <w:color w:val="auto"/>
        </w:rPr>
      </w:pPr>
    </w:p>
    <w:p>
      <w:pPr>
        <w:jc w:val="both"/>
        <w:ind w:left="6"/>
        <w:spacing w:after="0" w:line="263" w:lineRule="auto"/>
        <w:rPr>
          <w:sz w:val="20"/>
          <w:szCs w:val="20"/>
          <w:color w:val="auto"/>
        </w:rPr>
      </w:pPr>
      <w:r>
        <w:rPr>
          <w:rFonts w:ascii="Arial" w:cs="Arial" w:eastAsia="Arial" w:hAnsi="Arial"/>
          <w:sz w:val="18"/>
          <w:szCs w:val="18"/>
          <w:color w:val="auto"/>
        </w:rPr>
        <w:t>The effective income tax rate was 24.0% for the thirteen weeks ended May 2, 2020, compared to 14.2% for the thirteen weeks ended May 4, 2019. The difference in the effective income tax rate was due to a pretax loss for the thirteen weeks ended May 2, 2020 compared to pretax income in the prior year.</w:t>
      </w:r>
    </w:p>
    <w:p>
      <w:pPr>
        <w:spacing w:after="0" w:line="184" w:lineRule="exact"/>
        <w:rPr>
          <w:sz w:val="20"/>
          <w:szCs w:val="20"/>
          <w:color w:val="auto"/>
        </w:rPr>
      </w:pPr>
    </w:p>
    <w:p>
      <w:pPr>
        <w:ind w:left="6" w:right="80"/>
        <w:spacing w:after="0" w:line="273" w:lineRule="auto"/>
        <w:rPr>
          <w:sz w:val="20"/>
          <w:szCs w:val="20"/>
          <w:color w:val="auto"/>
        </w:rPr>
      </w:pPr>
      <w:r>
        <w:rPr>
          <w:rFonts w:ascii="Arial" w:cs="Arial" w:eastAsia="Arial" w:hAnsi="Arial"/>
          <w:sz w:val="17"/>
          <w:szCs w:val="17"/>
          <w:color w:val="212529"/>
        </w:rPr>
        <w:t>On March 27, 2020, the CARES Act was enacted into law. The CARES Act includes several significant business tax provisions that, among other things, would eliminate the taxable income limit for certain net operating losses (“NOLs”) and allow businesses to carry back NOLs arising in 2018, 2019 and 2020 to the five prior tax years, reduce the business interest limitation under section 163(j), and fix the qualified improvement property regulations in the 2017 Tax Cuts and Jobs Act. As a result of the CARES Act, to the extent that there are taxable losses at the end of fiscal 2020, the Company estimates that it will be able to obtain a tax refund from the carryback of federal NOLs.</w:t>
      </w:r>
    </w:p>
    <w:p>
      <w:pPr>
        <w:spacing w:after="0" w:line="326" w:lineRule="exact"/>
        <w:rPr>
          <w:sz w:val="20"/>
          <w:szCs w:val="20"/>
          <w:color w:val="auto"/>
        </w:rPr>
      </w:pPr>
    </w:p>
    <w:p>
      <w:pPr>
        <w:ind w:left="226" w:hanging="226"/>
        <w:spacing w:after="0"/>
        <w:tabs>
          <w:tab w:leader="none" w:pos="2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ind w:left="6" w:right="20"/>
        <w:spacing w:after="0" w:line="255" w:lineRule="auto"/>
        <w:rPr>
          <w:sz w:val="20"/>
          <w:szCs w:val="20"/>
          <w:color w:val="auto"/>
        </w:rPr>
      </w:pPr>
      <w:r>
        <w:rPr>
          <w:rFonts w:ascii="Arial" w:cs="Arial" w:eastAsia="Arial" w:hAnsi="Arial"/>
          <w:sz w:val="18"/>
          <w:szCs w:val="18"/>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92" w:lineRule="exact"/>
        <w:rPr>
          <w:sz w:val="20"/>
          <w:szCs w:val="20"/>
          <w:color w:val="auto"/>
        </w:rPr>
      </w:pPr>
    </w:p>
    <w:p>
      <w:pPr>
        <w:ind w:left="266" w:hanging="266"/>
        <w:spacing w:after="0"/>
        <w:tabs>
          <w:tab w:leader="none" w:pos="26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Stock Repurchase Program and Cash Dividends</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Repurchases of Common Stock</w:t>
      </w:r>
    </w:p>
    <w:p>
      <w:pPr>
        <w:spacing w:after="0" w:line="23" w:lineRule="exact"/>
        <w:rPr>
          <w:sz w:val="20"/>
          <w:szCs w:val="20"/>
          <w:color w:val="auto"/>
        </w:rPr>
      </w:pPr>
    </w:p>
    <w:p>
      <w:pPr>
        <w:ind w:left="6" w:right="100"/>
        <w:spacing w:after="0" w:line="255" w:lineRule="auto"/>
        <w:rPr>
          <w:sz w:val="20"/>
          <w:szCs w:val="20"/>
          <w:color w:val="auto"/>
        </w:rPr>
      </w:pPr>
      <w:r>
        <w:rPr>
          <w:rFonts w:ascii="Arial" w:cs="Arial" w:eastAsia="Arial" w:hAnsi="Arial"/>
          <w:sz w:val="18"/>
          <w:szCs w:val="18"/>
          <w:color w:val="auto"/>
        </w:rPr>
        <w:t>In November 2018, the Company’s board of directors approved a program that authorized the repurchase of up to $25.0 million in shares of the Company’s common stock. During the thirteen weeks ended May 4, 2019, the Company repurchased 82,312 shares of its common stock at an aggregate cost of $1.6 million.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1215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26"/>
          </w:cols>
          <w:pgMar w:left="1374" w:top="125" w:right="1399" w:bottom="1440" w:gutter="0" w:footer="0" w:header="0"/>
        </w:sectPr>
      </w:pPr>
    </w:p>
    <w:bookmarkStart w:id="10" w:name="page11"/>
    <w:bookmarkEnd w:id="10"/>
    <w:p>
      <w:pPr>
        <w:ind w:left="6"/>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 w:right="100"/>
        <w:spacing w:after="0" w:line="263" w:lineRule="auto"/>
        <w:rPr>
          <w:sz w:val="20"/>
          <w:szCs w:val="20"/>
          <w:color w:val="auto"/>
        </w:rPr>
      </w:pPr>
      <w:r>
        <w:rPr>
          <w:rFonts w:ascii="Arial" w:cs="Arial" w:eastAsia="Arial" w:hAnsi="Arial"/>
          <w:sz w:val="18"/>
          <w:szCs w:val="18"/>
          <w:color w:val="auto"/>
        </w:rPr>
        <w:t>In November 2019, the Company’s board of directors approved a new program that authorized the repurchase of up to $25.0 million in shares of the Company’s common stock. During the thirteen weeks ended May 2, 2020, the Company repurchased 260,254 shares of its common stock at an aggregate cost of $6.3 million.</w:t>
      </w:r>
    </w:p>
    <w:p>
      <w:pPr>
        <w:spacing w:after="0" w:line="184" w:lineRule="exact"/>
        <w:rPr>
          <w:sz w:val="20"/>
          <w:szCs w:val="20"/>
          <w:color w:val="auto"/>
        </w:rPr>
      </w:pPr>
    </w:p>
    <w:p>
      <w:pPr>
        <w:ind w:left="6" w:right="20"/>
        <w:spacing w:after="0" w:line="279" w:lineRule="auto"/>
        <w:rPr>
          <w:sz w:val="20"/>
          <w:szCs w:val="20"/>
          <w:color w:val="auto"/>
        </w:rPr>
      </w:pPr>
      <w:r>
        <w:rPr>
          <w:rFonts w:ascii="Arial" w:cs="Arial" w:eastAsia="Arial" w:hAnsi="Arial"/>
          <w:sz w:val="17"/>
          <w:szCs w:val="17"/>
          <w:color w:val="auto"/>
        </w:rPr>
        <w:t>On March 13, 2020, the Company’s board of directors approved another new program that authorized the repurchase of up to $30.0 million in shares of the Company’s common stock. Due to the current economic uncertainty stemming from the COVID-19 pandemic, the Company has temporarily suspended any repurchases as of March 23, 2020 and plans to continue to monitor the situation based on business conditions and regard for its financial liquidity needs.</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left="6"/>
        <w:spacing w:after="0" w:line="295" w:lineRule="auto"/>
        <w:rPr>
          <w:sz w:val="20"/>
          <w:szCs w:val="20"/>
          <w:color w:val="auto"/>
        </w:rPr>
      </w:pPr>
      <w:r>
        <w:rPr>
          <w:rFonts w:ascii="Arial" w:cs="Arial" w:eastAsia="Arial" w:hAnsi="Arial"/>
          <w:sz w:val="16"/>
          <w:szCs w:val="16"/>
          <w:color w:val="auto"/>
        </w:rPr>
        <w:t>On February 18, 2020, the Company’s board of directors declared a dividend of $0.08 per common share, which was paid on March 17, 2020 to stockholders of record as of March 3, 2020. On April 28, 2020, the Company announced the suspension of future cash dividends due to the current economic uncertainty stemming from the COVID-19 pandemic. Any determination to declare and pay cash dividends for future quarters will be made by the Company’s board of directors.</w:t>
      </w:r>
    </w:p>
    <w:p>
      <w:pPr>
        <w:spacing w:after="0" w:line="161" w:lineRule="exact"/>
        <w:rPr>
          <w:sz w:val="20"/>
          <w:szCs w:val="20"/>
          <w:color w:val="auto"/>
        </w:rPr>
      </w:pPr>
    </w:p>
    <w:p>
      <w:pPr>
        <w:ind w:left="306" w:hanging="306"/>
        <w:spacing w:after="0"/>
        <w:tabs>
          <w:tab w:leader="none" w:pos="30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left="6" w:right="20"/>
        <w:spacing w:after="0" w:line="270" w:lineRule="auto"/>
        <w:rPr>
          <w:sz w:val="20"/>
          <w:szCs w:val="20"/>
          <w:color w:val="auto"/>
        </w:rPr>
      </w:pPr>
      <w:r>
        <w:rPr>
          <w:rFonts w:ascii="Arial" w:cs="Arial" w:eastAsia="Arial" w:hAnsi="Arial"/>
          <w:sz w:val="17"/>
          <w:szCs w:val="17"/>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left="6" w:right="640"/>
        <w:spacing w:after="0" w:line="290" w:lineRule="auto"/>
        <w:rPr>
          <w:sz w:val="20"/>
          <w:szCs w:val="20"/>
          <w:color w:val="auto"/>
        </w:rPr>
      </w:pPr>
      <w:r>
        <w:rPr>
          <w:rFonts w:ascii="Arial" w:cs="Arial" w:eastAsia="Arial" w:hAnsi="Arial"/>
          <w:sz w:val="17"/>
          <w:szCs w:val="17"/>
          <w:color w:val="auto"/>
        </w:rPr>
        <w:t>The Company allows customers to return merchandise for up to thirty days after the date of sale. Expected refunds to customers are recorded based on estimated margin using historical return information.</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left="6" w:right="500"/>
        <w:spacing w:after="0" w:line="273" w:lineRule="auto"/>
        <w:rPr>
          <w:sz w:val="20"/>
          <w:szCs w:val="20"/>
          <w:color w:val="auto"/>
        </w:rPr>
      </w:pPr>
      <w:r>
        <w:rPr>
          <w:rFonts w:ascii="Arial" w:cs="Arial" w:eastAsia="Arial" w:hAnsi="Arial"/>
          <w:sz w:val="17"/>
          <w:szCs w:val="17"/>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76" w:lineRule="exact"/>
        <w:rPr>
          <w:sz w:val="20"/>
          <w:szCs w:val="20"/>
          <w:color w:val="auto"/>
        </w:rPr>
      </w:pPr>
    </w:p>
    <w:p>
      <w:pPr>
        <w:ind w:left="6" w:right="340"/>
        <w:spacing w:after="0" w:line="308" w:lineRule="auto"/>
        <w:rPr>
          <w:sz w:val="20"/>
          <w:szCs w:val="20"/>
          <w:color w:val="auto"/>
        </w:rPr>
      </w:pPr>
      <w:r>
        <w:rPr>
          <w:rFonts w:ascii="Arial" w:cs="Arial" w:eastAsia="Arial" w:hAnsi="Arial"/>
          <w:sz w:val="17"/>
          <w:szCs w:val="17"/>
          <w:color w:val="auto"/>
        </w:rPr>
        <w:t>In the following table, the Company’s revenue from contracts with customers is disaggregated by major product line. The percentage of net sales related to each classification of its merchandise assortment was approximately:</w:t>
      </w:r>
    </w:p>
    <w:p>
      <w:pPr>
        <w:spacing w:after="0" w:line="232" w:lineRule="exact"/>
        <w:rPr>
          <w:sz w:val="20"/>
          <w:szCs w:val="20"/>
          <w:color w:val="auto"/>
        </w:rPr>
      </w:pPr>
    </w:p>
    <w:tbl>
      <w:tblPr>
        <w:tblLayout w:type="fixed"/>
        <w:tblInd w:w="986"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06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May 2,</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May 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5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shd w:val="clear" w:color="auto" w:fill="CCEEFF"/>
          </w:tcPr>
          <w:p>
            <w:pPr>
              <w:spacing w:after="0"/>
              <w:rPr>
                <w:sz w:val="18"/>
                <w:szCs w:val="18"/>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Ladies'</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r>
      <w:tr>
        <w:trPr>
          <w:trHeight w:val="23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Children's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shd w:val="clear" w:color="auto" w:fill="CCEEFF"/>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Men's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r>
      <w:tr>
        <w:trPr>
          <w:trHeight w:val="23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left="306" w:hanging="306"/>
        <w:spacing w:after="0"/>
        <w:tabs>
          <w:tab w:leader="none" w:pos="30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left="6" w:right="20"/>
        <w:spacing w:after="0" w:line="311" w:lineRule="auto"/>
        <w:rPr>
          <w:sz w:val="20"/>
          <w:szCs w:val="20"/>
          <w:color w:val="auto"/>
        </w:rPr>
      </w:pPr>
      <w:r>
        <w:rPr>
          <w:rFonts w:ascii="Arial" w:cs="Arial" w:eastAsia="Arial" w:hAnsi="Arial"/>
          <w:sz w:val="16"/>
          <w:szCs w:val="16"/>
          <w:color w:val="auto"/>
        </w:rPr>
        <w:t>The Company leases its retail store locations and certain office space and equipment. Leases for store locations are typically for a term of five years with options to extend for one or more five-year periods. The Company analyzes all leases at inception to determine if a right-of-use asset and lease liability should be recognized. Leases with an initial term of 12</w:t>
      </w:r>
    </w:p>
    <w:p>
      <w:pPr>
        <w:spacing w:after="0" w:line="365"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1215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26"/>
          </w:cols>
          <w:pgMar w:left="1374" w:top="125" w:right="1399" w:bottom="1440" w:gutter="0" w:footer="0" w:header="0"/>
        </w:sectPr>
      </w:pPr>
    </w:p>
    <w:bookmarkStart w:id="11" w:name="page12"/>
    <w:bookmarkEnd w:id="11"/>
    <w:p>
      <w:pPr>
        <w:ind w:left="20"/>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60"/>
        <w:spacing w:after="0" w:line="342" w:lineRule="auto"/>
        <w:rPr>
          <w:sz w:val="20"/>
          <w:szCs w:val="20"/>
          <w:color w:val="auto"/>
        </w:rPr>
      </w:pPr>
      <w:r>
        <w:rPr>
          <w:rFonts w:ascii="Arial" w:cs="Arial" w:eastAsia="Arial" w:hAnsi="Arial"/>
          <w:sz w:val="16"/>
          <w:szCs w:val="16"/>
          <w:color w:val="auto"/>
        </w:rPr>
        <w:t>months or less and leases with mutual termination clauses are not included on the condensed consolidated balance sheets. The lease liability is measured at the present value of future lease payments as of the lease commencement date.</w:t>
      </w:r>
    </w:p>
    <w:p>
      <w:pPr>
        <w:spacing w:after="0" w:line="124" w:lineRule="exact"/>
        <w:rPr>
          <w:sz w:val="20"/>
          <w:szCs w:val="20"/>
          <w:color w:val="auto"/>
        </w:rPr>
      </w:pPr>
    </w:p>
    <w:p>
      <w:pPr>
        <w:ind w:left="20" w:right="20"/>
        <w:spacing w:after="0" w:line="263" w:lineRule="auto"/>
        <w:rPr>
          <w:sz w:val="20"/>
          <w:szCs w:val="20"/>
          <w:color w:val="auto"/>
        </w:rPr>
      </w:pPr>
      <w:r>
        <w:rPr>
          <w:rFonts w:ascii="Arial" w:cs="Arial" w:eastAsia="Arial" w:hAnsi="Arial"/>
          <w:sz w:val="18"/>
          <w:szCs w:val="18"/>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121"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Thirteen Weeks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 w:type="dxa"/>
            <w:vAlign w:val="bottom"/>
            <w:tcBorders>
              <w:bottom w:val="single" w:sz="8" w:color="CCEEFF"/>
            </w:tcBorders>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jc w:val="right"/>
              <w:ind w:right="307"/>
              <w:spacing w:after="0" w:line="142" w:lineRule="exact"/>
              <w:rPr>
                <w:sz w:val="20"/>
                <w:szCs w:val="20"/>
                <w:color w:val="auto"/>
              </w:rPr>
            </w:pPr>
            <w:r>
              <w:rPr>
                <w:rFonts w:ascii="Arial" w:cs="Arial" w:eastAsia="Arial" w:hAnsi="Arial"/>
                <w:sz w:val="14"/>
                <w:szCs w:val="14"/>
                <w:b w:val="1"/>
                <w:bCs w:val="1"/>
                <w:color w:val="auto"/>
              </w:rPr>
              <w:t>May 2, 2020</w:t>
            </w:r>
          </w:p>
        </w:tc>
        <w:tc>
          <w:tcPr>
            <w:tcW w:w="260" w:type="dxa"/>
            <w:vAlign w:val="bottom"/>
            <w:tcBorders>
              <w:top w:val="single" w:sz="8" w:color="auto"/>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May 4, 2019</w:t>
            </w:r>
          </w:p>
        </w:tc>
      </w:tr>
      <w:tr>
        <w:trPr>
          <w:trHeight w:val="20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11,777</w:t>
            </w: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1,793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2,316</w:t>
            </w: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 term lease cost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14,710</w:t>
            </w:r>
          </w:p>
        </w:tc>
        <w:tc>
          <w:tcPr>
            <w:tcW w:w="260" w:type="dxa"/>
            <w:vAlign w:val="bottom"/>
          </w:tcPr>
          <w:p>
            <w:pPr>
              <w:spacing w:after="0"/>
              <w:rPr>
                <w:sz w:val="18"/>
                <w:szCs w:val="18"/>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14,349</w:t>
            </w:r>
          </w:p>
        </w:tc>
      </w:tr>
      <w:tr>
        <w:trPr>
          <w:trHeight w:val="432"/>
        </w:trPr>
        <w:tc>
          <w:tcPr>
            <w:tcW w:w="5880" w:type="dxa"/>
            <w:vAlign w:val="bottom"/>
            <w:gridSpan w:val="2"/>
          </w:tcPr>
          <w:p>
            <w:pPr>
              <w:ind w:left="20"/>
              <w:spacing w:after="0"/>
              <w:rPr>
                <w:sz w:val="20"/>
                <w:szCs w:val="20"/>
                <w:color w:val="auto"/>
              </w:rPr>
            </w:pPr>
            <w:r>
              <w:rPr>
                <w:rFonts w:ascii="Arial" w:cs="Arial" w:eastAsia="Arial" w:hAnsi="Arial"/>
                <w:sz w:val="18"/>
                <w:szCs w:val="18"/>
                <w:color w:val="auto"/>
                <w:w w:val="90"/>
              </w:rPr>
              <w:t>Future minimum lease payments as of May 2, 2020 are as follows (in thousands):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59"/>
        </w:trPr>
        <w:tc>
          <w:tcPr>
            <w:tcW w:w="700" w:type="dxa"/>
            <w:vAlign w:val="bottom"/>
          </w:tcPr>
          <w:p>
            <w:pPr>
              <w:spacing w:after="0"/>
              <w:rPr>
                <w:sz w:val="24"/>
                <w:szCs w:val="24"/>
                <w:color w:val="auto"/>
              </w:rPr>
            </w:pPr>
          </w:p>
        </w:tc>
        <w:tc>
          <w:tcPr>
            <w:tcW w:w="518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Lease Costs</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60" w:type="dxa"/>
            <w:vAlign w:val="bottom"/>
          </w:tcPr>
          <w:p>
            <w:pPr>
              <w:spacing w:after="0"/>
              <w:rPr>
                <w:sz w:val="24"/>
                <w:szCs w:val="24"/>
                <w:color w:val="auto"/>
              </w:rPr>
            </w:pPr>
          </w:p>
        </w:tc>
      </w:tr>
      <w:tr>
        <w:trPr>
          <w:trHeight w:val="209"/>
        </w:trPr>
        <w:tc>
          <w:tcPr>
            <w:tcW w:w="7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70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45,090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0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34,296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0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0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00" w:type="dxa"/>
            <w:vAlign w:val="bottom"/>
          </w:tcPr>
          <w:p>
            <w:pPr>
              <w:spacing w:after="0"/>
              <w:rPr>
                <w:sz w:val="19"/>
                <w:szCs w:val="19"/>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30,698</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Pr>
          <w:p>
            <w:pPr>
              <w:spacing w:after="0"/>
              <w:rPr>
                <w:sz w:val="19"/>
                <w:szCs w:val="19"/>
                <w:color w:val="auto"/>
              </w:rPr>
            </w:pPr>
          </w:p>
        </w:tc>
      </w:tr>
      <w:tr>
        <w:trPr>
          <w:trHeight w:val="209"/>
        </w:trPr>
        <w:tc>
          <w:tcPr>
            <w:tcW w:w="7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4"/>
          </w:tcPr>
          <w:p>
            <w:pPr>
              <w:jc w:val="right"/>
              <w:ind w:right="68"/>
              <w:spacing w:after="0" w:line="216" w:lineRule="exact"/>
              <w:rPr>
                <w:sz w:val="20"/>
                <w:szCs w:val="20"/>
                <w:color w:val="auto"/>
              </w:rPr>
            </w:pPr>
            <w:r>
              <w:rPr>
                <w:rFonts w:ascii="Arial" w:cs="Arial" w:eastAsia="Arial" w:hAnsi="Arial"/>
                <w:sz w:val="16"/>
                <w:szCs w:val="16"/>
                <w:color w:val="auto"/>
              </w:rPr>
              <w:t>(15,600)</w:t>
            </w:r>
            <w:r>
              <w:rPr>
                <w:rFonts w:ascii="Arial" w:cs="Arial" w:eastAsia="Arial" w:hAnsi="Arial"/>
                <w:sz w:val="25"/>
                <w:szCs w:val="25"/>
                <w:color w:val="auto"/>
                <w:vertAlign w:val="subscript"/>
              </w:rPr>
              <w:t>(1)</w:t>
            </w:r>
          </w:p>
        </w:tc>
        <w:tc>
          <w:tcPr>
            <w:tcW w:w="660" w:type="dxa"/>
            <w:vAlign w:val="bottom"/>
          </w:tcPr>
          <w:p>
            <w:pPr>
              <w:spacing w:after="0"/>
              <w:rPr>
                <w:sz w:val="18"/>
                <w:szCs w:val="18"/>
                <w:color w:val="auto"/>
              </w:rPr>
            </w:pPr>
          </w:p>
        </w:tc>
      </w:tr>
      <w:tr>
        <w:trPr>
          <w:trHeight w:val="217"/>
        </w:trPr>
        <w:tc>
          <w:tcPr>
            <w:tcW w:w="700" w:type="dxa"/>
            <w:vAlign w:val="bottom"/>
          </w:tcPr>
          <w:p>
            <w:pPr>
              <w:spacing w:after="0"/>
              <w:rPr>
                <w:sz w:val="18"/>
                <w:szCs w:val="18"/>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lease liabilities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184,001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1"/>
              </w:rPr>
              <w:t>(2)</w:t>
            </w:r>
          </w:p>
        </w:tc>
        <w:tc>
          <w:tcPr>
            <w:tcW w:w="660" w:type="dxa"/>
            <w:vAlign w:val="bottom"/>
          </w:tcPr>
          <w:p>
            <w:pPr>
              <w:spacing w:after="0"/>
              <w:rPr>
                <w:sz w:val="18"/>
                <w:szCs w:val="18"/>
                <w:color w:val="auto"/>
              </w:rPr>
            </w:pPr>
          </w:p>
        </w:tc>
      </w:tr>
    </w:tbl>
    <w:p>
      <w:pPr>
        <w:spacing w:after="0" w:line="129" w:lineRule="exact"/>
        <w:rPr>
          <w:sz w:val="20"/>
          <w:szCs w:val="20"/>
          <w:color w:val="auto"/>
        </w:rPr>
      </w:pPr>
    </w:p>
    <w:p>
      <w:pPr>
        <w:ind w:left="800"/>
        <w:spacing w:after="0"/>
        <w:tabs>
          <w:tab w:leader="none" w:pos="1100" w:val="left"/>
        </w:tabs>
        <w:rPr>
          <w:sz w:val="20"/>
          <w:szCs w:val="20"/>
          <w:color w:val="auto"/>
        </w:rPr>
      </w:pPr>
      <w:r>
        <w:rPr>
          <w:rFonts w:ascii="Arial" w:cs="Arial" w:eastAsia="Arial" w:hAnsi="Arial"/>
          <w:sz w:val="14"/>
          <w:szCs w:val="14"/>
          <w:color w:val="auto"/>
        </w:rPr>
        <w:t>(1)</w:t>
        <w:tab/>
        <w:t>Calculated using the discount rate for each lease.</w:t>
      </w:r>
    </w:p>
    <w:p>
      <w:pPr>
        <w:ind w:left="800"/>
        <w:spacing w:after="0"/>
        <w:tabs>
          <w:tab w:leader="none" w:pos="1100" w:val="left"/>
        </w:tabs>
        <w:rPr>
          <w:sz w:val="20"/>
          <w:szCs w:val="20"/>
          <w:color w:val="auto"/>
        </w:rPr>
      </w:pPr>
      <w:r>
        <w:rPr>
          <w:rFonts w:ascii="Arial" w:cs="Arial" w:eastAsia="Arial" w:hAnsi="Arial"/>
          <w:sz w:val="14"/>
          <w:szCs w:val="14"/>
          <w:color w:val="auto"/>
        </w:rPr>
        <w:t>(2)</w:t>
        <w:tab/>
        <w:t>Includes short-term and long-term operating leases.</w:t>
      </w:r>
    </w:p>
    <w:p>
      <w:pPr>
        <w:spacing w:after="0" w:line="196" w:lineRule="exact"/>
        <w:rPr>
          <w:sz w:val="20"/>
          <w:szCs w:val="20"/>
          <w:color w:val="auto"/>
        </w:rPr>
      </w:pPr>
    </w:p>
    <w:p>
      <w:pPr>
        <w:ind w:left="20"/>
        <w:spacing w:after="0" w:line="263" w:lineRule="auto"/>
        <w:rPr>
          <w:sz w:val="20"/>
          <w:szCs w:val="20"/>
          <w:color w:val="auto"/>
        </w:rPr>
      </w:pPr>
      <w:r>
        <w:rPr>
          <w:rFonts w:ascii="Arial" w:cs="Arial" w:eastAsia="Arial" w:hAnsi="Arial"/>
          <w:sz w:val="18"/>
          <w:szCs w:val="18"/>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84" w:lineRule="exact"/>
        <w:rPr>
          <w:sz w:val="20"/>
          <w:szCs w:val="20"/>
          <w:color w:val="auto"/>
        </w:rPr>
      </w:pPr>
    </w:p>
    <w:p>
      <w:pPr>
        <w:ind w:left="20" w:right="220"/>
        <w:spacing w:after="0" w:line="277" w:lineRule="auto"/>
        <w:rPr>
          <w:sz w:val="20"/>
          <w:szCs w:val="20"/>
          <w:color w:val="auto"/>
        </w:rPr>
      </w:pPr>
      <w:r>
        <w:rPr>
          <w:rFonts w:ascii="Arial" w:cs="Arial" w:eastAsia="Arial" w:hAnsi="Arial"/>
          <w:sz w:val="18"/>
          <w:szCs w:val="18"/>
          <w:color w:val="auto"/>
        </w:rPr>
        <w:t>Supplemental cash flows and other information related to operating leases are as follows (in thousands, except for weighted average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5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May 2, 2020</w:t>
            </w:r>
          </w:p>
        </w:tc>
        <w:tc>
          <w:tcPr>
            <w:tcW w:w="240" w:type="dxa"/>
            <w:vAlign w:val="bottom"/>
          </w:tcPr>
          <w:p>
            <w:pPr>
              <w:spacing w:after="0"/>
              <w:rPr>
                <w:sz w:val="12"/>
                <w:szCs w:val="12"/>
                <w:color w:val="auto"/>
              </w:rPr>
            </w:pPr>
          </w:p>
        </w:tc>
        <w:tc>
          <w:tcPr>
            <w:tcW w:w="126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May 4, 2019</w:t>
            </w:r>
          </w:p>
        </w:tc>
      </w:tr>
      <w:tr>
        <w:trPr>
          <w:trHeight w:val="210"/>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operating leases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12,594</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w w:val="98"/>
              </w:rPr>
              <w:t>Right of use assets obtained in exchange for new operating lease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8,962</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26,826</w:t>
            </w:r>
          </w:p>
        </w:tc>
      </w:tr>
      <w:tr>
        <w:trPr>
          <w:trHeight w:val="230"/>
        </w:trPr>
        <w:tc>
          <w:tcPr>
            <w:tcW w:w="5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Weighted average remaining lease term (years) - operating leases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60" w:top="125" w:right="1399" w:bottom="1440" w:gutter="0" w:footer="0" w:header="0"/>
        </w:sectPr>
      </w:pPr>
    </w:p>
    <w:bookmarkStart w:id="12" w:name="page13"/>
    <w:bookmarkEnd w:id="1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factors that may result in actual results differing from such forward-looking information include, but are not limited to: the ongoing COVID-19 pandemic and associated containment and remediation efforts; the potential negative impacts of COVID-19 on the global economy and foreign sourcing; the impacts of COVID-19 on the Company’s financial condition, business operation and liquidity, including the reopening of the Company’s retail stores; transportation and distribution delays or interruptions; changes in freight rates;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a deterioration in general economic conditions, whether caused by acts of war, terrorism, political or social unrest (including any resulting store closures, damage or loss of inventory), or other factors;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1, 2020 and in Part II, “Item 1A. Risk Factors” and elsewhere in the Company’s Quarterly Reports on Form 10-Q and any amendments thereto and in the other documents the Company files with the SEC, including reports on Form 8-K.</w:t>
      </w:r>
    </w:p>
    <w:p>
      <w:pPr>
        <w:spacing w:after="0" w:line="18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are a value-priced retailer of fashion apparel, accessories and home goods for the entire family. Our merchandise offerings are designed to appeal to the fashion preferences of value-conscious consumers, particularly African-Americans. We operated 574 stores in both urban and rural markets in 33 states as of May 2, 2020, including temporarily closed stores.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Material Development</w:t>
      </w:r>
    </w:p>
    <w:p>
      <w:pPr>
        <w:spacing w:after="0" w:line="2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December 2019, a novel coronavirus (“COVID-19”) emerged and spread worldwide. On March 11, 2020, the World Health Organization declared COVID-19 a pandemic. After closely monitoring and taking into consideration the guidance from federal, state and local governments, we temporarily closed all of our retail store locations and distribution centers effective March 20, 2020. The temporary closure of our stores has had and, as some stores remain closed or are closed again in the future, may continue to have an adverse impact on our financial condition, results of operations and liquidity. We have taken several steps to increase our cash position and preserve financial flexibility in light of uncertainties resulting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3" w:name="page14"/>
    <w:bookmarkEnd w:id="1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the COVID-19 pandemic. On March 20, 2020, we borrowed $43.7 million in principal amount under our revolving credit facility. Other measures taken to mitigate the operating and financial impact of the pandemic, included (i) furloughing substantially all store and distribution center personnel, and a significant portion of the corporate staff starting as of April 3, 2020, with employee benefits for eligible employees continuing through the temporary furlough; (ii) implementing temporary tiered salary reductions for management level corporate employees and reducing the cash portion of non-employee director fees; (iii) extending payment terms with vendors and suppliers; (iv) abating payments of rent as appropriate; (v) executing substantial reductions in operating expenses, store occupancy costs, capital expenditures and other costs, including through reduced inventory purchases and eliminating the 401(k) plan match; (vi) suspending any repurchases of shares and payment of dividends; and (vii) amending the revolving credit facility to extend the term to August 2021.</w:t>
      </w:r>
    </w:p>
    <w:p>
      <w:pPr>
        <w:spacing w:after="0" w:line="16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Beginning April 24, 2020, we started to reopen stores in select states in accordance with state and local government guidelines. As of June 9, 2020, we have reopened more than 530 of our 574 stores, while also opening 4 new stores. Starting in late May 2020, there have been demonstrations in cities throughout the United States. While they have generally been peaceful, in some locations demonstrations have become violent and resulted in governmental restrictions. We plan to continue to reopen our closed stores in a phased approach as more states reopen for retail businesses and conditions permit. As we reopen stores, we have taken numerous measures to protect the health of our associates, customers and communities we serve. Such measures include implementing occupancy limits, providing personal protective equipment for our associates and customers, encouraging social distancing, adjusting our processes for merchandise returns and implementing new cleaning procedures. We are planning to incur incremental costs going forward for personal protective equipment, including masks, gloves and hand sanitizer for our associates and customers, as well as additional cleaning supplies.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Periods</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following discussion contains references to fiscal years 2020 and 2019, which represent fiscal years ending or ended on January 30, 2021 and February 1, 2020, respectively. Fiscal 2020 and fiscal 2019 both have 52-week accounting</w:t>
      </w:r>
    </w:p>
    <w:p>
      <w:pPr>
        <w:ind w:right="140"/>
        <w:spacing w:after="0" w:line="260" w:lineRule="auto"/>
        <w:rPr>
          <w:sz w:val="20"/>
          <w:szCs w:val="20"/>
          <w:color w:val="auto"/>
        </w:rPr>
      </w:pPr>
      <w:r>
        <w:rPr>
          <w:rFonts w:ascii="Arial" w:cs="Arial" w:eastAsia="Arial" w:hAnsi="Arial"/>
          <w:sz w:val="18"/>
          <w:szCs w:val="18"/>
          <w:color w:val="auto"/>
        </w:rPr>
        <w:t>periods. This discussion and analysis should be read with the unaudited condensed consolidated financial statements and the notes thereto contained in Part 1, Item 1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The nature of the Company’s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particularly in light of the current uncertainty surrounding the economic impact of the COVID-19</w:t>
      </w:r>
    </w:p>
    <w:p>
      <w:pPr>
        <w:spacing w:after="0" w:line="2"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pandemic. Furthermore, as a result of the closure of our stores for at least five weeks related to the COVID-19 pandemic, comparisons of expense ratios and year-over-year trends are not a meaningful way to evaluate our operating results for the thirteen weeks ended May 2,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Statistics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2019 and fiscal 2020 are not considered comparable stores in fiscal 2020.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w:t>
      </w:r>
    </w:p>
    <w:p>
      <w:pPr>
        <w:spacing w:after="0" w:line="17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addition to sales, we measure cost of sales as a percentage of sales and store operating expenses, with a particular focus on labor, as a percentage of sales. These results translate into store level contribution, which we use to evaluate overall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14" w:name="page15"/>
    <w:bookmarkEnd w:id="14"/>
    <w:p>
      <w:pPr>
        <w:ind w:left="20"/>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180"/>
        <w:spacing w:after="0" w:line="272" w:lineRule="auto"/>
        <w:rPr>
          <w:sz w:val="20"/>
          <w:szCs w:val="20"/>
          <w:color w:val="auto"/>
        </w:rPr>
      </w:pPr>
      <w:r>
        <w:rPr>
          <w:rFonts w:ascii="Arial" w:cs="Arial" w:eastAsia="Arial" w:hAnsi="Arial"/>
          <w:sz w:val="17"/>
          <w:szCs w:val="17"/>
          <w:color w:val="auto"/>
        </w:rPr>
        <w:t>performance of each individual store. Finally, we monitor corporate expenses against budgeted amounts. All of the statistics discussed below are critical components of earnings before interest, taxes, depreciation and amortization (“EBITDA”) and Adjusted EBITDA (comprised of EBITDA, excluding non-cash asset impairment expense, CEO transition expenses and expenses related to proxy contests), which are considered our most important operating statistics. We believe that excluding these expenses from our financial results reflects operating results that are more indicative of our ongoing operating performance while improving comparability to prior and future periods, and as such, provides an enhanced understanding of our past financial performance and prospects for the future.</w:t>
      </w:r>
    </w:p>
    <w:p>
      <w:pPr>
        <w:spacing w:after="0" w:line="177" w:lineRule="exact"/>
        <w:rPr>
          <w:sz w:val="20"/>
          <w:szCs w:val="20"/>
          <w:color w:val="auto"/>
        </w:rPr>
      </w:pPr>
    </w:p>
    <w:p>
      <w:pPr>
        <w:ind w:left="20" w:right="40"/>
        <w:spacing w:after="0" w:line="271" w:lineRule="auto"/>
        <w:rPr>
          <w:sz w:val="20"/>
          <w:szCs w:val="20"/>
          <w:color w:val="auto"/>
        </w:rPr>
      </w:pPr>
      <w:r>
        <w:rPr>
          <w:rFonts w:ascii="Arial" w:cs="Arial" w:eastAsia="Arial" w:hAnsi="Arial"/>
          <w:sz w:val="17"/>
          <w:szCs w:val="17"/>
          <w:color w:val="auto"/>
        </w:rPr>
        <w:t>Although non-GAAP measures such as EBITDA and Adjusted EBITDA provide useful information on an operating cash flow basis, they are limited measures in that they exclude the impact of cash requirements for capital expenditures, income taxes and interest expense and should not be regarded as comparable to similarly titled measures used by other</w:t>
      </w:r>
    </w:p>
    <w:p>
      <w:pPr>
        <w:ind w:left="20" w:right="20"/>
        <w:spacing w:after="0" w:line="255" w:lineRule="auto"/>
        <w:rPr>
          <w:sz w:val="20"/>
          <w:szCs w:val="20"/>
          <w:color w:val="auto"/>
        </w:rPr>
      </w:pPr>
      <w:r>
        <w:rPr>
          <w:rFonts w:ascii="Arial" w:cs="Arial" w:eastAsia="Arial" w:hAnsi="Arial"/>
          <w:sz w:val="18"/>
          <w:szCs w:val="18"/>
          <w:color w:val="auto"/>
        </w:rPr>
        <w:t>companies. Therefore, EBITDA and Adjusted EBITDA should be used as supplements to results of operations and cash flows as reported under U.S. GAAP and should not be used as a singular measure of operating performance or as a substitute for U.S. GAAP results.</w:t>
      </w:r>
    </w:p>
    <w:p>
      <w:pPr>
        <w:spacing w:after="0" w:line="190" w:lineRule="exact"/>
        <w:rPr>
          <w:sz w:val="20"/>
          <w:szCs w:val="20"/>
          <w:color w:val="auto"/>
        </w:rPr>
      </w:pPr>
    </w:p>
    <w:p>
      <w:pPr>
        <w:ind w:left="20" w:right="320"/>
        <w:spacing w:after="0" w:line="277" w:lineRule="auto"/>
        <w:rPr>
          <w:sz w:val="20"/>
          <w:szCs w:val="20"/>
          <w:color w:val="auto"/>
        </w:rPr>
      </w:pPr>
      <w:r>
        <w:rPr>
          <w:rFonts w:ascii="Arial" w:cs="Arial" w:eastAsia="Arial" w:hAnsi="Arial"/>
          <w:sz w:val="18"/>
          <w:szCs w:val="18"/>
          <w:color w:val="auto"/>
        </w:rPr>
        <w:t>Provided below is a reconciliation of net income (loss) to EBITDA and to Adjusted EBITDA for the thirteen week periods ended May 2, 2020 and May 4,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May 2, 2020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7"/>
              </w:rPr>
              <w:t>May 4, 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Less: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benefit</w:t>
            </w:r>
          </w:p>
        </w:tc>
        <w:tc>
          <w:tcPr>
            <w:tcW w:w="3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CEO transition expenses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Proxy contest expenses</w:t>
            </w:r>
          </w:p>
        </w:tc>
        <w:tc>
          <w:tcPr>
            <w:tcW w:w="3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(21,762)</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14,389</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520" w:type="dxa"/>
            <w:vAlign w:val="bottom"/>
          </w:tcPr>
          <w:p>
            <w:pPr>
              <w:jc w:val="right"/>
              <w:ind w:right="20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60"/>
          </w:cols>
          <w:pgMar w:left="1360" w:top="125" w:right="1379" w:bottom="1440" w:gutter="0" w:footer="0" w:header="0"/>
        </w:sectPr>
      </w:pPr>
    </w:p>
    <w:bookmarkStart w:id="15" w:name="page16"/>
    <w:bookmarkEnd w:id="15"/>
    <w:p>
      <w:pPr>
        <w:ind w:left="20"/>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60"/>
        <w:spacing w:after="0" w:line="290" w:lineRule="auto"/>
        <w:rPr>
          <w:sz w:val="20"/>
          <w:szCs w:val="20"/>
          <w:color w:val="auto"/>
        </w:rPr>
      </w:pPr>
      <w:r>
        <w:rPr>
          <w:rFonts w:ascii="Arial" w:cs="Arial" w:eastAsia="Arial" w:hAnsi="Arial"/>
          <w:sz w:val="16"/>
          <w:szCs w:val="16"/>
          <w:color w:val="auto"/>
        </w:rPr>
        <w:t>Provided below is a reconciliation of net income (loss), the closest comparable GAAP measure, to (i) net income (loss) adjusted for non-cash asset impairment expenses, CEO transition related expenses and proxy contest expenses (“Adjusted net income (loss)”) and (ii) diluted Adjusted net income (loss) per common share. We believe that excluding these expenses and their related tax effects from our financial results reflects operating results that are more indicative of our ongoing operating performance while improving comparability to prior periods, and as such, may provide investors with an enhanced understanding of our past financial performance and prospects for the future. These non-GAAP measures should be used as a supplement to net income (loss) and diluted net income (loss) per common share as reported under GAAP and should not be used as the only measures of operating performance or as a substitute for GAAP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6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7"/>
              </w:rPr>
              <w:t>May 2, 2020</w:t>
            </w:r>
          </w:p>
        </w:tc>
        <w:tc>
          <w:tcPr>
            <w:tcW w:w="140" w:type="dxa"/>
            <w:vAlign w:val="bottom"/>
          </w:tcPr>
          <w:p>
            <w:pPr>
              <w:spacing w:after="0"/>
              <w:rPr>
                <w:sz w:val="12"/>
                <w:szCs w:val="12"/>
                <w:color w:val="auto"/>
              </w:rPr>
            </w:pPr>
          </w:p>
        </w:tc>
        <w:tc>
          <w:tcPr>
            <w:tcW w:w="9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May 4, 2019</w:t>
            </w:r>
          </w:p>
        </w:tc>
      </w:tr>
      <w:tr>
        <w:trPr>
          <w:trHeight w:val="209"/>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r>
      <w:tr>
        <w:trPr>
          <w:trHeight w:val="216"/>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related tax effects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CEO transition expenses and related tax effects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Proxy contest expenses and related tax effects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Adjusted 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(20,249)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8,682</w:t>
            </w:r>
          </w:p>
        </w:tc>
      </w:tr>
      <w:tr>
        <w:trPr>
          <w:trHeight w:val="216"/>
        </w:trPr>
        <w:tc>
          <w:tcPr>
            <w:tcW w:w="6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Diluted adjusted net (loss)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16"/>
        </w:trPr>
        <w:tc>
          <w:tcPr>
            <w:tcW w:w="6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Diluted shares outstanding</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w:t>
            </w:r>
          </w:p>
        </w:tc>
      </w:tr>
    </w:tbl>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Thirteen Weeks Ended May 2, 2020 and May 4, 2019</w:t>
      </w:r>
    </w:p>
    <w:p>
      <w:pPr>
        <w:spacing w:after="0" w:line="229" w:lineRule="exact"/>
        <w:rPr>
          <w:sz w:val="20"/>
          <w:szCs w:val="20"/>
          <w:color w:val="auto"/>
        </w:rPr>
      </w:pPr>
    </w:p>
    <w:p>
      <w:pPr>
        <w:ind w:left="20"/>
        <w:spacing w:after="0" w:line="25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decreased $88.9 million, or 43.4%, to $116.1 million in the thirteen weeks ended May 2,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$205.0 million in the thirteen weeks ended May 4, 2019. The decrease in sales was due to a 44.5% decrease in comparable store sales and the impact of closing seven stores since the end of the first quarter last year, partially offset by the opening of 15 new stores since the end of the first quarter last year. The decrease in comparable store sales was due to closing all 574 of our stores as a result of the COVID-19 pandemic from March 20 until April 23, at which point we began to gradually reopen certain stores. Prior to the onset of the COVID-19 pandemic, comparable store sales increased 3.1% from the beginning of the first quarter through March 7, 2020.</w:t>
      </w:r>
    </w:p>
    <w:p>
      <w:pPr>
        <w:spacing w:after="0" w:line="195" w:lineRule="exact"/>
        <w:rPr>
          <w:sz w:val="20"/>
          <w:szCs w:val="20"/>
          <w:color w:val="auto"/>
        </w:rPr>
      </w:pPr>
    </w:p>
    <w:p>
      <w:pPr>
        <w:ind w:left="20" w:right="20"/>
        <w:spacing w:after="0" w:line="257" w:lineRule="auto"/>
        <w:rPr>
          <w:sz w:val="20"/>
          <w:szCs w:val="20"/>
          <w:color w:val="auto"/>
        </w:rPr>
      </w:pPr>
      <w:r>
        <w:rPr>
          <w:rFonts w:ascii="Arial" w:cs="Arial" w:eastAsia="Arial" w:hAnsi="Arial"/>
          <w:sz w:val="18"/>
          <w:szCs w:val="18"/>
          <w:i w:val="1"/>
          <w:iCs w:val="1"/>
          <w:color w:val="auto"/>
        </w:rPr>
        <w:t xml:space="preserve">Cost of sales (exclusive of depreciation). </w:t>
      </w:r>
      <w:r>
        <w:rPr>
          <w:rFonts w:ascii="Arial" w:cs="Arial" w:eastAsia="Arial" w:hAnsi="Arial"/>
          <w:sz w:val="18"/>
          <w:szCs w:val="18"/>
          <w:color w:val="auto"/>
        </w:rPr>
        <w:t>Cost of sales (exclusive of depreciation) decreased $43.9 million, or 34.2%, to $84.4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quarter of 2020 from $128.2 million in the first quarter of 2019. Cost of sales as a percentage of sales increased to 72.7% in the first quarter of 2020 from 62.5% in last year’s first quarter, due primarily to a 1000 basis points increase in merchandise markdowns, as more markdowns were needed on transitional or seasonal merchandise due to our store closures during the COVID-19 pandemic.</w:t>
      </w:r>
    </w:p>
    <w:p>
      <w:pPr>
        <w:spacing w:after="0" w:line="188" w:lineRule="exact"/>
        <w:rPr>
          <w:sz w:val="20"/>
          <w:szCs w:val="20"/>
          <w:color w:val="auto"/>
        </w:rPr>
      </w:pPr>
    </w:p>
    <w:p>
      <w:pPr>
        <w:ind w:left="20"/>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$9.4 million, or 14.8%,</w:t>
      </w:r>
      <w:r>
        <w:rPr>
          <w:rFonts w:ascii="Arial" w:cs="Arial" w:eastAsia="Arial" w:hAnsi="Arial"/>
          <w:sz w:val="18"/>
          <w:szCs w:val="18"/>
          <w:i w:val="1"/>
          <w:iCs w:val="1"/>
          <w:color w:val="auto"/>
        </w:rPr>
        <w:t xml:space="preserve"> </w:t>
      </w:r>
      <w:r>
        <w:rPr>
          <w:rFonts w:ascii="Arial" w:cs="Arial" w:eastAsia="Arial" w:hAnsi="Arial"/>
          <w:sz w:val="18"/>
          <w:szCs w:val="18"/>
          <w:color w:val="auto"/>
        </w:rPr>
        <w:t>to $54.1 million in the first quarter of 2020 from $63.4 million in the first quarter of 2019. The decrease was due primarily to lower payroll costs as a result of furloughing substantially all of our store and distribution center personnel and a significant portion of the corporate staff, combined with a decrease in other variable costs such as credit card processing fees and travel expenses, as well as $1.0 million of expenses incurred in the first quarter of 2019 in connection with a proxy contest. As a percentage of sales, selling, general and administrative expenses increased to 46.6% in the first quarter of 2020 from 30.9% in the first quarter of 2019.</w:t>
      </w:r>
    </w:p>
    <w:p>
      <w:pPr>
        <w:spacing w:after="0" w:line="195" w:lineRule="exact"/>
        <w:rPr>
          <w:sz w:val="20"/>
          <w:szCs w:val="20"/>
          <w:color w:val="auto"/>
        </w:rPr>
      </w:pPr>
    </w:p>
    <w:p>
      <w:pPr>
        <w:ind w:left="20" w:right="34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increased $0.3 million, or 7.2%, to $4.9 million in the first quarter of 2020 from $4.6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quarter of 2019.</w:t>
      </w:r>
    </w:p>
    <w:p>
      <w:pPr>
        <w:spacing w:after="0" w:line="170" w:lineRule="exact"/>
        <w:rPr>
          <w:sz w:val="20"/>
          <w:szCs w:val="20"/>
          <w:color w:val="auto"/>
        </w:rPr>
      </w:pPr>
    </w:p>
    <w:p>
      <w:pPr>
        <w:jc w:val="both"/>
        <w:ind w:left="20" w:right="180"/>
        <w:spacing w:after="0" w:line="286" w:lineRule="auto"/>
        <w:rPr>
          <w:sz w:val="20"/>
          <w:szCs w:val="20"/>
          <w:color w:val="auto"/>
        </w:rPr>
      </w:pPr>
      <w:r>
        <w:rPr>
          <w:rFonts w:ascii="Arial" w:cs="Arial" w:eastAsia="Arial" w:hAnsi="Arial"/>
          <w:sz w:val="17"/>
          <w:szCs w:val="17"/>
          <w:i w:val="1"/>
          <w:iCs w:val="1"/>
          <w:color w:val="auto"/>
        </w:rPr>
        <w:t xml:space="preserve">Asset Impairment. </w:t>
      </w:r>
      <w:r>
        <w:rPr>
          <w:rFonts w:ascii="Arial" w:cs="Arial" w:eastAsia="Arial" w:hAnsi="Arial"/>
          <w:sz w:val="17"/>
          <w:szCs w:val="17"/>
          <w:color w:val="auto"/>
        </w:rPr>
        <w:t>Impairment charges related to an underperforming store totaled $0.3 million in the first quarter of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comprised of $0.2 million for an operating lease right-of-use asset and $0.1 million for leasehold improvements and fixtures and equipment. There was no impairment expense recorded in the first quarter of 2019.</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60" w:top="125" w:right="1399" w:bottom="1440" w:gutter="0" w:footer="0" w:header="0"/>
        </w:sectPr>
      </w:pPr>
    </w:p>
    <w:bookmarkStart w:id="16" w:name="page17"/>
    <w:bookmarkEnd w:id="16"/>
    <w:p>
      <w:pPr>
        <w:ind w:left="6"/>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6" w:right="20"/>
        <w:spacing w:after="0" w:line="259" w:lineRule="auto"/>
        <w:rPr>
          <w:sz w:val="20"/>
          <w:szCs w:val="20"/>
          <w:color w:val="auto"/>
        </w:rPr>
      </w:pPr>
      <w:r>
        <w:rPr>
          <w:rFonts w:ascii="Arial" w:cs="Arial" w:eastAsia="Arial" w:hAnsi="Arial"/>
          <w:sz w:val="18"/>
          <w:szCs w:val="18"/>
          <w:i w:val="1"/>
          <w:iCs w:val="1"/>
          <w:color w:val="auto"/>
        </w:rPr>
        <w:t xml:space="preserve">Income Tax Benefit/Expense. </w:t>
      </w:r>
      <w:r>
        <w:rPr>
          <w:rFonts w:ascii="Arial" w:cs="Arial" w:eastAsia="Arial" w:hAnsi="Arial"/>
          <w:sz w:val="18"/>
          <w:szCs w:val="18"/>
          <w:color w:val="auto"/>
        </w:rPr>
        <w:t>Income tax benefit was $6.6 million in the first quarter of 2020 compared to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of $1.3 million in the first quarter of 2019, as a result of a pretax loss in the first quarter of 2020. For the first quarter of 2020, we utilized the discrete effective tax rate method to determine tax expense based upon interim period results, as the full-year tax rate is not reliably predictable.</w:t>
      </w:r>
    </w:p>
    <w:p>
      <w:pPr>
        <w:spacing w:after="0" w:line="187" w:lineRule="exact"/>
        <w:rPr>
          <w:sz w:val="20"/>
          <w:szCs w:val="20"/>
          <w:color w:val="auto"/>
        </w:rPr>
      </w:pPr>
    </w:p>
    <w:p>
      <w:pPr>
        <w:ind w:left="6" w:right="240"/>
        <w:spacing w:after="0" w:line="277" w:lineRule="auto"/>
        <w:rPr>
          <w:sz w:val="20"/>
          <w:szCs w:val="20"/>
          <w:color w:val="auto"/>
        </w:rPr>
      </w:pPr>
      <w:r>
        <w:rPr>
          <w:rFonts w:ascii="Arial" w:cs="Arial" w:eastAsia="Arial" w:hAnsi="Arial"/>
          <w:sz w:val="18"/>
          <w:szCs w:val="18"/>
          <w:i w:val="1"/>
          <w:iCs w:val="1"/>
          <w:color w:val="auto"/>
        </w:rPr>
        <w:t xml:space="preserve">Net Loss/Income. </w:t>
      </w:r>
      <w:r>
        <w:rPr>
          <w:rFonts w:ascii="Arial" w:cs="Arial" w:eastAsia="Arial" w:hAnsi="Arial"/>
          <w:sz w:val="18"/>
          <w:szCs w:val="18"/>
          <w:color w:val="auto"/>
        </w:rPr>
        <w:t>Net loss was $20.9 million in the first quarter of 2020 compared to net income of $7.8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2019 due to the factors discussed above.</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 w:right="340"/>
        <w:spacing w:after="0" w:line="274" w:lineRule="auto"/>
        <w:rPr>
          <w:sz w:val="20"/>
          <w:szCs w:val="20"/>
          <w:color w:val="auto"/>
        </w:rPr>
      </w:pPr>
      <w:r>
        <w:rPr>
          <w:rFonts w:ascii="Arial" w:cs="Arial" w:eastAsia="Arial" w:hAnsi="Arial"/>
          <w:sz w:val="17"/>
          <w:szCs w:val="17"/>
          <w:color w:val="auto"/>
        </w:rPr>
        <w:t>Our cash requirements are primarily for working capital and capital expenditures for stores, distribution infrastructure and information systems. We also use cash to repurchase stock under our stock repurchase program and to pay</w:t>
      </w:r>
    </w:p>
    <w:p>
      <w:pPr>
        <w:ind w:left="6" w:right="40"/>
        <w:spacing w:after="0" w:line="252" w:lineRule="auto"/>
        <w:rPr>
          <w:sz w:val="20"/>
          <w:szCs w:val="20"/>
          <w:color w:val="auto"/>
        </w:rPr>
      </w:pPr>
      <w:r>
        <w:rPr>
          <w:rFonts w:ascii="Arial" w:cs="Arial" w:eastAsia="Arial" w:hAnsi="Arial"/>
          <w:sz w:val="18"/>
          <w:szCs w:val="18"/>
          <w:color w:val="auto"/>
        </w:rPr>
        <w:t>dividends. Historically, we have met these cash requirements using cash flow from operations and short-term trade credit. As further noted below, due to the COVID-19 pandemic and related economic disruptions, on March 20, 2020, we drew down $43.7 million on our revolving credit facility. We expect to be able to meet future cash requirements for at least the next 12 months with cash flow from operations, short-term trade credit, existing balances of cash and cash equivalents, and borrowings under our revolving credit facility. We intend to carefully monitor and manage our cash position in light of ongoing conditions and results of operations.</w:t>
      </w:r>
    </w:p>
    <w:p>
      <w:pPr>
        <w:spacing w:after="0" w:line="194" w:lineRule="exact"/>
        <w:rPr>
          <w:sz w:val="20"/>
          <w:szCs w:val="20"/>
          <w:color w:val="auto"/>
        </w:rPr>
      </w:pPr>
    </w:p>
    <w:p>
      <w:pPr>
        <w:ind w:left="6" w:right="100"/>
        <w:spacing w:after="0" w:line="273" w:lineRule="auto"/>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Net cash provided by operating activities was $12.8 million in the thirteen weeks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May 2, 2020 compared to $8.9 million in the same period of 2019. Significant sources of cash in the first quarter of 2020 were (1) a $16.4 million decrease in inventory (compared to an $8.6 million decrease in the first quarter of 2019) due to the suspension of purchases as we closed stores due to the COVID-19 pandemic; and (2) a $14.0 million increase in accounts payable (compared to a $9.6 million decrease in the first quarter of 2019) due to extending payment terms with vendors and suppliers as a result of the COVID-19 pandemic.</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8"/>
          <w:szCs w:val="18"/>
          <w:color w:val="auto"/>
        </w:rPr>
        <w:t>Significant uses of cash during the first quarter of 2020 included a net loss adjusted for non-cash expenses such</w:t>
      </w:r>
    </w:p>
    <w:p>
      <w:pPr>
        <w:spacing w:after="0" w:line="23" w:lineRule="exact"/>
        <w:rPr>
          <w:sz w:val="20"/>
          <w:szCs w:val="20"/>
          <w:color w:val="auto"/>
        </w:rPr>
      </w:pPr>
    </w:p>
    <w:p>
      <w:pPr>
        <w:ind w:left="6"/>
        <w:spacing w:after="0" w:line="251" w:lineRule="auto"/>
        <w:rPr>
          <w:sz w:val="20"/>
          <w:szCs w:val="20"/>
          <w:color w:val="auto"/>
        </w:rPr>
      </w:pPr>
      <w:r>
        <w:rPr>
          <w:rFonts w:ascii="Arial" w:cs="Arial" w:eastAsia="Arial" w:hAnsi="Arial"/>
          <w:sz w:val="18"/>
          <w:szCs w:val="18"/>
          <w:color w:val="auto"/>
        </w:rPr>
        <w:t>as depreciation, amortization of operating lease right of use assets, loss on disposal of property and equipment, deferred income taxes and stock-based compensation expense, totaling ($11.1) million (compared to $25.0 million in the first quarter of 2019). Other significant uses of cash from operating activities in the first quarter of 2020 were (1) a $6.8 million decrease in accrued expenses and other long-term liabilities (compared with an $11.9 million decrease in the first quarter of 2019) due primarily to payments of operating lease liabilities; and (2) a $5.5 million decrease in accrued compensation (compared to a $4.6 million decrease in the first quarter of 2019) due to the furlough of substantially all of our store and distribution center personnel, along with a significant portion of our corporate staff, which resulted in lower payroll costs due at the end of the quarter.</w:t>
      </w:r>
    </w:p>
    <w:p>
      <w:pPr>
        <w:spacing w:after="0" w:line="198" w:lineRule="exact"/>
        <w:rPr>
          <w:sz w:val="20"/>
          <w:szCs w:val="20"/>
          <w:color w:val="auto"/>
        </w:rPr>
      </w:pPr>
    </w:p>
    <w:p>
      <w:pPr>
        <w:ind w:left="6" w:right="60"/>
        <w:spacing w:after="0" w:line="301"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provided by investing activities was $39.3 million in the first quarter of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$6.0 million in the first quarter of 2019. Sales and redemptions of investment securities, net of purchases, provided cash of $43.2 million and $8.3 million in the first quarter of 2020 and 2019, respectively. Cash used for purchases of property and equipment totaled $4.0 million and $2.3 million in the first quarter of 2020 and 2019, respectively.</w:t>
      </w:r>
    </w:p>
    <w:p>
      <w:pPr>
        <w:spacing w:after="0" w:line="157" w:lineRule="exact"/>
        <w:rPr>
          <w:sz w:val="20"/>
          <w:szCs w:val="20"/>
          <w:color w:val="auto"/>
        </w:rPr>
      </w:pPr>
    </w:p>
    <w:p>
      <w:pPr>
        <w:ind w:left="6"/>
        <w:spacing w:after="0" w:line="259"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Cash provided by financing activities was $36.1 million in the first quarter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cash used of $3.3 million in the first quarter of 2019. The principal source of cash in the first quarter of 2020 was a drawdown of $43.7 million on our revolving credit facility, partially offset by the repurchase of common stock for an aggregate purchase price of $6.3 million.</w:t>
      </w:r>
    </w:p>
    <w:p>
      <w:pPr>
        <w:spacing w:after="0" w:line="18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principal sources of liquidity consist of: (i) cash and cash equivalents (which equaled $108.1 million as of May 2, 2020);</w:t>
      </w:r>
    </w:p>
    <w:p>
      <w:pPr>
        <w:spacing w:after="0" w:line="46" w:lineRule="exact"/>
        <w:rPr>
          <w:sz w:val="20"/>
          <w:szCs w:val="20"/>
          <w:color w:val="auto"/>
        </w:rPr>
      </w:pPr>
    </w:p>
    <w:p>
      <w:pPr>
        <w:ind w:left="266" w:hanging="266"/>
        <w:spacing w:after="0"/>
        <w:tabs>
          <w:tab w:leader="none" w:pos="266"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short-term trade credit; (iii) cash generated from operations on an ongoing basis as we sell our merchandise inventory; and</w:t>
      </w:r>
    </w:p>
    <w:p>
      <w:pPr>
        <w:spacing w:after="0" w:line="32" w:lineRule="exact"/>
        <w:rPr>
          <w:rFonts w:ascii="Arial" w:cs="Arial" w:eastAsia="Arial" w:hAnsi="Arial"/>
          <w:sz w:val="16"/>
          <w:szCs w:val="16"/>
          <w:color w:val="auto"/>
        </w:rPr>
      </w:pPr>
    </w:p>
    <w:p>
      <w:pPr>
        <w:ind w:left="6" w:right="220" w:hanging="6"/>
        <w:spacing w:after="0" w:line="253" w:lineRule="auto"/>
        <w:tabs>
          <w:tab w:leader="none" w:pos="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revolving credit facility with a $50.0 million credit commitment (with borrowings of $43.7 million as of May 2, 2020).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200" w:lineRule="exact"/>
        <w:rPr>
          <w:sz w:val="20"/>
          <w:szCs w:val="20"/>
          <w:color w:val="auto"/>
        </w:rPr>
      </w:pPr>
    </w:p>
    <w:p>
      <w:pPr>
        <w:spacing w:after="0" w:line="209"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1215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26"/>
          </w:cols>
          <w:pgMar w:left="1374" w:top="125" w:right="1399" w:bottom="1440" w:gutter="0" w:footer="0" w:header="0"/>
        </w:sectPr>
      </w:pPr>
    </w:p>
    <w:bookmarkStart w:id="17" w:name="page18"/>
    <w:bookmarkEnd w:id="17"/>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part of the actions we have taken to increase our cash position and preserve financial flexibility in light of current uncertainties resulting from the COVID-19 pandemic, as described above in “Current Material Developments,” on March 20, 2020, we borrowed $43.7 million in principal amount under our revolving credit facility. In addition, on May 12, 2020, we entered into an amendment to our revolving credit facility to, among other things, extend the maturity date to August 18,</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2021. See Note 7 to the unaudited condensed consolidated financial statements included in Part I, Item 1 of this report for more information. In addition to the drawdown on our credit facility, we have reduced our operating expenses, capital expenditure plans and inventory receipts, as appropriate. The Company previously announced a share repurchase program on March 13, 2020, but no repurchases have been made under such program as of the date of this filing and the Company does not intend to repurchase any shares for the time being. The Company has also suspended the payment of quarterly dividends.</w:t>
      </w:r>
    </w:p>
    <w:p>
      <w:pPr>
        <w:spacing w:after="0" w:line="1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our existing sources of liquidity will be sufficient to fund our operations for at least the next 12 months. Should the reopening of our stores and recovery of our sales fall materially below our expectations, we may be required to take other actions that could include material changes in our operations and seeking additional debt or equity capital. We plan to continue to monitor the rapidly developing situation and to take further action to reduce our expenses and preserve our financial flexibility, as necessary.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discussion of Recent Accounting Pronouncements in Note 1 to the unaudited condensed consolidated financial statements included in Part I, Item 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have been no other material changes to the Critical Accounting Policies outlined in the Company’s Annual Report on Form 10-K for the year ended February 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There have been no material changes in our market risk during the thirteen weeks ended May 2, 2020 compared to the disclosures in Part II, Item 7A of our Annual Report on Form 10-K for the year ended February 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May 2, 2020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6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18" w:name="page19"/>
    <w:bookmarkEnd w:id="18"/>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our internal control over financial reporting that occurred during the fiscal quarter ended</w:t>
      </w:r>
    </w:p>
    <w:p>
      <w:pPr>
        <w:spacing w:after="0" w:line="35" w:lineRule="exact"/>
        <w:rPr>
          <w:sz w:val="20"/>
          <w:szCs w:val="20"/>
          <w:color w:val="auto"/>
        </w:rPr>
      </w:pPr>
    </w:p>
    <w:p>
      <w:pPr>
        <w:ind w:right="359"/>
        <w:spacing w:after="0" w:line="260" w:lineRule="auto"/>
        <w:rPr>
          <w:sz w:val="20"/>
          <w:szCs w:val="20"/>
          <w:color w:val="auto"/>
        </w:rPr>
      </w:pPr>
      <w:r>
        <w:rPr>
          <w:rFonts w:ascii="Arial" w:cs="Arial" w:eastAsia="Arial" w:hAnsi="Arial"/>
          <w:sz w:val="18"/>
          <w:szCs w:val="18"/>
          <w:color w:val="auto"/>
        </w:rPr>
        <w:t>May 2, 2020 that have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81215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079"/>
          </w:cols>
          <w:pgMar w:left="1380" w:top="125" w:right="1440" w:bottom="1440" w:gutter="0" w:footer="0" w:header="0"/>
        </w:sectPr>
      </w:pPr>
    </w:p>
    <w:bookmarkStart w:id="19" w:name="page20"/>
    <w:bookmarkEnd w:id="19"/>
    <w:p>
      <w:pPr>
        <w:ind w:left="20"/>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than as set forth below, there have been no material changes to the Risk Factors described under the section “ITEM 1A.</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 FACTORS” in the Company’s Annual Report on Form 10-K for the fiscal year ended February 1, 2020.</w:t>
      </w:r>
    </w:p>
    <w:p>
      <w:pPr>
        <w:spacing w:after="0" w:line="211" w:lineRule="exact"/>
        <w:rPr>
          <w:sz w:val="20"/>
          <w:szCs w:val="20"/>
          <w:color w:val="auto"/>
        </w:rPr>
      </w:pPr>
    </w:p>
    <w:p>
      <w:pPr>
        <w:ind w:left="20"/>
        <w:spacing w:after="0" w:line="277" w:lineRule="auto"/>
        <w:rPr>
          <w:sz w:val="20"/>
          <w:szCs w:val="20"/>
          <w:color w:val="auto"/>
        </w:rPr>
      </w:pPr>
      <w:r>
        <w:rPr>
          <w:rFonts w:ascii="Arial" w:cs="Arial" w:eastAsia="Arial" w:hAnsi="Arial"/>
          <w:sz w:val="18"/>
          <w:szCs w:val="18"/>
          <w:i w:val="1"/>
          <w:iCs w:val="1"/>
          <w:color w:val="auto"/>
        </w:rPr>
        <w:t>Our sales could decline and our store operations could be disrupted as a result of general economic and other factors outside of our control, such as changes in consumer spending patterns and declines in employment levels.</w:t>
      </w:r>
    </w:p>
    <w:p>
      <w:pPr>
        <w:spacing w:after="0" w:line="170" w:lineRule="exact"/>
        <w:rPr>
          <w:sz w:val="20"/>
          <w:szCs w:val="20"/>
          <w:color w:val="auto"/>
        </w:rPr>
      </w:pPr>
    </w:p>
    <w:p>
      <w:pPr>
        <w:ind w:left="20" w:right="20"/>
        <w:spacing w:after="0" w:line="286" w:lineRule="auto"/>
        <w:rPr>
          <w:sz w:val="20"/>
          <w:szCs w:val="20"/>
          <w:color w:val="auto"/>
        </w:rPr>
      </w:pPr>
      <w:r>
        <w:rPr>
          <w:rFonts w:ascii="Arial" w:cs="Arial" w:eastAsia="Arial" w:hAnsi="Arial"/>
          <w:sz w:val="16"/>
          <w:szCs w:val="16"/>
          <w:color w:val="auto"/>
        </w:rPr>
        <w:t>Downturns, or the expectation of a downturn, in general economic conditions, including the effects of unemployment levels, salaries and wage rates, interest rates, levels of consumer debt, inflation in food and energy prices, taxation (including delays in the distribution of tax refunds), government stimulus, consumer confidence, and other macroeconomic factors, could adversely affect consumer spending patterns, our sales and our results of operations. Consumer confidence may also be affected by domestic and international political or social unrest (including related protests or disturbances), acts of war or terrorism, natural disasters, public health emergencies like the COVID-19 pandemic, or other significant events outside of our control. These and other social, political and economic factors that contribute to consumer unease or damage to our stores, may lead to a decrease in spending by consumers or disrupt our store operations, which may negatively impact our business, financial condition and results of operations. Also, because apparel generally is a discretionary purchase, declines in consumer spending patterns may have a more negative effect on apparel retailers than some other 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Information on Share Repurchases</w:t>
      </w:r>
    </w:p>
    <w:p>
      <w:pPr>
        <w:spacing w:after="0" w:line="225" w:lineRule="exact"/>
        <w:rPr>
          <w:sz w:val="20"/>
          <w:szCs w:val="20"/>
          <w:color w:val="auto"/>
        </w:rPr>
      </w:pPr>
    </w:p>
    <w:p>
      <w:pPr>
        <w:ind w:left="20" w:right="240"/>
        <w:spacing w:after="0" w:line="258" w:lineRule="auto"/>
        <w:rPr>
          <w:sz w:val="20"/>
          <w:szCs w:val="20"/>
          <w:color w:val="auto"/>
        </w:rPr>
      </w:pPr>
      <w:r>
        <w:rPr>
          <w:rFonts w:ascii="Arial" w:cs="Arial" w:eastAsia="Arial" w:hAnsi="Arial"/>
          <w:sz w:val="18"/>
          <w:szCs w:val="18"/>
          <w:color w:val="auto"/>
        </w:rPr>
        <w:t>The number of shares of common stock repurchased by the Company during the first quarter of fiscal 2020 and the average price paid per share are as follows:</w:t>
      </w:r>
    </w:p>
    <w:tbl>
      <w:tblPr>
        <w:tblLayout w:type="fixed"/>
        <w:tblInd w:w="0" w:type="dxa"/>
        <w:tblCellMar>
          <w:top w:w="0" w:type="dxa"/>
          <w:left w:w="0" w:type="dxa"/>
          <w:bottom w:w="0" w:type="dxa"/>
          <w:right w:w="0" w:type="dxa"/>
        </w:tblCellMar>
      </w:tblPr>
      <w:tr>
        <w:trPr>
          <w:trHeight w:val="141"/>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2"/>
                <w:szCs w:val="12"/>
                <w:color w:val="auto"/>
              </w:rPr>
            </w:pPr>
          </w:p>
        </w:tc>
        <w:tc>
          <w:tcPr>
            <w:tcW w:w="15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of shares that may yet be</w:t>
            </w: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2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purchased</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 (1)</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plans or programs (2)</w:t>
            </w:r>
          </w:p>
        </w:tc>
        <w:tc>
          <w:tcPr>
            <w:tcW w:w="10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or programs (2)</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(2/2/20 - 2/29/20)</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260,254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March (3/1/20 - 4/4/20)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(4/5/20 - 5/2/20)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20" w:hanging="206"/>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p>
    <w:p>
      <w:pPr>
        <w:ind w:left="20" w:right="80" w:hanging="6"/>
        <w:spacing w:after="0" w:line="261" w:lineRule="auto"/>
        <w:tabs>
          <w:tab w:leader="none" w:pos="224" w:val="left"/>
        </w:tabs>
        <w:numPr>
          <w:ilvl w:val="0"/>
          <w:numId w:val="17"/>
        </w:numPr>
        <w:rPr>
          <w:rFonts w:ascii="Arial" w:cs="Arial" w:eastAsia="Arial" w:hAnsi="Arial"/>
          <w:sz w:val="12"/>
          <w:szCs w:val="12"/>
          <w:color w:val="auto"/>
        </w:rPr>
      </w:pPr>
      <w:r>
        <w:rPr>
          <w:rFonts w:ascii="Arial" w:cs="Arial" w:eastAsia="Arial" w:hAnsi="Arial"/>
          <w:sz w:val="12"/>
          <w:szCs w:val="12"/>
          <w:color w:val="auto"/>
        </w:rPr>
        <w:t>On November 22, 2019, the Company’s board of directors approved a $25.0 million stock repurchase program, under which no shares remained available as of May 2, 2020. This repurchase program was completed in February 2020. On March 13, 2020, the Company announced that its board of directors approved a $30.0 million stock repurchase program. Due to the current economic uncertainty stemming from the COVID-19 pandemic, the Company has temporarily suspended any repurchases as of March 23, 2020 and plans to continue to monitor the situation based on business conditions and regard for its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financial liquidity needs</w:t>
      </w:r>
      <w:r>
        <w:rPr>
          <w:rFonts w:ascii="Arial" w:cs="Arial" w:eastAsia="Arial" w:hAnsi="Arial"/>
          <w:sz w:val="17"/>
          <w:szCs w:val="17"/>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81215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140"/>
          </w:cols>
          <w:pgMar w:left="1360" w:top="125" w:right="1399" w:bottom="1440" w:gutter="0" w:footer="0" w:header="0"/>
        </w:sectPr>
      </w:pPr>
    </w:p>
    <w:bookmarkStart w:id="20" w:name="page21"/>
    <w:bookmarkEnd w:id="20"/>
    <w:p>
      <w:pPr>
        <w:ind w:left="6"/>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69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614"/>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46"/>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46"/>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46"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8020" w:type="dxa"/>
            <w:vAlign w:val="bottom"/>
            <w:gridSpan w:val="13"/>
          </w:tcPr>
          <w:p>
            <w:pPr>
              <w:spacing w:after="0"/>
              <w:rPr>
                <w:rFonts w:ascii="Arial" w:cs="Arial" w:eastAsia="Arial" w:hAnsi="Arial"/>
                <w:sz w:val="18"/>
                <w:szCs w:val="18"/>
                <w:color w:val="0000EE"/>
                <w:w w:val="96"/>
              </w:rPr>
            </w:pPr>
            <w:hyperlink r:id="rId33">
              <w:r>
                <w:rPr>
                  <w:rFonts w:ascii="Arial" w:cs="Arial" w:eastAsia="Arial" w:hAnsi="Arial"/>
                  <w:sz w:val="18"/>
                  <w:szCs w:val="18"/>
                  <w:color w:val="0000EE"/>
                  <w:w w:val="96"/>
                </w:rPr>
                <w:t>Third Amended and Restated Certificate of Incorporation (incorporated by reference to Exhibit 3.1 to the</w:t>
              </w:r>
            </w:hyperlink>
          </w:p>
        </w:tc>
      </w:tr>
      <w:tr>
        <w:trPr>
          <w:trHeight w:val="183"/>
        </w:trPr>
        <w:tc>
          <w:tcPr>
            <w:tcW w:w="980" w:type="dxa"/>
            <w:vAlign w:val="bottom"/>
          </w:tcPr>
          <w:p>
            <w:pPr>
              <w:spacing w:after="0"/>
              <w:rPr>
                <w:sz w:val="15"/>
                <w:szCs w:val="15"/>
                <w:color w:val="auto"/>
              </w:rPr>
            </w:pPr>
          </w:p>
        </w:tc>
        <w:tc>
          <w:tcPr>
            <w:tcW w:w="75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33">
              <w:r>
                <w:rPr>
                  <w:rFonts w:ascii="Arial" w:cs="Arial" w:eastAsia="Arial" w:hAnsi="Arial"/>
                  <w:sz w:val="18"/>
                  <w:szCs w:val="18"/>
                  <w:color w:val="0000EE"/>
                </w:rPr>
                <w:t>Company’s Current Report on Form 8-K filed with the SEC on June 7, 2018)</w:t>
              </w:r>
              <w:r>
                <w:rPr>
                  <w:rFonts w:ascii="Arial" w:cs="Arial" w:eastAsia="Arial" w:hAnsi="Arial"/>
                  <w:sz w:val="18"/>
                  <w:szCs w:val="18"/>
                  <w:color w:val="000000"/>
                </w:rPr>
                <w:t>.</w:t>
              </w:r>
            </w:hyperlink>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8020" w:type="dxa"/>
            <w:vAlign w:val="bottom"/>
            <w:gridSpan w:val="13"/>
          </w:tcPr>
          <w:p>
            <w:pPr>
              <w:spacing w:after="0"/>
              <w:rPr>
                <w:rFonts w:ascii="Arial" w:cs="Arial" w:eastAsia="Arial" w:hAnsi="Arial"/>
                <w:sz w:val="18"/>
                <w:szCs w:val="18"/>
                <w:color w:val="0000EE"/>
                <w:w w:val="93"/>
              </w:rPr>
            </w:pPr>
            <w:hyperlink r:id="rId34">
              <w:r>
                <w:rPr>
                  <w:rFonts w:ascii="Arial" w:cs="Arial" w:eastAsia="Arial" w:hAnsi="Arial"/>
                  <w:sz w:val="18"/>
                  <w:szCs w:val="18"/>
                  <w:color w:val="0000EE"/>
                  <w:w w:val="93"/>
                </w:rPr>
                <w:t>Second Amendment to Credit Agreement and Waiver, dated as of May 12, 2020, by and among Citi Trends,</w:t>
              </w:r>
            </w:hyperlink>
          </w:p>
        </w:tc>
      </w:tr>
      <w:tr>
        <w:trPr>
          <w:trHeight w:val="183"/>
        </w:trPr>
        <w:tc>
          <w:tcPr>
            <w:tcW w:w="980" w:type="dxa"/>
            <w:vAlign w:val="bottom"/>
          </w:tcPr>
          <w:p>
            <w:pPr>
              <w:spacing w:after="0"/>
              <w:rPr>
                <w:sz w:val="15"/>
                <w:szCs w:val="15"/>
                <w:color w:val="auto"/>
              </w:rPr>
            </w:pPr>
          </w:p>
        </w:tc>
        <w:tc>
          <w:tcPr>
            <w:tcW w:w="77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89"/>
              </w:rPr>
            </w:pPr>
            <w:hyperlink r:id="rId34">
              <w:r>
                <w:rPr>
                  <w:rFonts w:ascii="Arial" w:cs="Arial" w:eastAsia="Arial" w:hAnsi="Arial"/>
                  <w:sz w:val="18"/>
                  <w:szCs w:val="18"/>
                  <w:color w:val="0000EE"/>
                  <w:w w:val="89"/>
                </w:rPr>
                <w:t>Inc., as Borrower, Citi Trends Marketing Solutions, Inc., as Guarantor, and Bank of America, N.A., as Lender</w:t>
              </w:r>
            </w:hyperlink>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8020" w:type="dxa"/>
            <w:vAlign w:val="bottom"/>
            <w:gridSpan w:val="13"/>
          </w:tcPr>
          <w:p>
            <w:pPr>
              <w:spacing w:after="0" w:line="182"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(incorporated by reference to Exhibit 10.28 to the Company’s Annual Report on Form 10-K filed with the SEC</w:t>
              </w:r>
            </w:hyperlink>
          </w:p>
        </w:tc>
      </w:tr>
      <w:tr>
        <w:trPr>
          <w:trHeight w:val="183"/>
        </w:trPr>
        <w:tc>
          <w:tcPr>
            <w:tcW w:w="980" w:type="dxa"/>
            <w:vAlign w:val="bottom"/>
          </w:tcPr>
          <w:p>
            <w:pPr>
              <w:spacing w:after="0"/>
              <w:rPr>
                <w:sz w:val="15"/>
                <w:szCs w:val="15"/>
                <w:color w:val="auto"/>
              </w:rPr>
            </w:pPr>
          </w:p>
        </w:tc>
        <w:tc>
          <w:tcPr>
            <w:tcW w:w="80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34">
              <w:r>
                <w:rPr>
                  <w:rFonts w:ascii="Arial" w:cs="Arial" w:eastAsia="Arial" w:hAnsi="Arial"/>
                  <w:sz w:val="18"/>
                  <w:szCs w:val="18"/>
                  <w:color w:val="0000EE"/>
                </w:rPr>
                <w:t>on May 14, 2020).</w:t>
              </w:r>
            </w:hyperlink>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8020" w:type="dxa"/>
            <w:vAlign w:val="bottom"/>
            <w:gridSpan w:val="13"/>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Form of Restricted Stock Unit Award Agreement for Employees under the Citi Trends, Inc. 2012 Incentive</w:t>
              </w:r>
            </w:hyperlink>
          </w:p>
        </w:tc>
      </w:tr>
      <w:tr>
        <w:trPr>
          <w:trHeight w:val="183"/>
        </w:trPr>
        <w:tc>
          <w:tcPr>
            <w:tcW w:w="980" w:type="dxa"/>
            <w:vAlign w:val="bottom"/>
          </w:tcPr>
          <w:p>
            <w:pPr>
              <w:spacing w:after="0"/>
              <w:rPr>
                <w:sz w:val="15"/>
                <w:szCs w:val="15"/>
                <w:color w:val="auto"/>
              </w:rPr>
            </w:pPr>
          </w:p>
        </w:tc>
        <w:tc>
          <w:tcPr>
            <w:tcW w:w="37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Plan (Performance Based Vesting – EBIT Target).*</w:t>
              </w:r>
            </w:hyperlink>
          </w:p>
        </w:tc>
        <w:tc>
          <w:tcPr>
            <w:tcW w:w="4000" w:type="dxa"/>
            <w:vAlign w:val="bottom"/>
            <w:tcBorders>
              <w:top w:val="single" w:sz="8" w:color="0000EE"/>
            </w:tcBorders>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8020" w:type="dxa"/>
            <w:vAlign w:val="bottom"/>
            <w:gridSpan w:val="13"/>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Certification of David M. Makuen, Principal Executive Officer, Pursuant to Rule 13a-14(a) of the Securities</w:t>
              </w:r>
            </w:hyperlink>
          </w:p>
        </w:tc>
      </w:tr>
      <w:tr>
        <w:trPr>
          <w:trHeight w:val="224"/>
        </w:trPr>
        <w:tc>
          <w:tcPr>
            <w:tcW w:w="980" w:type="dxa"/>
            <w:vAlign w:val="bottom"/>
          </w:tcPr>
          <w:p>
            <w:pPr>
              <w:spacing w:after="0"/>
              <w:rPr>
                <w:sz w:val="19"/>
                <w:szCs w:val="19"/>
                <w:color w:val="auto"/>
              </w:rPr>
            </w:pPr>
          </w:p>
        </w:tc>
        <w:tc>
          <w:tcPr>
            <w:tcW w:w="784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Exchange Act of 1934, Adopted Pursuant to Section 302 of the Sarbanes-Oxley Act of 2002.*</w:t>
              </w:r>
            </w:hyperlink>
          </w:p>
        </w:tc>
        <w:tc>
          <w:tcPr>
            <w:tcW w:w="20" w:type="dxa"/>
            <w:vAlign w:val="bottom"/>
          </w:tcPr>
          <w:p>
            <w:pPr>
              <w:spacing w:after="0"/>
              <w:rPr>
                <w:sz w:val="19"/>
                <w:szCs w:val="19"/>
                <w:color w:val="auto"/>
              </w:rPr>
            </w:pPr>
          </w:p>
        </w:tc>
        <w:tc>
          <w:tcPr>
            <w:tcW w:w="160" w:type="dxa"/>
            <w:vAlign w:val="bottom"/>
            <w:gridSpan w:val="3"/>
          </w:tcPr>
          <w:p>
            <w:pPr>
              <w:spacing w:after="0"/>
              <w:rPr>
                <w:sz w:val="19"/>
                <w:szCs w:val="19"/>
                <w:color w:val="auto"/>
              </w:rPr>
            </w:pPr>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8020" w:type="dxa"/>
            <w:vAlign w:val="bottom"/>
            <w:gridSpan w:val="13"/>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Certification of Jason B. Moschner, Principal Financial Officer, Pursuant to Rule 13a-14(a) of the Securities</w:t>
              </w:r>
            </w:hyperlink>
          </w:p>
        </w:tc>
      </w:tr>
      <w:tr>
        <w:trPr>
          <w:trHeight w:val="224"/>
        </w:trPr>
        <w:tc>
          <w:tcPr>
            <w:tcW w:w="980" w:type="dxa"/>
            <w:vAlign w:val="bottom"/>
          </w:tcPr>
          <w:p>
            <w:pPr>
              <w:spacing w:after="0"/>
              <w:rPr>
                <w:sz w:val="19"/>
                <w:szCs w:val="19"/>
                <w:color w:val="auto"/>
              </w:rPr>
            </w:pPr>
          </w:p>
        </w:tc>
        <w:tc>
          <w:tcPr>
            <w:tcW w:w="782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Exchange Act of 1934, Adopted Pursuant to Section 302 of the Sarbanes-Oxley Act of 2002.*</w:t>
              </w:r>
            </w:hyperlink>
          </w:p>
        </w:tc>
        <w:tc>
          <w:tcPr>
            <w:tcW w:w="40" w:type="dxa"/>
            <w:vAlign w:val="bottom"/>
            <w:gridSpan w:val="2"/>
          </w:tcPr>
          <w:p>
            <w:pPr>
              <w:spacing w:after="0"/>
              <w:rPr>
                <w:sz w:val="19"/>
                <w:szCs w:val="19"/>
                <w:color w:val="auto"/>
              </w:rPr>
            </w:pPr>
          </w:p>
        </w:tc>
        <w:tc>
          <w:tcPr>
            <w:tcW w:w="160" w:type="dxa"/>
            <w:vAlign w:val="bottom"/>
            <w:gridSpan w:val="3"/>
          </w:tcPr>
          <w:p>
            <w:pPr>
              <w:spacing w:after="0"/>
              <w:rPr>
                <w:sz w:val="19"/>
                <w:szCs w:val="19"/>
                <w:color w:val="auto"/>
              </w:rPr>
            </w:pPr>
          </w:p>
        </w:tc>
      </w:tr>
      <w:tr>
        <w:trPr>
          <w:trHeight w:val="364"/>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8020" w:type="dxa"/>
            <w:vAlign w:val="bottom"/>
            <w:gridSpan w:val="1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Certifications Pursuant to 18 U.S.C. Section 1350, as adopted pursuant to Section 906 of the Sarbanes-Oxley</w:t>
              </w:r>
            </w:hyperlink>
          </w:p>
        </w:tc>
      </w:tr>
      <w:tr>
        <w:trPr>
          <w:trHeight w:val="183"/>
        </w:trPr>
        <w:tc>
          <w:tcPr>
            <w:tcW w:w="980" w:type="dxa"/>
            <w:vAlign w:val="bottom"/>
          </w:tcPr>
          <w:p>
            <w:pPr>
              <w:spacing w:after="0"/>
              <w:rPr>
                <w:sz w:val="15"/>
                <w:szCs w:val="15"/>
                <w:color w:val="auto"/>
              </w:rPr>
            </w:pPr>
          </w:p>
        </w:tc>
        <w:tc>
          <w:tcPr>
            <w:tcW w:w="11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Act of 2002.* †</w:t>
              </w:r>
            </w:hyperlink>
          </w:p>
        </w:tc>
        <w:tc>
          <w:tcPr>
            <w:tcW w:w="6720" w:type="dxa"/>
            <w:vAlign w:val="bottom"/>
            <w:tcBorders>
              <w:top w:val="single" w:sz="8" w:color="0000EE"/>
            </w:tcBorders>
            <w:gridSpan w:val="9"/>
          </w:tcPr>
          <w:p>
            <w:pPr>
              <w:spacing w:after="0"/>
              <w:rPr>
                <w:sz w:val="15"/>
                <w:szCs w:val="15"/>
                <w:color w:val="auto"/>
              </w:rPr>
            </w:pPr>
          </w:p>
        </w:tc>
        <w:tc>
          <w:tcPr>
            <w:tcW w:w="160" w:type="dxa"/>
            <w:vAlign w:val="bottom"/>
            <w:gridSpan w:val="3"/>
          </w:tcPr>
          <w:p>
            <w:pPr>
              <w:spacing w:after="0"/>
              <w:rPr>
                <w:sz w:val="15"/>
                <w:szCs w:val="15"/>
                <w:color w:val="auto"/>
              </w:rPr>
            </w:pPr>
          </w:p>
        </w:tc>
      </w:tr>
    </w:tbl>
    <w:p>
      <w:pPr>
        <w:spacing w:after="0" w:line="175" w:lineRule="exact"/>
        <w:rPr>
          <w:sz w:val="20"/>
          <w:szCs w:val="20"/>
          <w:color w:val="auto"/>
        </w:rPr>
      </w:pPr>
    </w:p>
    <w:p>
      <w:pPr>
        <w:ind w:left="1026" w:right="20" w:hanging="979"/>
        <w:spacing w:after="0" w:line="257" w:lineRule="auto"/>
        <w:tabs>
          <w:tab w:leader="none" w:pos="1026"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following financial information from Citi Trends, Inc.’s Quarterly Report on Form 10-Q for the quarter ended May 2, 2020, formatted in Extensible Business Reporting Language (XBRL): (i) the Condensed Consolidated Balance Sheets as of May 2, 2020 and February 1, 2020, (ii) the Condensed Consolidated Statements of Income for the thirteen week periods ended May 2, 2020 and May 4, 2019, (iii) the Condensed Consolidated Statements of Cash Flows for the thirteen week periods ended May 2, 2020 and May 4, 2019, and (iv) Notes to the Condensed Consolidated Financial Statements.*</w:t>
      </w:r>
    </w:p>
    <w:p>
      <w:pPr>
        <w:spacing w:after="0" w:line="188"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8"/>
          <w:szCs w:val="18"/>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1457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5" w:lineRule="exact"/>
        <w:rPr>
          <w:sz w:val="20"/>
          <w:szCs w:val="20"/>
          <w:color w:val="auto"/>
        </w:rPr>
      </w:pPr>
    </w:p>
    <w:p>
      <w:pPr>
        <w:ind w:left="6" w:hanging="6"/>
        <w:spacing w:after="0" w:line="296" w:lineRule="auto"/>
        <w:tabs>
          <w:tab w:leader="none" w:pos="366"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377"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1215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086"/>
          </w:cols>
          <w:pgMar w:left="1374" w:top="125" w:right="1439" w:bottom="1440" w:gutter="0" w:footer="0" w:header="0"/>
        </w:sectPr>
      </w:pPr>
    </w:p>
    <w:bookmarkStart w:id="21" w:name="page22"/>
    <w:bookmarkEnd w:id="21"/>
    <w:p>
      <w:pPr>
        <w:ind w:left="20"/>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 w:right="100" w:firstLine="648"/>
        <w:spacing w:after="0" w:line="28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and the undersigned also has signed this report in his capacity as the Registrant’s Vice President of Finance (Principal Financial and Accounting Officer).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gridSpan w:val="2"/>
          </w:tcPr>
          <w:p>
            <w:pPr>
              <w:ind w:left="4600"/>
              <w:spacing w:after="0"/>
              <w:rPr>
                <w:sz w:val="20"/>
                <w:szCs w:val="20"/>
                <w:color w:val="auto"/>
              </w:rPr>
            </w:pPr>
            <w:r>
              <w:rPr>
                <w:rFonts w:ascii="Arial" w:cs="Arial" w:eastAsia="Arial" w:hAnsi="Arial"/>
                <w:sz w:val="18"/>
                <w:szCs w:val="18"/>
                <w:color w:val="auto"/>
              </w:rPr>
              <w:t>CITI TRENDS, INC.</w:t>
            </w:r>
          </w:p>
        </w:tc>
        <w:tc>
          <w:tcPr>
            <w:tcW w:w="20" w:type="dxa"/>
            <w:vAlign w:val="bottom"/>
          </w:tcPr>
          <w:p>
            <w:pPr>
              <w:spacing w:after="0"/>
              <w:rPr>
                <w:sz w:val="20"/>
                <w:szCs w:val="20"/>
                <w:color w:val="auto"/>
              </w:rPr>
            </w:pPr>
          </w:p>
        </w:tc>
      </w:tr>
      <w:tr>
        <w:trPr>
          <w:trHeight w:val="405"/>
        </w:trPr>
        <w:tc>
          <w:tcPr>
            <w:tcW w:w="5260" w:type="dxa"/>
            <w:vAlign w:val="bottom"/>
          </w:tcPr>
          <w:p>
            <w:pPr>
              <w:ind w:left="20"/>
              <w:spacing w:after="0"/>
              <w:rPr>
                <w:sz w:val="20"/>
                <w:szCs w:val="20"/>
                <w:color w:val="auto"/>
              </w:rPr>
            </w:pPr>
            <w:r>
              <w:rPr>
                <w:rFonts w:ascii="Arial" w:cs="Arial" w:eastAsia="Arial" w:hAnsi="Arial"/>
                <w:sz w:val="18"/>
                <w:szCs w:val="18"/>
                <w:color w:val="auto"/>
              </w:rPr>
              <w:t>Date: June 11, 2020</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5260" w:type="dxa"/>
            <w:vAlign w:val="bottom"/>
          </w:tcPr>
          <w:p>
            <w:pPr>
              <w:ind w:left="4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B. Moschner</w:t>
            </w:r>
          </w:p>
        </w:tc>
        <w:tc>
          <w:tcPr>
            <w:tcW w:w="20" w:type="dxa"/>
            <w:vAlign w:val="bottom"/>
          </w:tcPr>
          <w:p>
            <w:pPr>
              <w:spacing w:after="0"/>
              <w:rPr>
                <w:sz w:val="24"/>
                <w:szCs w:val="24"/>
                <w:color w:val="auto"/>
              </w:rPr>
            </w:pPr>
          </w:p>
        </w:tc>
      </w:tr>
      <w:tr>
        <w:trPr>
          <w:trHeight w:val="182"/>
        </w:trPr>
        <w:tc>
          <w:tcPr>
            <w:tcW w:w="5260" w:type="dxa"/>
            <w:vAlign w:val="bottom"/>
          </w:tcPr>
          <w:p>
            <w:pPr>
              <w:ind w:left="4600"/>
              <w:spacing w:after="0" w:line="182"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82" w:lineRule="exact"/>
              <w:rPr>
                <w:sz w:val="20"/>
                <w:szCs w:val="20"/>
                <w:color w:val="auto"/>
              </w:rPr>
            </w:pPr>
            <w:r>
              <w:rPr>
                <w:rFonts w:ascii="Arial" w:cs="Arial" w:eastAsia="Arial" w:hAnsi="Arial"/>
                <w:sz w:val="18"/>
                <w:szCs w:val="18"/>
                <w:color w:val="auto"/>
              </w:rPr>
              <w:t>Jason B. Moschner</w:t>
            </w:r>
          </w:p>
        </w:tc>
        <w:tc>
          <w:tcPr>
            <w:tcW w:w="20" w:type="dxa"/>
            <w:vAlign w:val="bottom"/>
          </w:tcPr>
          <w:p>
            <w:pPr>
              <w:spacing w:after="0"/>
              <w:rPr>
                <w:sz w:val="15"/>
                <w:szCs w:val="15"/>
                <w:color w:val="auto"/>
              </w:rPr>
            </w:pPr>
          </w:p>
        </w:tc>
      </w:tr>
      <w:tr>
        <w:trPr>
          <w:trHeight w:val="230"/>
        </w:trPr>
        <w:tc>
          <w:tcPr>
            <w:tcW w:w="5260" w:type="dxa"/>
            <w:vAlign w:val="bottom"/>
          </w:tcPr>
          <w:p>
            <w:pPr>
              <w:ind w:left="46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20" w:type="dxa"/>
            <w:vAlign w:val="bottom"/>
          </w:tcPr>
          <w:p>
            <w:pPr>
              <w:spacing w:after="0"/>
              <w:rPr>
                <w:sz w:val="20"/>
                <w:szCs w:val="20"/>
                <w:color w:val="auto"/>
              </w:rPr>
            </w:pPr>
          </w:p>
        </w:tc>
      </w:tr>
      <w:tr>
        <w:trPr>
          <w:trHeight w:val="850"/>
        </w:trPr>
        <w:tc>
          <w:tcPr>
            <w:tcW w:w="5260" w:type="dxa"/>
            <w:vAlign w:val="bottom"/>
          </w:tcPr>
          <w:p>
            <w:pPr>
              <w:ind w:left="4500"/>
              <w:spacing w:after="0"/>
              <w:rPr>
                <w:sz w:val="20"/>
                <w:szCs w:val="20"/>
                <w:color w:val="auto"/>
              </w:rPr>
            </w:pPr>
            <w:r>
              <w:rPr>
                <w:rFonts w:ascii="Arial" w:cs="Arial" w:eastAsia="Arial" w:hAnsi="Arial"/>
                <w:sz w:val="18"/>
                <w:szCs w:val="18"/>
                <w:color w:val="auto"/>
              </w:rPr>
              <w:t>22</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52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160"/>
          </w:cols>
          <w:pgMar w:left="1360" w:top="125" w:right="1379" w:bottom="1440" w:gutter="0" w:footer="0" w:header="0"/>
        </w:sectPr>
      </w:pPr>
    </w:p>
    <w:bookmarkStart w:id="22" w:name="page23"/>
    <w:bookmarkEnd w:id="22"/>
    <w:p>
      <w:pPr>
        <w:jc w:val="right"/>
        <w:spacing w:after="0"/>
        <w:rPr>
          <w:sz w:val="20"/>
          <w:szCs w:val="20"/>
          <w:color w:val="auto"/>
        </w:rPr>
      </w:pPr>
      <w:r>
        <w:rPr>
          <w:rFonts w:ascii="Arial" w:cs="Arial" w:eastAsia="Arial" w:hAnsi="Arial"/>
          <w:sz w:val="20"/>
          <w:szCs w:val="20"/>
          <w:b w:val="1"/>
          <w:bCs w:val="1"/>
          <w:color w:val="auto"/>
        </w:rPr>
        <w:t>Exhibit 10.2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w:t>
      </w: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Non-transferable Grant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(“Grantee”)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Citi Trends, Inc. (the “Company”) of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______</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(the “Units”) representing the right to earn, on a one-for-one basis, shares of the Company’s</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common stock (“Shares”) , as provided herein, pursuant to and subject to the provisions of the Citi Trends 2012 Incentive Plan (the “Plan”), and to the terms and conditions set forth on the following page of this Agreement (the “Agreement”).</w:t>
      </w:r>
    </w:p>
    <w:p>
      <w:pPr>
        <w:spacing w:after="0" w:line="131" w:lineRule="exact"/>
        <w:rPr>
          <w:sz w:val="20"/>
          <w:szCs w:val="20"/>
          <w:color w:val="auto"/>
        </w:rPr>
      </w:pPr>
    </w:p>
    <w:p>
      <w:pPr>
        <w:spacing w:after="0"/>
        <w:tabs>
          <w:tab w:leader="none" w:pos="7000" w:val="left"/>
        </w:tabs>
        <w:rPr>
          <w:sz w:val="20"/>
          <w:szCs w:val="20"/>
          <w:color w:val="auto"/>
        </w:rPr>
      </w:pPr>
      <w:r>
        <w:rPr>
          <w:rFonts w:ascii="Arial" w:cs="Arial" w:eastAsia="Arial" w:hAnsi="Arial"/>
          <w:sz w:val="20"/>
          <w:szCs w:val="20"/>
          <w:color w:val="auto"/>
        </w:rPr>
        <w:t>The target number of Shares subject to this award is _____ (the “Target Award”).</w:t>
      </w:r>
      <w:r>
        <w:rPr>
          <w:sz w:val="20"/>
          <w:szCs w:val="20"/>
          <w:color w:val="auto"/>
        </w:rPr>
        <w:tab/>
      </w:r>
      <w:r>
        <w:rPr>
          <w:rFonts w:ascii="Arial" w:cs="Arial" w:eastAsia="Arial" w:hAnsi="Arial"/>
          <w:sz w:val="19"/>
          <w:szCs w:val="19"/>
          <w:color w:val="auto"/>
        </w:rPr>
        <w:t>Depending on the Company’s level of</w:t>
      </w:r>
    </w:p>
    <w:p>
      <w:pPr>
        <w:jc w:val="both"/>
        <w:spacing w:after="0" w:line="209" w:lineRule="auto"/>
        <w:rPr>
          <w:sz w:val="20"/>
          <w:szCs w:val="20"/>
          <w:color w:val="auto"/>
        </w:rPr>
      </w:pPr>
      <w:r>
        <w:rPr>
          <w:rFonts w:ascii="Arial" w:cs="Arial" w:eastAsia="Arial" w:hAnsi="Arial"/>
          <w:sz w:val="20"/>
          <w:szCs w:val="20"/>
          <w:color w:val="auto"/>
        </w:rPr>
        <w:t xml:space="preserve">attainment of achievement Adjusted EBIT (as defined in Section 14 of the terms and conditions of this Agreement) for the fiscal year ended February 4, 2023 (“fiscal 2022”)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and subject to Grantee’s remaining in Continuous Service with the Company through such date, Grantee may earn and vest in between 0% and 200% of the Target Award, subject to the terms and conditions of this Agreement.</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By accepting the Units, Grantee shall be deemed to have agreed to the terms and conditions of this Agreement and the Plan. Capitalized terms used herein and not otherwise defined shall have the meanings assigned to such terms in the Plan.</w:t>
      </w:r>
    </w:p>
    <w:p>
      <w:pPr>
        <w:spacing w:after="0" w:line="130" w:lineRule="exact"/>
        <w:rPr>
          <w:sz w:val="20"/>
          <w:szCs w:val="20"/>
          <w:color w:val="auto"/>
        </w:rPr>
      </w:pPr>
    </w:p>
    <w:p>
      <w:pPr>
        <w:jc w:val="center"/>
        <w:ind w:left="860" w:right="140"/>
        <w:spacing w:after="0" w:line="229" w:lineRule="auto"/>
        <w:rPr>
          <w:sz w:val="20"/>
          <w:szCs w:val="20"/>
          <w:color w:val="auto"/>
        </w:rPr>
      </w:pPr>
      <w:r>
        <w:rPr>
          <w:rFonts w:ascii="Arial" w:cs="Arial" w:eastAsia="Arial" w:hAnsi="Arial"/>
          <w:sz w:val="20"/>
          <w:szCs w:val="20"/>
          <w:color w:val="auto"/>
        </w:rPr>
        <w:t>IN WITNESS WHEREOF, the Company, acting by and through its duly authorized officers, has caused this Agreement to be duly executed.</w:t>
      </w:r>
    </w:p>
    <w:p>
      <w:pPr>
        <w:spacing w:after="0" w:line="149"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 xml:space="preserve">Grant Date of Award: </w:t>
      </w:r>
      <w:r>
        <w:rPr>
          <w:rFonts w:ascii="Arial" w:cs="Arial" w:eastAsia="Arial" w:hAnsi="Arial"/>
          <w:sz w:val="20"/>
          <w:szCs w:val="20"/>
          <w:b w:val="1"/>
          <w:bCs w:val="1"/>
          <w:u w:val="single" w:color="auto"/>
          <w:color w:val="auto"/>
        </w:rPr>
        <w:t>March 10, 2020</w:t>
      </w:r>
    </w:p>
    <w:p>
      <w:pPr>
        <w:spacing w:after="0" w:line="154"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CITI TRENDS, INC.</w:t>
      </w:r>
    </w:p>
    <w:p>
      <w:pPr>
        <w:spacing w:after="0" w:line="137"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By:</w:t>
      </w:r>
    </w:p>
    <w:p>
      <w:pPr>
        <w:ind w:left="5360"/>
        <w:spacing w:after="0"/>
        <w:rPr>
          <w:sz w:val="20"/>
          <w:szCs w:val="20"/>
          <w:color w:val="auto"/>
        </w:rPr>
      </w:pPr>
      <w:r>
        <w:rPr>
          <w:rFonts w:ascii="Arial" w:cs="Arial" w:eastAsia="Arial" w:hAnsi="Arial"/>
          <w:sz w:val="20"/>
          <w:szCs w:val="20"/>
          <w:color w:val="auto"/>
        </w:rPr>
        <w:t>David Makuen,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-144780</wp:posOffset>
            </wp:positionV>
            <wp:extent cx="2425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425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746125</wp:posOffset>
            </wp:positionV>
            <wp:extent cx="64808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104" w:right="8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TERMS AND CONDITIONS</w:t>
      </w:r>
    </w:p>
    <w:p>
      <w:pPr>
        <w:spacing w:after="0" w:line="91" w:lineRule="exact"/>
        <w:rPr>
          <w:sz w:val="20"/>
          <w:szCs w:val="20"/>
          <w:color w:val="auto"/>
        </w:rPr>
      </w:pPr>
    </w:p>
    <w:p>
      <w:pPr>
        <w:jc w:val="both"/>
        <w:ind w:firstLine="1"/>
        <w:spacing w:after="0" w:line="235" w:lineRule="auto"/>
        <w:tabs>
          <w:tab w:leader="none" w:pos="202"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Grant of Units</w:t>
      </w:r>
      <w:r>
        <w:rPr>
          <w:rFonts w:ascii="Arial" w:cs="Arial" w:eastAsia="Arial" w:hAnsi="Arial"/>
          <w:sz w:val="15"/>
          <w:szCs w:val="15"/>
          <w:color w:val="auto"/>
        </w:rPr>
        <w:t>. The Company hereby grants to Grantee, subject to the restrictions and the terms and conditions set forth in the Plan and in this Agreement, the number of Units indicated on page 1 hereof which represent the right to receive shares of the Company’s Stock.</w:t>
      </w:r>
    </w:p>
    <w:p>
      <w:pPr>
        <w:spacing w:after="0" w:line="66" w:lineRule="exact"/>
        <w:rPr>
          <w:rFonts w:ascii="Arial" w:cs="Arial" w:eastAsia="Arial" w:hAnsi="Arial"/>
          <w:sz w:val="15"/>
          <w:szCs w:val="15"/>
          <w:color w:val="auto"/>
        </w:rPr>
      </w:pPr>
    </w:p>
    <w:p>
      <w:pPr>
        <w:jc w:val="both"/>
        <w:ind w:firstLine="1"/>
        <w:spacing w:after="0" w:line="222" w:lineRule="auto"/>
        <w:tabs>
          <w:tab w:leader="none" w:pos="20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Vesting of Units</w:t>
      </w:r>
      <w:r>
        <w:rPr>
          <w:rFonts w:ascii="Arial" w:cs="Arial" w:eastAsia="Arial" w:hAnsi="Arial"/>
          <w:sz w:val="16"/>
          <w:szCs w:val="16"/>
          <w:color w:val="auto"/>
        </w:rPr>
        <w:t>. The Units have been credited to a bookkeeping account on behalf of Grantee. The Units will vest and become non-forfeitable on the earliest to occur of the following (each, a “Vesting Date”):</w:t>
      </w:r>
    </w:p>
    <w:p>
      <w:pPr>
        <w:spacing w:after="0" w:line="67" w:lineRule="exact"/>
        <w:rPr>
          <w:sz w:val="20"/>
          <w:szCs w:val="20"/>
          <w:color w:val="auto"/>
        </w:rPr>
      </w:pPr>
    </w:p>
    <w:p>
      <w:pPr>
        <w:jc w:val="both"/>
        <w:ind w:firstLine="1"/>
        <w:spacing w:after="0" w:line="232" w:lineRule="auto"/>
        <w:tabs>
          <w:tab w:leader="none" w:pos="409"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as to the number of Units earned based on the Company’s level of attainment of achievement Adjusted EBIT fiscal 2022 as set forth on </w:t>
      </w:r>
      <w:r>
        <w:rPr>
          <w:rFonts w:ascii="Arial" w:cs="Arial" w:eastAsia="Arial" w:hAnsi="Arial"/>
          <w:sz w:val="15"/>
          <w:szCs w:val="15"/>
          <w:u w:val="single" w:color="auto"/>
          <w:color w:val="auto"/>
        </w:rPr>
        <w:t>Exhibit</w:t>
      </w:r>
      <w:r>
        <w:rPr>
          <w:rFonts w:ascii="Arial" w:cs="Arial" w:eastAsia="Arial" w:hAnsi="Arial"/>
          <w:sz w:val="15"/>
          <w:szCs w:val="15"/>
          <w:color w:val="auto"/>
        </w:rPr>
        <w:t xml:space="preserve"> </w:t>
      </w:r>
      <w:r>
        <w:rPr>
          <w:rFonts w:ascii="Arial" w:cs="Arial" w:eastAsia="Arial" w:hAnsi="Arial"/>
          <w:sz w:val="15"/>
          <w:szCs w:val="15"/>
          <w:u w:val="single" w:color="auto"/>
          <w:color w:val="auto"/>
        </w:rPr>
        <w:t>A</w:t>
      </w:r>
      <w:r>
        <w:rPr>
          <w:rFonts w:ascii="Arial" w:cs="Arial" w:eastAsia="Arial" w:hAnsi="Arial"/>
          <w:sz w:val="15"/>
          <w:szCs w:val="15"/>
          <w:color w:val="auto"/>
        </w:rPr>
        <w:t>, on the date of the Company’s earnings release for fiscal 2022, subject to either (i) Grantee’s Continuous Service with the Company through such date, or (ii) termination of Grantee’s Continuous Service prior to such date by reason of Grantee’s death or Disability;</w:t>
      </w:r>
    </w:p>
    <w:p>
      <w:pPr>
        <w:spacing w:after="0" w:line="65" w:lineRule="exact"/>
        <w:rPr>
          <w:rFonts w:ascii="Arial" w:cs="Arial" w:eastAsia="Arial" w:hAnsi="Arial"/>
          <w:sz w:val="15"/>
          <w:szCs w:val="15"/>
          <w:color w:val="auto"/>
        </w:rPr>
      </w:pPr>
    </w:p>
    <w:p>
      <w:pPr>
        <w:jc w:val="both"/>
        <w:ind w:firstLine="1"/>
        <w:spacing w:after="0" w:line="234" w:lineRule="auto"/>
        <w:tabs>
          <w:tab w:leader="none" w:pos="363"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 to the number of Units equal to the Target Award, on the occurrence of a Change in Control, unless the Units are assumed by the surviving entity or otherwise equitably converted or substituted in connection with the Change in Control, and subject to Grantee’s Continuous Service on the date of the Change in Control; or</w:t>
      </w:r>
    </w:p>
    <w:p>
      <w:pPr>
        <w:spacing w:after="0" w:line="64" w:lineRule="exact"/>
        <w:rPr>
          <w:rFonts w:ascii="Arial" w:cs="Arial" w:eastAsia="Arial" w:hAnsi="Arial"/>
          <w:sz w:val="15"/>
          <w:szCs w:val="15"/>
          <w:color w:val="auto"/>
        </w:rPr>
      </w:pPr>
    </w:p>
    <w:p>
      <w:pPr>
        <w:jc w:val="both"/>
        <w:ind w:firstLine="1"/>
        <w:spacing w:after="0" w:line="248" w:lineRule="auto"/>
        <w:tabs>
          <w:tab w:leader="none" w:pos="354"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to the number of Units equal to the Target Award, if the Units are assumed by the surviving entity or otherwise equitably converted or substituted in connection with a Change in Control, on the termination of Grantee’s employment by the Company without Cause (or Grantee’s resignation for Good Reason as provided in any employment, severance or similar agreement between Grantee and the Company or an Affiliate) within twelve (12) months after the effective date of the Change in Control.</w:t>
      </w:r>
    </w:p>
    <w:p>
      <w:pPr>
        <w:spacing w:after="0" w:line="6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Any Units that fail to vest in accordance with the terms of this Agreement will be forfeited and reconveyed to the Company without further consideration or any act or action by Grantee.</w:t>
      </w:r>
    </w:p>
    <w:p>
      <w:pPr>
        <w:spacing w:after="0" w:line="63" w:lineRule="exact"/>
        <w:rPr>
          <w:sz w:val="20"/>
          <w:szCs w:val="20"/>
          <w:color w:val="auto"/>
        </w:rPr>
      </w:pPr>
    </w:p>
    <w:p>
      <w:pPr>
        <w:jc w:val="both"/>
        <w:ind w:firstLine="1"/>
        <w:spacing w:after="0" w:line="219" w:lineRule="auto"/>
        <w:tabs>
          <w:tab w:leader="none" w:pos="25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Termination of Continuous Service</w:t>
      </w:r>
      <w:r>
        <w:rPr>
          <w:rFonts w:ascii="Arial" w:cs="Arial" w:eastAsia="Arial" w:hAnsi="Arial"/>
          <w:sz w:val="16"/>
          <w:szCs w:val="16"/>
          <w:color w:val="auto"/>
        </w:rPr>
        <w:t>. If Grantee’s employment is terminated for any reason other than death or Disability prior to the Vesting Date, then all of the Units will be forfeited and reconveyed to the Company on the date of termination without further consideration or any act or action by Grantee.</w:t>
      </w:r>
    </w:p>
    <w:p>
      <w:pPr>
        <w:spacing w:after="0" w:line="66" w:lineRule="exact"/>
        <w:rPr>
          <w:rFonts w:ascii="Arial" w:cs="Arial" w:eastAsia="Arial" w:hAnsi="Arial"/>
          <w:sz w:val="16"/>
          <w:szCs w:val="16"/>
          <w:color w:val="auto"/>
        </w:rPr>
      </w:pPr>
    </w:p>
    <w:p>
      <w:pPr>
        <w:jc w:val="both"/>
        <w:ind w:firstLine="1"/>
        <w:spacing w:after="0" w:line="231" w:lineRule="auto"/>
        <w:tabs>
          <w:tab w:leader="none" w:pos="270"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Conversion to Stock</w:t>
      </w:r>
      <w:r>
        <w:rPr>
          <w:rFonts w:ascii="Arial" w:cs="Arial" w:eastAsia="Arial" w:hAnsi="Arial"/>
          <w:sz w:val="15"/>
          <w:szCs w:val="15"/>
          <w:color w:val="auto"/>
        </w:rPr>
        <w:t>. Unless the Units are forfeited prior to the Vesting Date as provided in section 3 above, the Units will be converted on the Vesting Date to actual shares of Stock, and such Shares will be registered on the books of the Company in the name of Grantee (or in street name to Grantee’s brokerage account) as of the Vesting Date in uncertificated (book-entry) form unless Grantee requests a stock certificate or certificates for the Shares.</w:t>
      </w:r>
    </w:p>
    <w:p>
      <w:pPr>
        <w:spacing w:after="0" w:line="20" w:lineRule="exact"/>
        <w:rPr>
          <w:sz w:val="20"/>
          <w:szCs w:val="20"/>
          <w:color w:val="auto"/>
        </w:rPr>
      </w:pPr>
      <w:r>
        <w:rPr>
          <w:sz w:val="20"/>
          <w:szCs w:val="20"/>
          <w:color w:val="auto"/>
        </w:rPr>
        <w:br w:type="column"/>
      </w:r>
    </w:p>
    <w:p>
      <w:pPr>
        <w:jc w:val="both"/>
        <w:ind w:firstLine="3"/>
        <w:spacing w:after="0" w:line="246" w:lineRule="auto"/>
        <w:tabs>
          <w:tab w:leader="none" w:pos="162"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Dividend Rights</w:t>
      </w:r>
      <w:r>
        <w:rPr>
          <w:rFonts w:ascii="Arial" w:cs="Arial" w:eastAsia="Arial" w:hAnsi="Arial"/>
          <w:sz w:val="14"/>
          <w:szCs w:val="14"/>
          <w:color w:val="auto"/>
        </w:rPr>
        <w:t>. Grantee shall accrue cash and non-cash dividends, if any, paid with respect to the Stock, but the payment of such dividends shall be deferred and held (without interest) by the Company for the account of Grantee until the expiration of the restrictions set forth in this award agreement. Such dividends shall be subject to the same vesting restrictions as the Stock to which they relate. Accrued dividends deferred and held pursuant to the foregoing provision shall be paid by the Company to the Grantee promptly upon the expiration of the restrictions set forth in this award agreement (and in any event within 30 days of the date of such expiration).</w:t>
      </w:r>
    </w:p>
    <w:p>
      <w:pPr>
        <w:spacing w:after="0" w:line="64" w:lineRule="exact"/>
        <w:rPr>
          <w:rFonts w:ascii="Arial" w:cs="Arial" w:eastAsia="Arial" w:hAnsi="Arial"/>
          <w:sz w:val="14"/>
          <w:szCs w:val="14"/>
          <w:color w:val="auto"/>
        </w:rPr>
      </w:pPr>
    </w:p>
    <w:p>
      <w:pPr>
        <w:jc w:val="both"/>
        <w:ind w:firstLine="3"/>
        <w:spacing w:after="0" w:line="232" w:lineRule="auto"/>
        <w:tabs>
          <w:tab w:leader="none" w:pos="23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Restrictions on Transfer</w:t>
      </w:r>
      <w:r>
        <w:rPr>
          <w:rFonts w:ascii="Arial" w:cs="Arial" w:eastAsia="Arial" w:hAnsi="Arial"/>
          <w:sz w:val="15"/>
          <w:szCs w:val="15"/>
          <w:color w:val="auto"/>
        </w:rPr>
        <w:t>. No right or interest of Grantee in the Units may be pledged, hypothecated or otherwise encumbered to or in favor of any party other than the Company or an Affiliate, or be subjected to any lien, obligation or liability of Grantee to any other party other than the Company or an Affiliate. Units are not assignable or transferable by Grantee other than by will or the laws of descent and distribution.</w:t>
      </w:r>
    </w:p>
    <w:p>
      <w:pPr>
        <w:spacing w:after="0" w:line="65" w:lineRule="exact"/>
        <w:rPr>
          <w:rFonts w:ascii="Arial" w:cs="Arial" w:eastAsia="Arial" w:hAnsi="Arial"/>
          <w:sz w:val="15"/>
          <w:szCs w:val="15"/>
          <w:color w:val="auto"/>
        </w:rPr>
      </w:pPr>
    </w:p>
    <w:p>
      <w:pPr>
        <w:jc w:val="both"/>
        <w:ind w:firstLine="3"/>
        <w:spacing w:after="0" w:line="217" w:lineRule="auto"/>
        <w:tabs>
          <w:tab w:leader="none" w:pos="21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Limitation of Rights</w:t>
      </w:r>
      <w:r>
        <w:rPr>
          <w:rFonts w:ascii="Arial" w:cs="Arial" w:eastAsia="Arial" w:hAnsi="Arial"/>
          <w:sz w:val="16"/>
          <w:szCs w:val="16"/>
          <w:color w:val="auto"/>
        </w:rPr>
        <w:t>. The Units do not confer to Grantee or Grantee’s beneficiary any rights of a stockholder of the Company unless and until shares of Stock are in fact issued to such person in connection with the Units. Nothing in this Agreement shall interfere with or limit in any way the right of the Company to terminate Grantee’s employment at any time, nor confer upon Grantee any right to continue in the employ of the Company.</w:t>
      </w:r>
    </w:p>
    <w:p>
      <w:pPr>
        <w:spacing w:after="0" w:line="64" w:lineRule="exact"/>
        <w:rPr>
          <w:rFonts w:ascii="Arial" w:cs="Arial" w:eastAsia="Arial" w:hAnsi="Arial"/>
          <w:sz w:val="16"/>
          <w:szCs w:val="16"/>
          <w:color w:val="auto"/>
        </w:rPr>
      </w:pPr>
    </w:p>
    <w:p>
      <w:pPr>
        <w:jc w:val="both"/>
        <w:ind w:firstLine="3"/>
        <w:spacing w:after="0" w:line="227" w:lineRule="auto"/>
        <w:tabs>
          <w:tab w:leader="none" w:pos="216"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Payment of Taxes</w:t>
      </w:r>
      <w:r>
        <w:rPr>
          <w:rFonts w:ascii="Arial" w:cs="Arial" w:eastAsia="Arial" w:hAnsi="Arial"/>
          <w:sz w:val="15"/>
          <w:szCs w:val="15"/>
          <w:color w:val="auto"/>
        </w:rPr>
        <w:t>. Grantee will, no later than the date as of which the Units first become includable in Grantee’s gross income for federal income tax purposes, pay to the Company, or make other arrangements satisfactory to the Committee regarding payment of, any federal, state and local taxes of any kind required by law to be withheld with respect to such amount. To the extent not prohibited by applicable laws or regulations, Grantee may elect that any such withholding requirement be satisfied, in whole or in part, by having the Company withhold from the Units upon settlement a number of shares of Stock having a Fair Market Value on the date of withholding, equal to the minimum amount (and not any greater amount) required to be withheld for tax purposes, all in accordance with such procedures as the Committee establishes. The obligations of the Company under this Agreement will be conditional on such payment or arrangements, and the Company will, to the extent permitted by law, have the right to deduct any such taxes from the award or any payment of any kind otherwise due to Grantee.</w:t>
      </w:r>
    </w:p>
    <w:p>
      <w:pPr>
        <w:spacing w:after="0" w:line="8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Unless otherwise determined by the Committee, the withholding requirement shall be satisfied by withholding Shares having a Fair Market Value on the date of withholding equal to the amount required to be withheld in accordance with applicable tax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615315</wp:posOffset>
            </wp:positionV>
            <wp:extent cx="64808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 w:hanging="1"/>
        <w:spacing w:after="0" w:line="232" w:lineRule="auto"/>
        <w:tabs>
          <w:tab w:leader="none" w:pos="298"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The Committee may amend, modify or terminate this Certificate without approval of Grantee; provided, however, that such amendment, modification or termination shall not, without Grantee’s consent, reduce or diminish the value of this award determined as if it had been fully vested (i.e., as if all restrictions on the Units hereunder had expired) on the date of such amendment or termination.</w:t>
      </w:r>
    </w:p>
    <w:p>
      <w:pPr>
        <w:spacing w:after="0" w:line="64" w:lineRule="exact"/>
        <w:rPr>
          <w:rFonts w:ascii="Arial" w:cs="Arial" w:eastAsia="Arial" w:hAnsi="Arial"/>
          <w:sz w:val="15"/>
          <w:szCs w:val="15"/>
          <w:color w:val="auto"/>
        </w:rPr>
      </w:pPr>
    </w:p>
    <w:p>
      <w:pPr>
        <w:jc w:val="both"/>
        <w:ind w:left="1" w:hanging="1"/>
        <w:spacing w:after="0" w:line="233" w:lineRule="auto"/>
        <w:tabs>
          <w:tab w:leader="none" w:pos="433"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Plan Controls</w:t>
      </w:r>
      <w:r>
        <w:rPr>
          <w:rFonts w:ascii="Arial" w:cs="Arial" w:eastAsia="Arial" w:hAnsi="Arial"/>
          <w:sz w:val="15"/>
          <w:szCs w:val="15"/>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64" w:lineRule="exact"/>
        <w:rPr>
          <w:rFonts w:ascii="Arial" w:cs="Arial" w:eastAsia="Arial" w:hAnsi="Arial"/>
          <w:sz w:val="15"/>
          <w:szCs w:val="15"/>
          <w:color w:val="auto"/>
        </w:rPr>
      </w:pPr>
    </w:p>
    <w:p>
      <w:pPr>
        <w:jc w:val="both"/>
        <w:ind w:left="1" w:hanging="1"/>
        <w:spacing w:after="0" w:line="225" w:lineRule="auto"/>
        <w:tabs>
          <w:tab w:leader="none" w:pos="29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be binding upon any successor of the Company, in accordance with the terms of this Agreement and the Plan.</w:t>
      </w:r>
    </w:p>
    <w:p>
      <w:pPr>
        <w:spacing w:after="0" w:line="66" w:lineRule="exact"/>
        <w:rPr>
          <w:rFonts w:ascii="Arial" w:cs="Arial" w:eastAsia="Arial" w:hAnsi="Arial"/>
          <w:sz w:val="16"/>
          <w:szCs w:val="16"/>
          <w:color w:val="auto"/>
        </w:rPr>
      </w:pPr>
    </w:p>
    <w:p>
      <w:pPr>
        <w:jc w:val="both"/>
        <w:ind w:left="1" w:hanging="1"/>
        <w:spacing w:after="0" w:line="235" w:lineRule="auto"/>
        <w:tabs>
          <w:tab w:leader="none" w:pos="379"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66" w:lineRule="exact"/>
        <w:rPr>
          <w:rFonts w:ascii="Arial" w:cs="Arial" w:eastAsia="Arial" w:hAnsi="Arial"/>
          <w:sz w:val="15"/>
          <w:szCs w:val="15"/>
          <w:color w:val="auto"/>
        </w:rPr>
      </w:pPr>
    </w:p>
    <w:p>
      <w:pPr>
        <w:jc w:val="both"/>
        <w:ind w:left="1" w:hanging="1"/>
        <w:spacing w:after="0" w:line="228" w:lineRule="auto"/>
        <w:tabs>
          <w:tab w:leader="none" w:pos="284"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Notices and communications under this Agreement must be in writing and either personally delivered or sent by registered or certified United States mail, return receipt requested, postage prepaid. Notices to the Company must be addressed to Citi Trends, Inc.,</w:t>
      </w:r>
    </w:p>
    <w:p>
      <w:pPr>
        <w:spacing w:after="0" w:line="2" w:lineRule="exact"/>
        <w:rPr>
          <w:rFonts w:ascii="Arial" w:cs="Arial" w:eastAsia="Arial" w:hAnsi="Arial"/>
          <w:sz w:val="15"/>
          <w:szCs w:val="15"/>
          <w:color w:val="auto"/>
        </w:rPr>
      </w:pPr>
    </w:p>
    <w:p>
      <w:pPr>
        <w:jc w:val="both"/>
        <w:ind w:left="1" w:hanging="1"/>
        <w:spacing w:after="0" w:line="231" w:lineRule="auto"/>
        <w:tabs>
          <w:tab w:leader="none" w:pos="316"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Coleman Blvd. Savannah, GA 31408,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65" w:lineRule="exact"/>
        <w:rPr>
          <w:rFonts w:ascii="Arial" w:cs="Arial" w:eastAsia="Arial" w:hAnsi="Arial"/>
          <w:sz w:val="15"/>
          <w:szCs w:val="15"/>
          <w:color w:val="auto"/>
        </w:rPr>
      </w:pPr>
    </w:p>
    <w:p>
      <w:pPr>
        <w:jc w:val="both"/>
        <w:ind w:left="1" w:hanging="1"/>
        <w:spacing w:after="0" w:line="247" w:lineRule="auto"/>
        <w:tabs>
          <w:tab w:leader="none" w:pos="244" w:val="left"/>
        </w:tabs>
        <w:numPr>
          <w:ilvl w:val="0"/>
          <w:numId w:val="26"/>
        </w:numPr>
        <w:rPr>
          <w:rFonts w:ascii="Arial" w:cs="Arial" w:eastAsia="Arial" w:hAnsi="Arial"/>
          <w:sz w:val="14"/>
          <w:szCs w:val="14"/>
          <w:color w:val="auto"/>
        </w:rPr>
      </w:pPr>
      <w:r>
        <w:rPr>
          <w:rFonts w:ascii="Arial" w:cs="Arial" w:eastAsia="Arial" w:hAnsi="Arial"/>
          <w:sz w:val="14"/>
          <w:szCs w:val="14"/>
          <w:u w:val="single" w:color="auto"/>
          <w:color w:val="auto"/>
        </w:rPr>
        <w:t>Definition of Adjusted EBIT</w:t>
      </w:r>
      <w:r>
        <w:rPr>
          <w:rFonts w:ascii="Arial" w:cs="Arial" w:eastAsia="Arial" w:hAnsi="Arial"/>
          <w:sz w:val="14"/>
          <w:szCs w:val="14"/>
          <w:color w:val="auto"/>
        </w:rPr>
        <w:t>. For purposes of this Agreement, “Adjusted EBIT” means EBIT as adjusted for certain other unusual or non-recurring items (including, but not limited to, unplanned and significant costs related to litigation, claim judgements, settlements or proxy contests). Such adjustments for unusual or non-recurring items must have also been approved as adjustments by the Committee for the calculation of bonuses under management’s annual cash incentive program for the fiscal year under which Adjusted EBIT is being calculated for this Agreement.</w:t>
      </w:r>
    </w:p>
    <w:p>
      <w:pPr>
        <w:sectPr>
          <w:pgSz w:w="11900" w:h="16838" w:orient="portrait"/>
          <w:cols w:equalWidth="0" w:num="3">
            <w:col w:w="3280" w:space="160"/>
            <w:col w:w="3300" w:space="159"/>
            <w:col w:w="3301"/>
          </w:cols>
          <w:pgMar w:left="840" w:top="111" w:right="8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 Matrix for Determining Number of Earned Units</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256"/>
        </w:trPr>
        <w:tc>
          <w:tcPr>
            <w:tcW w:w="3160" w:type="dxa"/>
            <w:vAlign w:val="bottom"/>
          </w:tcPr>
          <w:p>
            <w:pPr>
              <w:jc w:val="center"/>
              <w:ind w:right="461"/>
              <w:spacing w:after="0"/>
              <w:rPr>
                <w:sz w:val="20"/>
                <w:szCs w:val="20"/>
                <w:color w:val="auto"/>
              </w:rPr>
            </w:pPr>
            <w:r>
              <w:rPr>
                <w:rFonts w:ascii="Arial" w:cs="Arial" w:eastAsia="Arial" w:hAnsi="Arial"/>
                <w:sz w:val="20"/>
                <w:szCs w:val="20"/>
                <w:b w:val="1"/>
                <w:bCs w:val="1"/>
                <w:color w:val="auto"/>
                <w:w w:val="92"/>
              </w:rPr>
              <w:t>Adjusted EBIT for Fiscal 2022</w:t>
            </w:r>
          </w:p>
        </w:tc>
        <w:tc>
          <w:tcPr>
            <w:tcW w:w="3880" w:type="dxa"/>
            <w:vAlign w:val="bottom"/>
          </w:tcPr>
          <w:p>
            <w:pPr>
              <w:ind w:left="560"/>
              <w:spacing w:after="0"/>
              <w:rPr>
                <w:sz w:val="20"/>
                <w:szCs w:val="20"/>
                <w:color w:val="auto"/>
              </w:rPr>
            </w:pPr>
            <w:r>
              <w:rPr>
                <w:rFonts w:ascii="Arial" w:cs="Arial" w:eastAsia="Arial" w:hAnsi="Arial"/>
                <w:sz w:val="20"/>
                <w:szCs w:val="20"/>
                <w:b w:val="1"/>
                <w:bCs w:val="1"/>
                <w:color w:val="auto"/>
                <w:w w:val="89"/>
              </w:rPr>
              <w:t>Percentage of Target Award Earned (1)</w:t>
            </w:r>
          </w:p>
        </w:tc>
      </w:tr>
      <w:tr>
        <w:trPr>
          <w:trHeight w:val="378"/>
        </w:trPr>
        <w:tc>
          <w:tcPr>
            <w:tcW w:w="3160" w:type="dxa"/>
            <w:vAlign w:val="bottom"/>
          </w:tcPr>
          <w:p>
            <w:pPr>
              <w:jc w:val="center"/>
              <w:ind w:right="461"/>
              <w:spacing w:after="0"/>
              <w:rPr>
                <w:sz w:val="20"/>
                <w:szCs w:val="20"/>
                <w:color w:val="auto"/>
              </w:rPr>
            </w:pPr>
            <w:r>
              <w:rPr>
                <w:rFonts w:ascii="Arial" w:cs="Arial" w:eastAsia="Arial" w:hAnsi="Arial"/>
                <w:sz w:val="20"/>
                <w:szCs w:val="20"/>
                <w:color w:val="auto"/>
                <w:w w:val="88"/>
              </w:rPr>
              <w:t>Less than $29,757,000</w:t>
            </w:r>
          </w:p>
        </w:tc>
        <w:tc>
          <w:tcPr>
            <w:tcW w:w="3880" w:type="dxa"/>
            <w:vAlign w:val="bottom"/>
          </w:tcPr>
          <w:p>
            <w:pPr>
              <w:jc w:val="center"/>
              <w:ind w:left="481"/>
              <w:spacing w:after="0"/>
              <w:rPr>
                <w:sz w:val="20"/>
                <w:szCs w:val="20"/>
                <w:color w:val="auto"/>
              </w:rPr>
            </w:pPr>
            <w:r>
              <w:rPr>
                <w:rFonts w:ascii="Arial" w:cs="Arial" w:eastAsia="Arial" w:hAnsi="Arial"/>
                <w:sz w:val="20"/>
                <w:szCs w:val="20"/>
                <w:color w:val="auto"/>
                <w:w w:val="89"/>
              </w:rPr>
              <w:t>0%</w:t>
            </w:r>
          </w:p>
        </w:tc>
      </w:tr>
      <w:tr>
        <w:trPr>
          <w:trHeight w:val="378"/>
        </w:trPr>
        <w:tc>
          <w:tcPr>
            <w:tcW w:w="3160" w:type="dxa"/>
            <w:vAlign w:val="bottom"/>
          </w:tcPr>
          <w:p>
            <w:pPr>
              <w:jc w:val="center"/>
              <w:ind w:right="461"/>
              <w:spacing w:after="0"/>
              <w:rPr>
                <w:sz w:val="20"/>
                <w:szCs w:val="20"/>
                <w:color w:val="auto"/>
              </w:rPr>
            </w:pPr>
            <w:r>
              <w:rPr>
                <w:rFonts w:ascii="Arial" w:cs="Arial" w:eastAsia="Arial" w:hAnsi="Arial"/>
                <w:sz w:val="20"/>
                <w:szCs w:val="20"/>
                <w:color w:val="auto"/>
                <w:w w:val="89"/>
              </w:rPr>
              <w:t>$29,757,000</w:t>
            </w:r>
          </w:p>
        </w:tc>
        <w:tc>
          <w:tcPr>
            <w:tcW w:w="3880" w:type="dxa"/>
            <w:vAlign w:val="bottom"/>
          </w:tcPr>
          <w:p>
            <w:pPr>
              <w:jc w:val="center"/>
              <w:ind w:left="461"/>
              <w:spacing w:after="0"/>
              <w:rPr>
                <w:sz w:val="20"/>
                <w:szCs w:val="20"/>
                <w:color w:val="auto"/>
              </w:rPr>
            </w:pPr>
            <w:r>
              <w:rPr>
                <w:rFonts w:ascii="Arial" w:cs="Arial" w:eastAsia="Arial" w:hAnsi="Arial"/>
                <w:sz w:val="20"/>
                <w:szCs w:val="20"/>
                <w:color w:val="auto"/>
                <w:w w:val="89"/>
              </w:rPr>
              <w:t>50%</w:t>
            </w:r>
          </w:p>
        </w:tc>
      </w:tr>
      <w:tr>
        <w:trPr>
          <w:trHeight w:val="378"/>
        </w:trPr>
        <w:tc>
          <w:tcPr>
            <w:tcW w:w="3160" w:type="dxa"/>
            <w:vAlign w:val="bottom"/>
          </w:tcPr>
          <w:p>
            <w:pPr>
              <w:jc w:val="center"/>
              <w:ind w:right="461"/>
              <w:spacing w:after="0"/>
              <w:rPr>
                <w:sz w:val="20"/>
                <w:szCs w:val="20"/>
                <w:color w:val="auto"/>
              </w:rPr>
            </w:pPr>
            <w:r>
              <w:rPr>
                <w:rFonts w:ascii="Arial" w:cs="Arial" w:eastAsia="Arial" w:hAnsi="Arial"/>
                <w:sz w:val="20"/>
                <w:szCs w:val="20"/>
                <w:color w:val="auto"/>
                <w:w w:val="87"/>
              </w:rPr>
              <w:t>32,700,000</w:t>
            </w:r>
          </w:p>
        </w:tc>
        <w:tc>
          <w:tcPr>
            <w:tcW w:w="3880" w:type="dxa"/>
            <w:vAlign w:val="bottom"/>
          </w:tcPr>
          <w:p>
            <w:pPr>
              <w:jc w:val="center"/>
              <w:ind w:left="481"/>
              <w:spacing w:after="0"/>
              <w:rPr>
                <w:sz w:val="20"/>
                <w:szCs w:val="20"/>
                <w:color w:val="auto"/>
              </w:rPr>
            </w:pPr>
            <w:r>
              <w:rPr>
                <w:rFonts w:ascii="Arial" w:cs="Arial" w:eastAsia="Arial" w:hAnsi="Arial"/>
                <w:sz w:val="20"/>
                <w:szCs w:val="20"/>
                <w:color w:val="auto"/>
                <w:w w:val="89"/>
              </w:rPr>
              <w:t>100%</w:t>
            </w:r>
          </w:p>
        </w:tc>
      </w:tr>
      <w:tr>
        <w:trPr>
          <w:trHeight w:val="378"/>
        </w:trPr>
        <w:tc>
          <w:tcPr>
            <w:tcW w:w="3160" w:type="dxa"/>
            <w:vAlign w:val="bottom"/>
          </w:tcPr>
          <w:p>
            <w:pPr>
              <w:jc w:val="center"/>
              <w:ind w:right="461"/>
              <w:spacing w:after="0"/>
              <w:rPr>
                <w:sz w:val="20"/>
                <w:szCs w:val="20"/>
                <w:color w:val="auto"/>
              </w:rPr>
            </w:pPr>
            <w:r>
              <w:rPr>
                <w:rFonts w:ascii="Arial" w:cs="Arial" w:eastAsia="Arial" w:hAnsi="Arial"/>
                <w:sz w:val="20"/>
                <w:szCs w:val="20"/>
                <w:color w:val="auto"/>
                <w:w w:val="89"/>
              </w:rPr>
              <w:t>$44,472,000</w:t>
            </w:r>
          </w:p>
        </w:tc>
        <w:tc>
          <w:tcPr>
            <w:tcW w:w="3880" w:type="dxa"/>
            <w:vAlign w:val="bottom"/>
          </w:tcPr>
          <w:p>
            <w:pPr>
              <w:jc w:val="center"/>
              <w:ind w:left="481"/>
              <w:spacing w:after="0"/>
              <w:rPr>
                <w:sz w:val="20"/>
                <w:szCs w:val="20"/>
                <w:color w:val="auto"/>
              </w:rPr>
            </w:pPr>
            <w:r>
              <w:rPr>
                <w:rFonts w:ascii="Arial" w:cs="Arial" w:eastAsia="Arial" w:hAnsi="Arial"/>
                <w:sz w:val="20"/>
                <w:szCs w:val="20"/>
                <w:color w:val="auto"/>
                <w:w w:val="89"/>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-1108075</wp:posOffset>
            </wp:positionV>
            <wp:extent cx="5194935" cy="1208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194935" cy="1208405"/>
                    </a:xfrm>
                    <a:prstGeom prst="rect">
                      <a:avLst/>
                    </a:prstGeom>
                    <a:noFill/>
                  </pic:spPr>
                </pic:pic>
              </a:graphicData>
            </a:graphic>
          </wp:anchor>
        </w:drawing>
      </w:r>
    </w:p>
    <w:p>
      <w:pPr>
        <w:spacing w:after="0" w:line="297" w:lineRule="exact"/>
        <w:rPr>
          <w:sz w:val="20"/>
          <w:szCs w:val="20"/>
          <w:color w:val="auto"/>
        </w:rPr>
      </w:pPr>
    </w:p>
    <w:p>
      <w:pPr>
        <w:ind w:left="1400" w:hanging="841"/>
        <w:spacing w:after="0"/>
        <w:tabs>
          <w:tab w:leader="none" w:pos="1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Payouts between performance levels will be determined based on straight line interpolation.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365125</wp:posOffset>
            </wp:positionV>
            <wp:extent cx="64808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 David N. Makuen, certify that:</w:t>
      </w:r>
    </w:p>
    <w:p>
      <w:pPr>
        <w:spacing w:after="0" w:line="144" w:lineRule="exact"/>
        <w:rPr>
          <w:sz w:val="20"/>
          <w:szCs w:val="20"/>
          <w:color w:val="auto"/>
        </w:rPr>
      </w:pPr>
    </w:p>
    <w:p>
      <w:pPr>
        <w:ind w:left="720" w:hanging="676"/>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May 2, 2020 of Citi Trends, Inc.;</w:t>
      </w:r>
    </w:p>
    <w:p>
      <w:pPr>
        <w:spacing w:after="0" w:line="155" w:lineRule="exact"/>
        <w:rPr>
          <w:rFonts w:ascii="Arial" w:cs="Arial" w:eastAsia="Arial" w:hAnsi="Arial"/>
          <w:sz w:val="17"/>
          <w:szCs w:val="17"/>
          <w:color w:val="auto"/>
        </w:rPr>
      </w:pPr>
    </w:p>
    <w:p>
      <w:pPr>
        <w:ind w:left="700" w:right="299" w:hanging="656"/>
        <w:spacing w:after="0" w:line="224" w:lineRule="auto"/>
        <w:tabs>
          <w:tab w:leader="none" w:pos="7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700" w:right="199" w:hanging="656"/>
        <w:spacing w:after="0" w:line="224" w:lineRule="auto"/>
        <w:tabs>
          <w:tab w:leader="none" w:pos="7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700" w:right="179" w:hanging="656"/>
        <w:spacing w:after="0" w:line="259" w:lineRule="auto"/>
        <w:tabs>
          <w:tab w:leader="none" w:pos="72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1340" w:right="79" w:hanging="648"/>
        <w:spacing w:after="0" w:line="219" w:lineRule="auto"/>
        <w:tabs>
          <w:tab w:leader="none" w:pos="13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40" w:right="79" w:hanging="648"/>
        <w:spacing w:after="0" w:line="219" w:lineRule="auto"/>
        <w:tabs>
          <w:tab w:leader="none" w:pos="13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340" w:right="179" w:hanging="648"/>
        <w:spacing w:after="0" w:line="224" w:lineRule="auto"/>
        <w:tabs>
          <w:tab w:leader="none" w:pos="13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40" w:right="119" w:hanging="648"/>
        <w:spacing w:after="0" w:line="219" w:lineRule="auto"/>
        <w:tabs>
          <w:tab w:leader="none" w:pos="13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700" w:right="379" w:hanging="656"/>
        <w:spacing w:after="0" w:line="224" w:lineRule="auto"/>
        <w:tabs>
          <w:tab w:leader="none" w:pos="7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40" w:right="339" w:hanging="648"/>
        <w:spacing w:after="0" w:line="224" w:lineRule="auto"/>
        <w:tabs>
          <w:tab w:leader="none" w:pos="13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40" w:right="99" w:hanging="648"/>
        <w:spacing w:after="0" w:line="235" w:lineRule="auto"/>
        <w:tabs>
          <w:tab w:leader="none" w:pos="13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11, 2020</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30429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40"/>
        <w:spacing w:after="0" w:line="203" w:lineRule="auto"/>
        <w:rPr>
          <w:sz w:val="20"/>
          <w:szCs w:val="20"/>
          <w:color w:val="auto"/>
        </w:rPr>
      </w:pPr>
      <w:r>
        <w:rPr>
          <w:rFonts w:ascii="Arial" w:cs="Arial" w:eastAsia="Arial" w:hAnsi="Arial"/>
          <w:sz w:val="18"/>
          <w:szCs w:val="18"/>
          <w:color w:val="auto"/>
        </w:rPr>
        <w:t>David N. Makuen</w:t>
      </w:r>
    </w:p>
    <w:p>
      <w:pPr>
        <w:ind w:left="4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6" w:name="page27"/>
    <w:bookmarkEnd w:id="2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 Jason B. Moschner, certify that:</w:t>
      </w:r>
    </w:p>
    <w:p>
      <w:pPr>
        <w:spacing w:after="0" w:line="144" w:lineRule="exact"/>
        <w:rPr>
          <w:sz w:val="20"/>
          <w:szCs w:val="20"/>
          <w:color w:val="auto"/>
        </w:rPr>
      </w:pPr>
    </w:p>
    <w:p>
      <w:pPr>
        <w:ind w:left="720" w:hanging="676"/>
        <w:spacing w:after="0"/>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May 2, 2020 of Citi Trends, Inc.;</w:t>
      </w:r>
    </w:p>
    <w:p>
      <w:pPr>
        <w:spacing w:after="0" w:line="155" w:lineRule="exact"/>
        <w:rPr>
          <w:rFonts w:ascii="Arial" w:cs="Arial" w:eastAsia="Arial" w:hAnsi="Arial"/>
          <w:sz w:val="17"/>
          <w:szCs w:val="17"/>
          <w:color w:val="auto"/>
        </w:rPr>
      </w:pPr>
    </w:p>
    <w:p>
      <w:pPr>
        <w:ind w:left="700" w:right="299" w:hanging="656"/>
        <w:spacing w:after="0" w:line="224" w:lineRule="auto"/>
        <w:tabs>
          <w:tab w:leader="none" w:pos="7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700" w:right="199" w:hanging="656"/>
        <w:spacing w:after="0" w:line="224" w:lineRule="auto"/>
        <w:tabs>
          <w:tab w:leader="none" w:pos="7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700" w:right="179" w:hanging="656"/>
        <w:spacing w:after="0" w:line="259" w:lineRule="auto"/>
        <w:tabs>
          <w:tab w:leader="none" w:pos="72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1340" w:right="79" w:hanging="648"/>
        <w:spacing w:after="0" w:line="219" w:lineRule="auto"/>
        <w:tabs>
          <w:tab w:leader="none" w:pos="137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40" w:right="79" w:hanging="648"/>
        <w:spacing w:after="0" w:line="219" w:lineRule="auto"/>
        <w:tabs>
          <w:tab w:leader="none" w:pos="13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340" w:right="179" w:hanging="648"/>
        <w:spacing w:after="0" w:line="224" w:lineRule="auto"/>
        <w:tabs>
          <w:tab w:leader="none" w:pos="1372"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40" w:right="119" w:hanging="648"/>
        <w:spacing w:after="0" w:line="219" w:lineRule="auto"/>
        <w:tabs>
          <w:tab w:leader="none" w:pos="13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700" w:right="379" w:hanging="656"/>
        <w:spacing w:after="0" w:line="224" w:lineRule="auto"/>
        <w:tabs>
          <w:tab w:leader="none" w:pos="7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40" w:right="339" w:hanging="648"/>
        <w:spacing w:after="0" w:line="224" w:lineRule="auto"/>
        <w:tabs>
          <w:tab w:leader="none" w:pos="137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40" w:right="99" w:hanging="648"/>
        <w:spacing w:after="0" w:line="235" w:lineRule="auto"/>
        <w:tabs>
          <w:tab w:leader="none" w:pos="13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11, 2020</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/s/ Jason B. Moschner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30346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ind w:left="40"/>
        <w:spacing w:after="0" w:line="232" w:lineRule="auto"/>
        <w:rPr>
          <w:sz w:val="20"/>
          <w:szCs w:val="20"/>
          <w:color w:val="auto"/>
        </w:rPr>
      </w:pPr>
      <w:r>
        <w:rPr>
          <w:rFonts w:ascii="Arial" w:cs="Arial" w:eastAsia="Arial" w:hAnsi="Arial"/>
          <w:sz w:val="18"/>
          <w:szCs w:val="18"/>
          <w:color w:val="231F20"/>
        </w:rPr>
        <w:t>Jason B. Moschner</w:t>
      </w:r>
    </w:p>
    <w:p>
      <w:pPr>
        <w:ind w:left="40"/>
        <w:spacing w:after="0" w:line="219" w:lineRule="auto"/>
        <w:rPr>
          <w:sz w:val="20"/>
          <w:szCs w:val="20"/>
          <w:color w:val="auto"/>
        </w:rPr>
      </w:pPr>
      <w:r>
        <w:rPr>
          <w:rFonts w:ascii="Arial" w:cs="Arial" w:eastAsia="Arial" w:hAnsi="Arial"/>
          <w:sz w:val="18"/>
          <w:szCs w:val="18"/>
          <w:color w:val="231F20"/>
        </w:rPr>
        <w:t>Vice President of Finance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450215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Certifications pursuant to Section 906 of the Sarbanes-Oxley Act of 2002 (18 U.S.C. § 1350, as adopted).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David N. Makuen, Chief Executive Officer of Citi Trends,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Jason B. Moschner, Vice President of Finance of Citi Trends, Inc., certify that:</w:t>
      </w:r>
    </w:p>
    <w:p>
      <w:pPr>
        <w:spacing w:after="0" w:line="144" w:lineRule="exact"/>
        <w:rPr>
          <w:sz w:val="20"/>
          <w:szCs w:val="20"/>
          <w:color w:val="auto"/>
        </w:rPr>
      </w:pPr>
    </w:p>
    <w:p>
      <w:pPr>
        <w:ind w:left="220" w:hanging="176"/>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reviewed this quarterly report on Form 10-Q of Citi Trends, Inc. for the period ended May 2, 2020;</w:t>
      </w:r>
    </w:p>
    <w:p>
      <w:pPr>
        <w:spacing w:after="0" w:line="144" w:lineRule="exact"/>
        <w:rPr>
          <w:rFonts w:ascii="Arial" w:cs="Arial" w:eastAsia="Arial" w:hAnsi="Arial"/>
          <w:sz w:val="18"/>
          <w:szCs w:val="18"/>
          <w:color w:val="auto"/>
        </w:rPr>
      </w:pPr>
    </w:p>
    <w:p>
      <w:pPr>
        <w:ind w:left="40" w:right="179" w:firstLine="4"/>
        <w:spacing w:after="0" w:line="235"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our knowledge, this quarterly report fully complies with the requirements of Section 13(a) or Section 15(d) of the Securities Exchange Act of 1934, as amended; and</w:t>
      </w:r>
    </w:p>
    <w:p>
      <w:pPr>
        <w:spacing w:after="0" w:line="121" w:lineRule="exact"/>
        <w:rPr>
          <w:rFonts w:ascii="Arial" w:cs="Arial" w:eastAsia="Arial" w:hAnsi="Arial"/>
          <w:sz w:val="18"/>
          <w:szCs w:val="18"/>
          <w:color w:val="auto"/>
        </w:rPr>
      </w:pPr>
    </w:p>
    <w:p>
      <w:pPr>
        <w:ind w:left="40" w:right="79" w:firstLine="4"/>
        <w:spacing w:after="0" w:line="224"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11, 2020</w:t>
      </w:r>
    </w:p>
    <w:p>
      <w:pPr>
        <w:spacing w:after="0" w:line="31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-635</wp:posOffset>
            </wp:positionV>
            <wp:extent cx="29832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ind w:left="4260"/>
        <w:spacing w:after="0" w:line="203" w:lineRule="auto"/>
        <w:rPr>
          <w:sz w:val="20"/>
          <w:szCs w:val="20"/>
          <w:color w:val="auto"/>
        </w:rPr>
      </w:pPr>
      <w:r>
        <w:rPr>
          <w:rFonts w:ascii="Arial" w:cs="Arial" w:eastAsia="Arial" w:hAnsi="Arial"/>
          <w:sz w:val="18"/>
          <w:szCs w:val="18"/>
          <w:color w:val="auto"/>
        </w:rPr>
        <w:t>David N. Makuen</w:t>
      </w:r>
    </w:p>
    <w:p>
      <w:pPr>
        <w:ind w:left="426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Executive Officer)</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11, 2020</w:t>
      </w:r>
    </w:p>
    <w:p>
      <w:pPr>
        <w:spacing w:after="0" w:line="31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 Jason B. Moschner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-635</wp:posOffset>
            </wp:positionV>
            <wp:extent cx="29832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ind w:left="4260"/>
        <w:spacing w:after="0" w:line="203" w:lineRule="auto"/>
        <w:rPr>
          <w:sz w:val="20"/>
          <w:szCs w:val="20"/>
          <w:color w:val="auto"/>
        </w:rPr>
      </w:pPr>
      <w:r>
        <w:rPr>
          <w:rFonts w:ascii="Arial" w:cs="Arial" w:eastAsia="Arial" w:hAnsi="Arial"/>
          <w:sz w:val="18"/>
          <w:szCs w:val="18"/>
          <w:color w:val="auto"/>
        </w:rPr>
        <w:t>Jason B. Moschner</w:t>
      </w:r>
    </w:p>
    <w:p>
      <w:pPr>
        <w:ind w:left="4260"/>
        <w:spacing w:after="0" w:line="203" w:lineRule="auto"/>
        <w:rPr>
          <w:sz w:val="20"/>
          <w:szCs w:val="20"/>
          <w:color w:val="auto"/>
        </w:rPr>
      </w:pPr>
      <w:r>
        <w:rPr>
          <w:rFonts w:ascii="Arial" w:cs="Arial" w:eastAsia="Arial" w:hAnsi="Arial"/>
          <w:sz w:val="18"/>
          <w:szCs w:val="18"/>
          <w:color w:val="auto"/>
        </w:rPr>
        <w:t>Vice President of Finance</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Financial and Accounting Officer)</w:t>
      </w:r>
    </w:p>
    <w:p>
      <w:pPr>
        <w:spacing w:after="0" w:line="304" w:lineRule="exact"/>
        <w:rPr>
          <w:sz w:val="20"/>
          <w:szCs w:val="20"/>
          <w:color w:val="auto"/>
        </w:rPr>
      </w:pPr>
    </w:p>
    <w:p>
      <w:pPr>
        <w:ind w:left="40" w:right="55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525145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7"/>
    </w:lvl>
  </w:abstractNum>
  <w:abstractNum w:abstractNumId="9">
    <w:nsid w:val="62BBD95A"/>
    <w:multiLevelType w:val="hybridMultilevel"/>
    <w:lvl w:ilvl="0">
      <w:lvlJc w:val="left"/>
      <w:lvlText w:val="%1."/>
      <w:numFmt w:val="decimal"/>
      <w:start w:val="8"/>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1."/>
      <w:numFmt w:val="decimal"/>
      <w:start w:val="10"/>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lowerRoman"/>
      <w:start w:val="2"/>
    </w:lvl>
  </w:abstractNum>
  <w:abstractNum w:abstractNumId="15">
    <w:nsid w:val="2D1D5AE9"/>
    <w:multiLevelType w:val="hybridMultilevel"/>
    <w:lvl w:ilvl="0">
      <w:lvlJc w:val="left"/>
      <w:lvlText w:val="(%1)"/>
      <w:numFmt w:val="lowerRoman"/>
      <w:start w:val="4"/>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lvl w:ilvl="1">
      <w:lvlJc w:val="left"/>
      <w:lvlText w:val="%2"/>
      <w:numFmt w:val="decimal"/>
      <w:start w:val="10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decimal"/>
      <w:start w:val="3"/>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decimal"/>
      <w:start w:val="9"/>
    </w:lvl>
  </w:abstractNum>
  <w:abstractNum w:abstractNumId="24">
    <w:nsid w:val="71F32454"/>
    <w:multiLevelType w:val="hybridMultilevel"/>
    <w:lvl w:ilvl="0">
      <w:lvlJc w:val="left"/>
      <w:lvlText w:val="%1"/>
      <w:numFmt w:val="decimal"/>
      <w:start w:val="104"/>
    </w:lvl>
  </w:abstractNum>
  <w:abstractNum w:abstractNumId="25">
    <w:nsid w:val="2CA88611"/>
    <w:multiLevelType w:val="hybridMultilevel"/>
    <w:lvl w:ilvl="0">
      <w:lvlJc w:val="left"/>
      <w:lvlText w:val="%1."/>
      <w:numFmt w:val="decimal"/>
      <w:start w:val="14"/>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33" Type="http://schemas.openxmlformats.org/officeDocument/2006/relationships/hyperlink" Target="http://www.sec.gov/Archives/edgar/data/1318484/000110465918038871/a18-15022_1ex3d1.htm" TargetMode="External"/><Relationship Id="rId34" Type="http://schemas.openxmlformats.org/officeDocument/2006/relationships/hyperlink" Target="http://www.sec.gov/Archives/edgar/data/1318484/000155837020006617/ctrn-20200201ex1028693c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2020-06-11T09:44:59Z</dcterms:created>
  <dcterms:modified xsi:type="dcterms:W3CDTF">2020-06-11T09:44:59Z</dcterms:modified>
</cp:coreProperties>
</file>