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2E74B5"/>
        </w:rPr>
      </w:pPr>
      <w:hyperlink w:anchor="page2">
        <w:r>
          <w:rPr>
            <w:rFonts w:ascii="Arial" w:cs="Arial" w:eastAsia="Arial" w:hAnsi="Arial"/>
            <w:sz w:val="20"/>
            <w:szCs w:val="20"/>
            <w:u w:val="single" w:color="auto"/>
            <w:color w:val="2E74B5"/>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379095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28" w:lineRule="exact"/>
        <w:rPr>
          <w:sz w:val="24"/>
          <w:szCs w:val="24"/>
          <w:color w:val="auto"/>
        </w:rPr>
      </w:pPr>
    </w:p>
    <w:p>
      <w:pPr>
        <w:ind w:left="3120" w:right="260" w:hanging="2860"/>
        <w:spacing w:after="0" w:line="391" w:lineRule="auto"/>
        <w:tabs>
          <w:tab w:leader="none" w:pos="67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November 2, 2019</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347" w:lineRule="exact"/>
        <w:rPr>
          <w:sz w:val="24"/>
          <w:szCs w:val="24"/>
          <w:color w:val="auto"/>
        </w:rPr>
      </w:pPr>
    </w:p>
    <w:p>
      <w:pPr>
        <w:ind w:left="3620" w:right="240" w:hanging="3360"/>
        <w:spacing w:after="0" w:line="391" w:lineRule="auto"/>
        <w:tabs>
          <w:tab w:leader="none" w:pos="68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000-51315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342" w:lineRule="exact"/>
        <w:rPr>
          <w:sz w:val="24"/>
          <w:szCs w:val="24"/>
          <w:color w:val="auto"/>
        </w:rPr>
      </w:pPr>
    </w:p>
    <w:tbl>
      <w:tblPr>
        <w:tblLayout w:type="fixed"/>
        <w:tblInd w:w="1040" w:type="dxa"/>
        <w:tblCellMar>
          <w:top w:w="0" w:type="dxa"/>
          <w:left w:w="0" w:type="dxa"/>
          <w:bottom w:w="0" w:type="dxa"/>
          <w:right w:w="0" w:type="dxa"/>
        </w:tblCellMar>
      </w:tblP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840" w:type="dxa"/>
            <w:vAlign w:val="bottom"/>
          </w:tcPr>
          <w:p>
            <w:pPr>
              <w:jc w:val="right"/>
              <w:ind w:right="130"/>
              <w:spacing w:after="0"/>
              <w:rPr>
                <w:sz w:val="20"/>
                <w:szCs w:val="20"/>
                <w:color w:val="auto"/>
              </w:rPr>
            </w:pPr>
            <w:r>
              <w:rPr>
                <w:rFonts w:ascii="Arial" w:cs="Arial" w:eastAsia="Arial" w:hAnsi="Arial"/>
                <w:sz w:val="18"/>
                <w:szCs w:val="18"/>
                <w:b w:val="1"/>
                <w:bCs w:val="1"/>
                <w:color w:val="auto"/>
              </w:rPr>
              <w:t>52-2150697</w:t>
            </w:r>
          </w:p>
        </w:tc>
      </w:tr>
      <w:tr>
        <w:trPr>
          <w:trHeight w:val="216"/>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(State or other jurisdiction of</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3"/>
              </w:rPr>
              <w:t>(I.R.S. Employer</w:t>
            </w:r>
          </w:p>
        </w:tc>
      </w:tr>
      <w:tr>
        <w:trPr>
          <w:trHeight w:val="230"/>
        </w:trPr>
        <w:tc>
          <w:tcPr>
            <w:tcW w:w="4380" w:type="dxa"/>
            <w:vAlign w:val="bottom"/>
          </w:tcPr>
          <w:p>
            <w:pPr>
              <w:jc w:val="center"/>
              <w:ind w:right="1410"/>
              <w:spacing w:after="0"/>
              <w:rPr>
                <w:sz w:val="20"/>
                <w:szCs w:val="20"/>
                <w:color w:val="auto"/>
              </w:rPr>
            </w:pPr>
            <w:r>
              <w:rPr>
                <w:rFonts w:ascii="Arial" w:cs="Arial" w:eastAsia="Arial" w:hAnsi="Arial"/>
                <w:sz w:val="18"/>
                <w:szCs w:val="18"/>
                <w:color w:val="auto"/>
                <w:w w:val="92"/>
              </w:rPr>
              <w:t>incorporation or organization)</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Identification No.)</w:t>
            </w:r>
          </w:p>
        </w:tc>
      </w:tr>
      <w:tr>
        <w:trPr>
          <w:trHeight w:val="414"/>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104 Coleman Boulevard</w:t>
            </w:r>
          </w:p>
        </w:tc>
        <w:tc>
          <w:tcPr>
            <w:tcW w:w="2840" w:type="dxa"/>
            <w:vAlign w:val="bottom"/>
          </w:tcPr>
          <w:p>
            <w:pPr>
              <w:spacing w:after="0"/>
              <w:rPr>
                <w:sz w:val="24"/>
                <w:szCs w:val="24"/>
                <w:color w:val="auto"/>
              </w:rPr>
            </w:pPr>
          </w:p>
        </w:tc>
      </w:tr>
      <w:tr>
        <w:trPr>
          <w:trHeight w:val="220"/>
        </w:trPr>
        <w:tc>
          <w:tcPr>
            <w:tcW w:w="4380" w:type="dxa"/>
            <w:vAlign w:val="bottom"/>
          </w:tcPr>
          <w:p>
            <w:pPr>
              <w:jc w:val="center"/>
              <w:ind w:right="1430"/>
              <w:spacing w:after="0"/>
              <w:rPr>
                <w:sz w:val="20"/>
                <w:szCs w:val="20"/>
                <w:color w:val="auto"/>
              </w:rPr>
            </w:pPr>
            <w:r>
              <w:rPr>
                <w:rFonts w:ascii="Arial" w:cs="Arial" w:eastAsia="Arial" w:hAnsi="Arial"/>
                <w:sz w:val="18"/>
                <w:szCs w:val="18"/>
                <w:b w:val="1"/>
                <w:bCs w:val="1"/>
                <w:color w:val="auto"/>
                <w:w w:val="89"/>
              </w:rPr>
              <w:t>Savannah, Georgia</w:t>
            </w:r>
          </w:p>
        </w:tc>
        <w:tc>
          <w:tcPr>
            <w:tcW w:w="2840" w:type="dxa"/>
            <w:vAlign w:val="bottom"/>
          </w:tcPr>
          <w:p>
            <w:pPr>
              <w:jc w:val="right"/>
              <w:ind w:right="350"/>
              <w:spacing w:after="0"/>
              <w:rPr>
                <w:sz w:val="20"/>
                <w:szCs w:val="20"/>
                <w:color w:val="auto"/>
              </w:rPr>
            </w:pPr>
            <w:r>
              <w:rPr>
                <w:rFonts w:ascii="Arial" w:cs="Arial" w:eastAsia="Arial" w:hAnsi="Arial"/>
                <w:sz w:val="18"/>
                <w:szCs w:val="18"/>
                <w:b w:val="1"/>
                <w:bCs w:val="1"/>
                <w:color w:val="auto"/>
              </w:rPr>
              <w:t>31408</w:t>
            </w:r>
          </w:p>
        </w:tc>
      </w:tr>
      <w:tr>
        <w:trPr>
          <w:trHeight w:val="230"/>
        </w:trPr>
        <w:tc>
          <w:tcPr>
            <w:tcW w:w="4380" w:type="dxa"/>
            <w:vAlign w:val="bottom"/>
          </w:tcPr>
          <w:p>
            <w:pPr>
              <w:jc w:val="center"/>
              <w:ind w:right="1430"/>
              <w:spacing w:after="0"/>
              <w:rPr>
                <w:sz w:val="20"/>
                <w:szCs w:val="20"/>
                <w:color w:val="auto"/>
              </w:rPr>
            </w:pPr>
            <w:r>
              <w:rPr>
                <w:rFonts w:ascii="Arial" w:cs="Arial" w:eastAsia="Arial" w:hAnsi="Arial"/>
                <w:sz w:val="18"/>
                <w:szCs w:val="18"/>
                <w:color w:val="auto"/>
                <w:w w:val="92"/>
              </w:rPr>
              <w:t>(Address of principal executive offices)</w:t>
            </w:r>
          </w:p>
        </w:tc>
        <w:tc>
          <w:tcPr>
            <w:tcW w:w="2840" w:type="dxa"/>
            <w:vAlign w:val="bottom"/>
          </w:tcPr>
          <w:p>
            <w:pPr>
              <w:jc w:val="center"/>
              <w:ind w:left="143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912) 236-1561</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80" w:type="dxa"/>
            <w:vAlign w:val="bottom"/>
            <w:tcBorders>
              <w:top w:val="single" w:sz="8" w:color="auto"/>
              <w:left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27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Trading symbol</w:t>
            </w:r>
          </w:p>
        </w:tc>
        <w:tc>
          <w:tcPr>
            <w:tcW w:w="4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28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460" w:type="dxa"/>
            <w:vAlign w:val="bottom"/>
            <w:tcBorders>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CTRN</w:t>
            </w:r>
          </w:p>
        </w:tc>
        <w:tc>
          <w:tcPr>
            <w:tcW w:w="460" w:type="dxa"/>
            <w:vAlign w:val="bottom"/>
            <w:tcBorders>
              <w:bottom w:val="single" w:sz="8" w:color="auto"/>
            </w:tcBorders>
          </w:tcPr>
          <w:p>
            <w:pPr>
              <w:spacing w:after="0"/>
              <w:rPr>
                <w:sz w:val="18"/>
                <w:szCs w:val="18"/>
                <w:color w:val="auto"/>
              </w:rPr>
            </w:pP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NASDAQ Stock Market</w:t>
            </w:r>
          </w:p>
        </w:tc>
      </w:tr>
    </w:tbl>
    <w:p>
      <w:pPr>
        <w:spacing w:after="0" w:line="107"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9"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80"/>
          </w:cols>
          <w:pgMar w:left="920" w:top="231" w:right="899" w:bottom="1440" w:gutter="0" w:footer="0" w:header="0"/>
        </w:sectPr>
      </w:pPr>
    </w:p>
    <w:p>
      <w:pPr>
        <w:spacing w:after="0" w:line="14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6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2980" w:space="720"/>
            <w:col w:w="2220" w:space="720"/>
            <w:col w:w="3440"/>
          </w:cols>
          <w:pgMar w:left="920" w:top="231" w:right="89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5920" w:space="720"/>
            <w:col w:w="3440"/>
          </w:cols>
          <w:pgMar w:left="920" w:top="231" w:right="899" w:bottom="1440" w:gutter="0" w:footer="0" w:header="0"/>
          <w:type w:val="continuous"/>
        </w:sectPr>
      </w:pPr>
    </w:p>
    <w:p>
      <w:pPr>
        <w:ind w:right="2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780"/>
        <w:spacing w:after="0" w:line="30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18, 2019 the registrant had 11,650,114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274955</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300990</wp:posOffset>
            </wp:positionV>
            <wp:extent cx="6388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652780</wp:posOffset>
            </wp:positionV>
            <wp:extent cx="638873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231" w:right="899" w:bottom="1440" w:gutter="0" w:footer="0" w:header="0"/>
          <w:type w:val="continuous"/>
        </w:sectPr>
      </w:pPr>
    </w:p>
    <w:bookmarkStart w:id="1" w:name="page2"/>
    <w:bookmarkEnd w:id="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FORM 10-Q</w:t>
      </w:r>
    </w:p>
    <w:p>
      <w:pPr>
        <w:spacing w:after="0" w:line="9"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400" w:type="dxa"/>
            <w:vAlign w:val="bottom"/>
            <w:gridSpan w:val="2"/>
          </w:tcPr>
          <w:p>
            <w:pPr>
              <w:spacing w:after="0"/>
              <w:rPr>
                <w:sz w:val="17"/>
                <w:szCs w:val="17"/>
                <w:color w:val="auto"/>
              </w:rPr>
            </w:pPr>
          </w:p>
        </w:tc>
        <w:tc>
          <w:tcPr>
            <w:tcW w:w="814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r>
      <w:tr>
        <w:trPr>
          <w:trHeight w:val="345"/>
        </w:trPr>
        <w:tc>
          <w:tcPr>
            <w:tcW w:w="540" w:type="dxa"/>
            <w:vAlign w:val="bottom"/>
            <w:tcBorders>
              <w:top w:val="single" w:sz="8" w:color="0000EE"/>
            </w:tcBorders>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00" w:type="dxa"/>
            <w:vAlign w:val="bottom"/>
            <w:gridSpan w:val="2"/>
          </w:tcPr>
          <w:p>
            <w:pPr>
              <w:spacing w:after="0"/>
              <w:rPr>
                <w:sz w:val="24"/>
                <w:szCs w:val="24"/>
                <w:color w:val="auto"/>
              </w:rPr>
            </w:pPr>
          </w:p>
        </w:tc>
        <w:tc>
          <w:tcPr>
            <w:tcW w:w="2260" w:type="dxa"/>
            <w:vAlign w:val="bottom"/>
            <w:tcBorders>
              <w:top w:val="single" w:sz="8" w:color="0000EE"/>
            </w:tcBorders>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880" w:type="dxa"/>
            <w:vAlign w:val="bottom"/>
            <w:gridSpan w:val="11"/>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November 2, 2019 and February 2, 2019</w:t>
              </w:r>
            </w:hyperlink>
          </w:p>
        </w:tc>
        <w:tc>
          <w:tcPr>
            <w:tcW w:w="1340" w:type="dxa"/>
            <w:vAlign w:val="bottom"/>
            <w:gridSpan w:val="4"/>
          </w:tcPr>
          <w:p>
            <w:pPr>
              <w:spacing w:after="0"/>
              <w:rPr>
                <w:sz w:val="24"/>
                <w:szCs w:val="24"/>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Operations (unaudited) Thirty-nine weeks ended November 2,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November 3, 2018</w:t>
              </w:r>
            </w:hyperlink>
          </w:p>
        </w:tc>
        <w:tc>
          <w:tcPr>
            <w:tcW w:w="6720" w:type="dxa"/>
            <w:vAlign w:val="bottom"/>
            <w:tcBorders>
              <w:top w:val="single" w:sz="8" w:color="0000EE"/>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Thirteen weeks ended November 2,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November 3, 2018</w:t>
              </w:r>
            </w:hyperlink>
          </w:p>
        </w:tc>
        <w:tc>
          <w:tcPr>
            <w:tcW w:w="6500" w:type="dxa"/>
            <w:vAlign w:val="bottom"/>
            <w:tcBorders>
              <w:top w:val="single" w:sz="8" w:color="0000EE"/>
            </w:tcBorders>
            <w:gridSpan w:val="12"/>
          </w:tcPr>
          <w:p>
            <w:pPr>
              <w:spacing w:after="0"/>
              <w:rPr>
                <w:sz w:val="15"/>
                <w:szCs w:val="15"/>
                <w:color w:val="auto"/>
              </w:rPr>
            </w:pPr>
          </w:p>
        </w:tc>
        <w:tc>
          <w:tcPr>
            <w:tcW w:w="2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Thirty-nine weeks ended November 2, 2019 and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November 3, 2018</w:t>
              </w:r>
            </w:hyperlink>
          </w:p>
        </w:tc>
        <w:tc>
          <w:tcPr>
            <w:tcW w:w="676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345"/>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Stockholders’ Equity (unaudited) Thirty-nine and Thirteen weeks ended</w:t>
              </w:r>
            </w:hyperlink>
          </w:p>
        </w:tc>
      </w:tr>
      <w:tr>
        <w:trPr>
          <w:trHeight w:val="183"/>
        </w:trPr>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November 2, 2019 and November 3, 2018</w:t>
              </w:r>
            </w:hyperlink>
          </w:p>
        </w:tc>
        <w:tc>
          <w:tcPr>
            <w:tcW w:w="60" w:type="dxa"/>
            <w:vAlign w:val="bottom"/>
            <w:gridSpan w:val="2"/>
          </w:tcPr>
          <w:p>
            <w:pPr>
              <w:spacing w:after="0"/>
              <w:rPr>
                <w:sz w:val="15"/>
                <w:szCs w:val="15"/>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r>
      <w:tr>
        <w:trPr>
          <w:trHeight w:val="20"/>
        </w:trPr>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r>
      <w:tr>
        <w:trPr>
          <w:trHeight w:val="358"/>
        </w:trPr>
        <w:tc>
          <w:tcPr>
            <w:tcW w:w="480" w:type="dxa"/>
            <w:vAlign w:val="bottom"/>
            <w:gridSpan w:val="2"/>
          </w:tcPr>
          <w:p>
            <w:pPr>
              <w:spacing w:after="0"/>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r>
      <w:tr>
        <w:trPr>
          <w:trHeight w:val="358"/>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43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1680" w:type="dxa"/>
            <w:vAlign w:val="bottom"/>
            <w:gridSpan w:val="5"/>
          </w:tcPr>
          <w:p>
            <w:pPr>
              <w:spacing w:after="0"/>
              <w:rPr>
                <w:sz w:val="24"/>
                <w:szCs w:val="24"/>
                <w:color w:val="auto"/>
              </w:rPr>
            </w:pPr>
          </w:p>
        </w:tc>
      </w:tr>
      <w:tr>
        <w:trPr>
          <w:trHeight w:val="358"/>
        </w:trPr>
        <w:tc>
          <w:tcPr>
            <w:tcW w:w="940" w:type="dxa"/>
            <w:vAlign w:val="bottom"/>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w:t>
              </w:r>
            </w:hyperlink>
          </w:p>
        </w:tc>
        <w:tc>
          <w:tcPr>
            <w:tcW w:w="8140" w:type="dxa"/>
            <w:vAlign w:val="bottom"/>
            <w:gridSpan w:val="2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r>
      <w:tr>
        <w:trPr>
          <w:trHeight w:val="345"/>
        </w:trPr>
        <w:tc>
          <w:tcPr>
            <w:tcW w:w="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PART II</w:t>
              </w:r>
            </w:hyperlink>
          </w:p>
        </w:tc>
        <w:tc>
          <w:tcPr>
            <w:tcW w:w="3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OTHER INFORMATION</w:t>
              </w:r>
            </w:hyperlink>
          </w:p>
        </w:tc>
        <w:tc>
          <w:tcPr>
            <w:tcW w:w="6240" w:type="dxa"/>
            <w:vAlign w:val="bottom"/>
            <w:gridSpan w:val="12"/>
          </w:tcPr>
          <w:p>
            <w:pPr>
              <w:spacing w:after="0"/>
              <w:rPr>
                <w:sz w:val="24"/>
                <w:szCs w:val="24"/>
                <w:color w:val="auto"/>
              </w:rPr>
            </w:pPr>
          </w:p>
        </w:tc>
      </w:tr>
      <w:tr>
        <w:trPr>
          <w:trHeight w:val="358"/>
        </w:trPr>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1</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780" w:type="dxa"/>
            <w:vAlign w:val="bottom"/>
            <w:gridSpan w:val="8"/>
          </w:tcPr>
          <w:p>
            <w:pPr>
              <w:spacing w:after="0" w:line="20" w:lineRule="exact"/>
              <w:rPr>
                <w:sz w:val="1"/>
                <w:szCs w:val="1"/>
                <w:color w:val="auto"/>
              </w:rPr>
            </w:pPr>
          </w:p>
        </w:tc>
      </w:tr>
      <w:tr>
        <w:trPr>
          <w:trHeight w:val="358"/>
        </w:trPr>
        <w:tc>
          <w:tcPr>
            <w:tcW w:w="6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20">
              <w:r>
                <w:rPr>
                  <w:rFonts w:ascii="Arial" w:cs="Arial" w:eastAsia="Arial" w:hAnsi="Arial"/>
                  <w:sz w:val="18"/>
                  <w:szCs w:val="18"/>
                  <w:color w:val="0000EE"/>
                  <w:w w:val="93"/>
                </w:rPr>
                <w:t>Item 1A</w:t>
              </w:r>
            </w:hyperlink>
          </w:p>
        </w:tc>
        <w:tc>
          <w:tcPr>
            <w:tcW w:w="34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7220" w:type="dxa"/>
            <w:vAlign w:val="bottom"/>
            <w:gridSpan w:val="18"/>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2</w:t>
              </w:r>
            </w:hyperlink>
          </w:p>
        </w:tc>
        <w:tc>
          <w:tcPr>
            <w:tcW w:w="460" w:type="dxa"/>
            <w:vAlign w:val="bottom"/>
            <w:gridSpan w:val="3"/>
          </w:tcPr>
          <w:p>
            <w:pPr>
              <w:spacing w:after="0"/>
              <w:rPr>
                <w:sz w:val="24"/>
                <w:szCs w:val="24"/>
                <w:color w:val="auto"/>
              </w:rPr>
            </w:pPr>
          </w:p>
        </w:tc>
        <w:tc>
          <w:tcPr>
            <w:tcW w:w="43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Unregistered Sales of Equity Securities and Use of Proceeds</w:t>
              </w:r>
            </w:hyperlink>
          </w:p>
        </w:tc>
        <w:tc>
          <w:tcPr>
            <w:tcW w:w="3780" w:type="dxa"/>
            <w:vAlign w:val="bottom"/>
            <w:gridSpan w:val="8"/>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3</w:t>
              </w:r>
            </w:hyperlink>
          </w:p>
        </w:tc>
        <w:tc>
          <w:tcPr>
            <w:tcW w:w="460" w:type="dxa"/>
            <w:vAlign w:val="bottom"/>
            <w:gridSpan w:val="3"/>
          </w:tcPr>
          <w:p>
            <w:pPr>
              <w:spacing w:after="0"/>
              <w:rPr>
                <w:sz w:val="24"/>
                <w:szCs w:val="24"/>
                <w:color w:val="auto"/>
              </w:rPr>
            </w:pPr>
          </w:p>
        </w:tc>
        <w:tc>
          <w:tcPr>
            <w:tcW w:w="23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Defaults Upon Senior Securities</w:t>
              </w:r>
            </w:hyperlink>
          </w:p>
        </w:tc>
        <w:tc>
          <w:tcPr>
            <w:tcW w:w="5800" w:type="dxa"/>
            <w:vAlign w:val="bottom"/>
            <w:gridSpan w:val="10"/>
          </w:tcPr>
          <w:p>
            <w:pPr>
              <w:spacing w:after="0"/>
              <w:rPr>
                <w:sz w:val="24"/>
                <w:szCs w:val="24"/>
                <w:color w:val="auto"/>
              </w:rPr>
            </w:pPr>
          </w:p>
        </w:tc>
      </w:tr>
      <w:tr>
        <w:trPr>
          <w:trHeight w:val="358"/>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4</w:t>
              </w:r>
            </w:hyperlink>
          </w:p>
        </w:tc>
        <w:tc>
          <w:tcPr>
            <w:tcW w:w="460" w:type="dxa"/>
            <w:vAlign w:val="bottom"/>
            <w:gridSpan w:val="3"/>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Mine Safety Disclosures</w:t>
              </w:r>
            </w:hyperlink>
          </w:p>
        </w:tc>
        <w:tc>
          <w:tcPr>
            <w:tcW w:w="6360" w:type="dxa"/>
            <w:vAlign w:val="bottom"/>
            <w:gridSpan w:val="13"/>
          </w:tcPr>
          <w:p>
            <w:pPr>
              <w:spacing w:after="0"/>
              <w:rPr>
                <w:sz w:val="24"/>
                <w:szCs w:val="24"/>
                <w:color w:val="auto"/>
              </w:rPr>
            </w:pPr>
          </w:p>
        </w:tc>
      </w:tr>
      <w:tr>
        <w:trPr>
          <w:trHeight w:val="399"/>
        </w:trPr>
        <w:tc>
          <w:tcPr>
            <w:tcW w:w="480" w:type="dxa"/>
            <w:vAlign w:val="bottom"/>
            <w:gridSpan w:val="2"/>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Item 5</w:t>
              </w:r>
            </w:hyperlink>
          </w:p>
        </w:tc>
        <w:tc>
          <w:tcPr>
            <w:tcW w:w="460" w:type="dxa"/>
            <w:vAlign w:val="bottom"/>
            <w:gridSpan w:val="3"/>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r>
      <w:tr>
        <w:trPr>
          <w:trHeight w:val="358"/>
        </w:trPr>
        <w:tc>
          <w:tcPr>
            <w:tcW w:w="480" w:type="dxa"/>
            <w:vAlign w:val="bottom"/>
            <w:tcBorders>
              <w:top w:val="single" w:sz="8" w:color="0000EE"/>
            </w:tcBorders>
            <w:gridSpan w:val="2"/>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Item 6</w:t>
              </w:r>
            </w:hyperlink>
          </w:p>
        </w:tc>
        <w:tc>
          <w:tcPr>
            <w:tcW w:w="460" w:type="dxa"/>
            <w:vAlign w:val="bottom"/>
            <w:gridSpan w:val="3"/>
          </w:tcPr>
          <w:p>
            <w:pPr>
              <w:spacing w:after="0"/>
              <w:rPr>
                <w:sz w:val="24"/>
                <w:szCs w:val="24"/>
                <w:color w:val="auto"/>
              </w:rPr>
            </w:pPr>
          </w:p>
        </w:tc>
        <w:tc>
          <w:tcPr>
            <w:tcW w:w="1340" w:type="dxa"/>
            <w:vAlign w:val="bottom"/>
            <w:tcBorders>
              <w:top w:val="single" w:sz="8" w:color="0000EE"/>
            </w:tcBorders>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Exhibits</w:t>
              </w:r>
            </w:hyperlink>
          </w:p>
        </w:tc>
        <w:tc>
          <w:tcPr>
            <w:tcW w:w="6800" w:type="dxa"/>
            <w:vAlign w:val="bottom"/>
            <w:gridSpan w:val="16"/>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40" w:type="dxa"/>
            <w:vAlign w:val="bottom"/>
            <w:gridSpan w:val="17"/>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4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SIGNATURES</w:t>
              </w:r>
            </w:hyperlink>
          </w:p>
        </w:tc>
      </w:tr>
      <w:tr>
        <w:trPr>
          <w:trHeight w:val="80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Borders>
              <w:top w:val="single" w:sz="8" w:color="0000EE"/>
            </w:tcBorders>
            <w:gridSpan w:val="3"/>
          </w:tcPr>
          <w:p>
            <w:pPr>
              <w:spacing w:after="0"/>
              <w:rPr>
                <w:sz w:val="24"/>
                <w:szCs w:val="24"/>
                <w:color w:val="auto"/>
              </w:rPr>
            </w:pPr>
          </w:p>
        </w:tc>
        <w:tc>
          <w:tcPr>
            <w:tcW w:w="3260" w:type="dxa"/>
            <w:vAlign w:val="bottom"/>
            <w:gridSpan w:val="9"/>
          </w:tcPr>
          <w:p>
            <w:pPr>
              <w:jc w:val="right"/>
              <w:ind w:right="2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342900</wp:posOffset>
            </wp:positionV>
            <wp:extent cx="638873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line="266" w:lineRule="auto"/>
        <w:rPr>
          <w:sz w:val="20"/>
          <w:szCs w:val="20"/>
          <w:color w:val="auto"/>
        </w:rPr>
      </w:pPr>
      <w:r>
        <w:rPr>
          <w:rFonts w:ascii="Arial" w:cs="Arial" w:eastAsia="Arial" w:hAnsi="Arial"/>
          <w:sz w:val="18"/>
          <w:szCs w:val="18"/>
          <w:b w:val="1"/>
          <w:bCs w:val="1"/>
          <w:color w:val="auto"/>
        </w:rPr>
        <w:t xml:space="preserve">PAGE </w:t>
      </w:r>
      <w:r>
        <w:rPr>
          <w:rFonts w:ascii="Arial" w:cs="Arial" w:eastAsia="Arial" w:hAnsi="Arial"/>
          <w:sz w:val="18"/>
          <w:szCs w:val="18"/>
          <w:b w:val="1"/>
          <w:bCs w:val="1"/>
          <w:u w:val="single" w:color="auto"/>
          <w:color w:val="auto"/>
        </w:rPr>
        <w:t>NUMBER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9060" w:space="140"/>
            <w:col w:w="860"/>
          </w:cols>
          <w:pgMar w:left="920" w:top="125" w:right="919" w:bottom="1440" w:gutter="0" w:footer="0" w:header="0"/>
        </w:sectPr>
      </w:pPr>
    </w:p>
    <w:bookmarkStart w:id="2" w:name="page3"/>
    <w:bookmarkEnd w:id="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2, 2019 and February 2,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November 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40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32,305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50,350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135,395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17,544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208,205</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Property and equipment, net of accumulated depreciation of $257,849 and $245,958 as of</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November 2, 2019 and February 2, 2019,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154,267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442,250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297,989</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26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71,699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15,311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Layaway deposits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139,197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102,369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261,603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ind w:left="200"/>
              <w:spacing w:after="0" w:line="201" w:lineRule="exact"/>
              <w:rPr>
                <w:sz w:val="20"/>
                <w:szCs w:val="20"/>
                <w:color w:val="auto"/>
              </w:rPr>
            </w:pPr>
            <w:r>
              <w:rPr>
                <w:rFonts w:ascii="Arial" w:cs="Arial" w:eastAsia="Arial" w:hAnsi="Arial"/>
                <w:sz w:val="18"/>
                <w:szCs w:val="18"/>
                <w:color w:val="auto"/>
                <w:w w:val="93"/>
              </w:rPr>
              <w:t>Common stock, $0.01 par value. Authorized 32,000,000 shares; 15,882,403 shares issued as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6"/>
              </w:rPr>
              <w:t>November 2, 2019 and 15,827,713 shares issued as of February 2, 2019; 11,650,114 shares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3"/>
              </w:rPr>
              <w:t>outstanding as of November 2, 2019 and 12,158,237 shares outstanding as of February 2, 2019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178,265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176,094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Treasury stock, at cost; 4,232,289 shares held as of November 2, 2019 and 3,669,476 shares held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 of February 2, 2019</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(90,287)</w:t>
            </w: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(80,620)</w:t>
            </w: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180,647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187,425</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442,250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297,989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ectPr>
          <w:pgSz w:w="11900" w:h="16838" w:orient="portrait"/>
          <w:cols w:equalWidth="0" w:num="1">
            <w:col w:w="10060"/>
          </w:cols>
          <w:pgMar w:left="920" w:top="12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3" w:name="page4"/>
    <w:bookmarkEnd w:id="3"/>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Thirty-Nine Weeks Ended November 2, 2019 and November 3, 2018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November 2,</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November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570,912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568,395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(357,429)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(191,975)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(186,478)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 impairment</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8,392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14,027</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0.60</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11,831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13,224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80" w:type="dxa"/>
            <w:vAlign w:val="bottom"/>
          </w:tcPr>
          <w:p>
            <w:pPr>
              <w:jc w:val="center"/>
              <w:ind w:left="2451"/>
              <w:spacing w:after="0"/>
              <w:rPr>
                <w:sz w:val="20"/>
                <w:szCs w:val="20"/>
                <w:color w:val="auto"/>
              </w:rPr>
            </w:pPr>
            <w:r>
              <w:rPr>
                <w:rFonts w:ascii="Arial" w:cs="Arial" w:eastAsia="Arial" w:hAnsi="Arial"/>
                <w:sz w:val="16"/>
                <w:szCs w:val="16"/>
                <w:b w:val="1"/>
                <w:bCs w:val="1"/>
                <w:color w:val="auto"/>
                <w:w w:val="94"/>
              </w:rPr>
              <w:t>Citi Trends, Inc.</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jc w:val="center"/>
              <w:ind w:left="2451"/>
              <w:spacing w:after="0"/>
              <w:rPr>
                <w:sz w:val="20"/>
                <w:szCs w:val="20"/>
                <w:color w:val="auto"/>
              </w:rPr>
            </w:pPr>
            <w:r>
              <w:rPr>
                <w:rFonts w:ascii="Arial" w:cs="Arial" w:eastAsia="Arial" w:hAnsi="Arial"/>
                <w:sz w:val="16"/>
                <w:szCs w:val="16"/>
                <w:b w:val="1"/>
                <w:bCs w:val="1"/>
                <w:color w:val="auto"/>
                <w:w w:val="89"/>
              </w:rPr>
              <w:t>Condensed Consolidated Statements of Operations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jc w:val="center"/>
              <w:ind w:left="2451"/>
              <w:spacing w:after="0"/>
              <w:rPr>
                <w:sz w:val="20"/>
                <w:szCs w:val="20"/>
                <w:color w:val="auto"/>
              </w:rPr>
            </w:pPr>
            <w:r>
              <w:rPr>
                <w:rFonts w:ascii="Arial" w:cs="Arial" w:eastAsia="Arial" w:hAnsi="Arial"/>
                <w:sz w:val="16"/>
                <w:szCs w:val="16"/>
                <w:b w:val="1"/>
                <w:bCs w:val="1"/>
                <w:color w:val="auto"/>
                <w:w w:val="91"/>
              </w:rPr>
              <w:t>Thirteen Weeks Ended November 2, 2019 and November 3, 2018</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80" w:type="dxa"/>
            <w:vAlign w:val="bottom"/>
          </w:tcPr>
          <w:p>
            <w:pPr>
              <w:jc w:val="center"/>
              <w:ind w:left="2471"/>
              <w:spacing w:after="0"/>
              <w:rPr>
                <w:sz w:val="20"/>
                <w:szCs w:val="20"/>
                <w:color w:val="auto"/>
              </w:rPr>
            </w:pPr>
            <w:r>
              <w:rPr>
                <w:rFonts w:ascii="Arial" w:cs="Arial" w:eastAsia="Arial" w:hAnsi="Arial"/>
                <w:sz w:val="16"/>
                <w:szCs w:val="16"/>
                <w:b w:val="1"/>
                <w:bCs w:val="1"/>
                <w:color w:val="auto"/>
                <w:w w:val="94"/>
              </w:rPr>
              <w:t>(Unaudited)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jc w:val="center"/>
              <w:ind w:left="2451"/>
              <w:spacing w:after="0"/>
              <w:rPr>
                <w:sz w:val="20"/>
                <w:szCs w:val="20"/>
                <w:color w:val="auto"/>
              </w:rPr>
            </w:pPr>
            <w:r>
              <w:rPr>
                <w:rFonts w:ascii="Arial" w:cs="Arial" w:eastAsia="Arial" w:hAnsi="Arial"/>
                <w:sz w:val="16"/>
                <w:szCs w:val="16"/>
                <w:b w:val="1"/>
                <w:bCs w:val="1"/>
                <w:color w:val="auto"/>
                <w:w w:val="89"/>
              </w:rPr>
              <w:t>(in thousands, except per share data)</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7"/>
            <w:vMerge w:val="restart"/>
          </w:tcPr>
          <w:p>
            <w:pPr>
              <w:ind w:left="22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rPr>
              <w:t>November 2,</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52"/>
              <w:spacing w:after="0" w:line="119" w:lineRule="exact"/>
              <w:rPr>
                <w:sz w:val="20"/>
                <w:szCs w:val="20"/>
                <w:color w:val="auto"/>
              </w:rPr>
            </w:pPr>
            <w:r>
              <w:rPr>
                <w:rFonts w:ascii="Arial" w:cs="Arial" w:eastAsia="Arial" w:hAnsi="Arial"/>
                <w:sz w:val="13"/>
                <w:szCs w:val="13"/>
                <w:b w:val="1"/>
                <w:bCs w:val="1"/>
                <w:color w:val="auto"/>
              </w:rPr>
              <w:t>November 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Loss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30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7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420" w:type="dxa"/>
            <w:vAlign w:val="bottom"/>
            <w:gridSpan w:val="3"/>
          </w:tcPr>
          <w:p>
            <w:pPr>
              <w:jc w:val="right"/>
              <w:ind w:right="16"/>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9"/>
                <w:szCs w:val="19"/>
                <w:color w:val="auto"/>
              </w:rPr>
            </w:pPr>
          </w:p>
        </w:tc>
        <w:tc>
          <w:tcPr>
            <w:tcW w:w="26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0060"/>
          </w:cols>
          <w:pgMar w:left="920" w:top="125" w:right="919" w:bottom="1440" w:gutter="0" w:footer="0" w:header="0"/>
        </w:sectPr>
      </w:pPr>
    </w:p>
    <w:p>
      <w:pPr>
        <w:spacing w:after="0"/>
        <w:rPr>
          <w:sz w:val="20"/>
          <w:szCs w:val="20"/>
          <w:color w:val="auto"/>
        </w:rPr>
      </w:pPr>
      <w:r>
        <w:rPr>
          <w:rFonts w:ascii="Arial" w:cs="Arial" w:eastAsia="Arial" w:hAnsi="Arial"/>
          <w:sz w:val="18"/>
          <w:szCs w:val="18"/>
          <w:color w:val="auto"/>
        </w:rPr>
        <w:t>Weighted average number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38873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13716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3887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171450"/>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Diluted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11,636</w:t>
      </w:r>
      <w:r>
        <w:rPr>
          <w:sz w:val="20"/>
          <w:szCs w:val="20"/>
          <w:color w:val="auto"/>
        </w:rPr>
        <w:tab/>
      </w:r>
      <w:r>
        <w:rPr>
          <w:rFonts w:ascii="Arial" w:cs="Arial" w:eastAsia="Arial" w:hAnsi="Arial"/>
          <w:sz w:val="16"/>
          <w:szCs w:val="16"/>
          <w:color w:val="auto"/>
        </w:rPr>
        <w:t>12,780</w:t>
      </w:r>
    </w:p>
    <w:p>
      <w:pPr>
        <w:spacing w:after="0" w:line="59"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color w:val="auto"/>
        </w:rPr>
        <w:t>11,636</w:t>
      </w:r>
      <w:r>
        <w:rPr>
          <w:sz w:val="20"/>
          <w:szCs w:val="20"/>
          <w:color w:val="auto"/>
        </w:rPr>
        <w:tab/>
      </w:r>
      <w:r>
        <w:rPr>
          <w:rFonts w:ascii="Arial" w:cs="Arial" w:eastAsia="Arial" w:hAnsi="Arial"/>
          <w:sz w:val="16"/>
          <w:szCs w:val="16"/>
          <w:color w:val="auto"/>
        </w:rPr>
        <w:t>12,780</w:t>
      </w:r>
    </w:p>
    <w:p>
      <w:pPr>
        <w:spacing w:after="0" w:line="443" w:lineRule="exact"/>
        <w:rPr>
          <w:sz w:val="20"/>
          <w:szCs w:val="20"/>
          <w:color w:val="auto"/>
        </w:rPr>
      </w:pPr>
    </w:p>
    <w:p>
      <w:pPr>
        <w:sectPr>
          <w:pgSz w:w="11900" w:h="16838" w:orient="portrait"/>
          <w:cols w:equalWidth="0" w:num="2">
            <w:col w:w="7520" w:space="720"/>
            <w:col w:w="1820"/>
          </w:cols>
          <w:pgMar w:left="920" w:top="125" w:right="91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365125</wp:posOffset>
            </wp:positionV>
            <wp:extent cx="638873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4" w:name="page5"/>
    <w:bookmarkEnd w:id="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Thirty-Nine Weeks Ended November 2, 2019 and November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7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9"/>
              </w:rPr>
              <w:t>November 2,</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w w:val="99"/>
              </w:rPr>
              <w:t>November 3,</w:t>
            </w:r>
          </w:p>
        </w:tc>
      </w:tr>
      <w:tr>
        <w:trPr>
          <w:trHeight w:val="171"/>
        </w:trPr>
        <w:tc>
          <w:tcPr>
            <w:tcW w:w="7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7,081</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14,027</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14,250</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operating lease costs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1,122</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16"/>
        </w:trPr>
        <w:tc>
          <w:tcPr>
            <w:tcW w:w="7640" w:type="dxa"/>
            <w:vAlign w:val="bottom"/>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1,686</w:t>
            </w:r>
          </w:p>
        </w:tc>
      </w:tr>
      <w:tr>
        <w:trPr>
          <w:trHeight w:val="216"/>
        </w:trPr>
        <w:tc>
          <w:tcPr>
            <w:tcW w:w="76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(2,188)</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(7,632)</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Accrued expenses and other long-term liabilities</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(33,142)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r>
      <w:tr>
        <w:trPr>
          <w:trHeight w:val="216"/>
        </w:trPr>
        <w:tc>
          <w:tcPr>
            <w:tcW w:w="7640" w:type="dxa"/>
            <w:vAlign w:val="bottom"/>
          </w:tcPr>
          <w:p>
            <w:pPr>
              <w:ind w:left="440"/>
              <w:spacing w:after="0"/>
              <w:rPr>
                <w:sz w:val="20"/>
                <w:szCs w:val="20"/>
                <w:color w:val="auto"/>
              </w:rPr>
            </w:pPr>
            <w:r>
              <w:rPr>
                <w:rFonts w:ascii="Arial" w:cs="Arial" w:eastAsia="Arial" w:hAnsi="Arial"/>
                <w:sz w:val="18"/>
                <w:szCs w:val="18"/>
                <w:color w:val="auto"/>
              </w:rPr>
              <w:t>Income tax payable/receivable</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(3,343)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(1,897)</w:t>
            </w:r>
          </w:p>
        </w:tc>
      </w:tr>
      <w:tr>
        <w:trPr>
          <w:trHeight w:val="216"/>
        </w:trPr>
        <w:tc>
          <w:tcPr>
            <w:tcW w:w="7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Layaway deposits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1,555</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14,307</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Sales/redemptions of investment securities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44,615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17,310</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investment securities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(13,618)</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(9,009)</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proceeds related to investing activities</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w:t>
            </w:r>
          </w:p>
        </w:tc>
      </w:tr>
      <w:tr>
        <w:trPr>
          <w:trHeight w:val="210"/>
        </w:trPr>
        <w:tc>
          <w:tcPr>
            <w:tcW w:w="7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(5,122)</w:t>
            </w: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(1,042)</w:t>
            </w:r>
          </w:p>
        </w:tc>
      </w:tr>
      <w:tr>
        <w:trPr>
          <w:trHeight w:val="216"/>
        </w:trPr>
        <w:tc>
          <w:tcPr>
            <w:tcW w:w="7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Dividends paid to stockholders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r>
      <w:tr>
        <w:trPr>
          <w:trHeight w:val="216"/>
        </w:trPr>
        <w:tc>
          <w:tcPr>
            <w:tcW w:w="7640" w:type="dxa"/>
            <w:vAlign w:val="bottom"/>
          </w:tcPr>
          <w:p>
            <w:pPr>
              <w:ind w:left="220"/>
              <w:spacing w:after="0"/>
              <w:rPr>
                <w:sz w:val="20"/>
                <w:szCs w:val="20"/>
                <w:color w:val="auto"/>
              </w:rPr>
            </w:pPr>
            <w:r>
              <w:rPr>
                <w:rFonts w:ascii="Arial" w:cs="Arial" w:eastAsia="Arial" w:hAnsi="Arial"/>
                <w:sz w:val="18"/>
                <w:szCs w:val="18"/>
                <w:color w:val="auto"/>
              </w:rPr>
              <w:t>Repurchase of common stock</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(25,027)</w:t>
            </w:r>
          </w:p>
        </w:tc>
      </w:tr>
      <w:tr>
        <w:trPr>
          <w:trHeight w:val="210"/>
        </w:trPr>
        <w:tc>
          <w:tcPr>
            <w:tcW w:w="764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(29,258)</w:t>
            </w:r>
          </w:p>
        </w:tc>
      </w:tr>
      <w:tr>
        <w:trPr>
          <w:trHeight w:val="210"/>
        </w:trPr>
        <w:tc>
          <w:tcPr>
            <w:tcW w:w="7640" w:type="dxa"/>
            <w:vAlign w:val="bottom"/>
          </w:tcPr>
          <w:p>
            <w:pPr>
              <w:ind w:left="66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(20,073)</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16"/>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48,451</w:t>
            </w:r>
          </w:p>
        </w:tc>
      </w:tr>
      <w:tr>
        <w:trPr>
          <w:trHeight w:val="217"/>
        </w:trPr>
        <w:tc>
          <w:tcPr>
            <w:tcW w:w="7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28,378</w:t>
            </w:r>
          </w:p>
        </w:tc>
      </w:tr>
      <w:tr>
        <w:trPr>
          <w:trHeight w:val="149"/>
        </w:trPr>
        <w:tc>
          <w:tcPr>
            <w:tcW w:w="7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r>
      <w:tr>
        <w:trPr>
          <w:trHeight w:val="223"/>
        </w:trPr>
        <w:tc>
          <w:tcPr>
            <w:tcW w:w="7640" w:type="dxa"/>
            <w:vAlign w:val="bottom"/>
          </w:tcPr>
          <w:p>
            <w:pPr>
              <w:ind w:left="660"/>
              <w:spacing w:after="0"/>
              <w:rPr>
                <w:sz w:val="20"/>
                <w:szCs w:val="20"/>
                <w:color w:val="auto"/>
              </w:rPr>
            </w:pPr>
            <w:r>
              <w:rPr>
                <w:rFonts w:ascii="Arial" w:cs="Arial" w:eastAsia="Arial" w:hAnsi="Arial"/>
                <w:sz w:val="18"/>
                <w:szCs w:val="18"/>
                <w:color w:val="auto"/>
              </w:rPr>
              <w:t>Cash paid for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95</w:t>
            </w:r>
          </w:p>
        </w:tc>
      </w:tr>
      <w:tr>
        <w:trPr>
          <w:trHeight w:val="236"/>
        </w:trPr>
        <w:tc>
          <w:tcPr>
            <w:tcW w:w="76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payments of income taxes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6,494</w:t>
            </w:r>
          </w:p>
        </w:tc>
      </w:tr>
      <w:tr>
        <w:trPr>
          <w:trHeight w:val="203"/>
        </w:trPr>
        <w:tc>
          <w:tcPr>
            <w:tcW w:w="7640" w:type="dxa"/>
            <w:vAlign w:val="bottom"/>
          </w:tcPr>
          <w:p>
            <w:pPr>
              <w:spacing w:after="0" w:line="203" w:lineRule="exact"/>
              <w:rPr>
                <w:sz w:val="20"/>
                <w:szCs w:val="20"/>
                <w:color w:val="auto"/>
              </w:rPr>
            </w:pPr>
            <w:r>
              <w:rPr>
                <w:rFonts w:ascii="Arial" w:cs="Arial" w:eastAsia="Arial" w:hAnsi="Arial"/>
                <w:sz w:val="18"/>
                <w:szCs w:val="18"/>
                <w:color w:val="auto"/>
              </w:rPr>
              <w:t>Supplemental disclosures of non-cash investing activities: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Accrual for purchases of property and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7"/>
        </w:trPr>
        <w:tc>
          <w:tcPr>
            <w:tcW w:w="76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5" w:name="page6"/>
    <w:bookmarkEnd w:id="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Thirty-Nine and Thirteen Weeks Ended November 2, 2019 and November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rPr>
              <w:t>Thirty-Nine Weeks Ended November 2, 2019</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20" w:type="dxa"/>
            <w:vAlign w:val="bottom"/>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54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7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2, 2019</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15,827,713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$ 91,794</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$ 176,094</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3,669,476</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(80,620)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$ 187,425</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Adoption of lease accounting standard (see Note 12)</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(2,060)</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(2,060)</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57,133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(36,237)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(713)</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82,312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(1,640)</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(958)</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7,788</w:t>
            </w:r>
          </w:p>
        </w:tc>
      </w:tr>
      <w:tr>
        <w:trPr>
          <w:trHeight w:val="142"/>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 —May 4, 2019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15,848,609</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91,788</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180,864</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3,751,788</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(82,260)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190,549</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27,478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(19,969)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(837)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190,288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(2,904)</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(954)</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377</w:t>
            </w:r>
          </w:p>
        </w:tc>
      </w:tr>
      <w:tr>
        <w:trPr>
          <w:trHeight w:val="142"/>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 —August 3, 2019</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15,855,281</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92,120</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180,287</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3,942,076</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(85,164)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187,400</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27,122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290,213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(5,123)</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(938)</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(938)</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(1,084)</w:t>
            </w:r>
          </w:p>
        </w:tc>
      </w:tr>
      <w:tr>
        <w:trPr>
          <w:trHeight w:val="149"/>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Balances—November 2, 2019</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15,882,403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$ 92,512</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$ 178,265</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4,232,289</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(90,287)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$ 180,647</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rPr>
              <w:t>Thirty-Nine Weeks Ended November 3, 2018</w:t>
            </w: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420" w:type="dxa"/>
            <w:vAlign w:val="bottom"/>
            <w:gridSpan w:val="4"/>
          </w:tcPr>
          <w:p>
            <w:pPr>
              <w:jc w:val="right"/>
              <w:ind w:right="168"/>
              <w:spacing w:after="0" w:line="142"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Paid in</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Retained</w:t>
            </w:r>
          </w:p>
        </w:tc>
        <w:tc>
          <w:tcPr>
            <w:tcW w:w="1540" w:type="dxa"/>
            <w:vAlign w:val="bottom"/>
            <w:gridSpan w:val="4"/>
          </w:tcPr>
          <w:p>
            <w:pPr>
              <w:ind w:left="240"/>
              <w:spacing w:after="0" w:line="142" w:lineRule="exact"/>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7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5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Earnings</w:t>
            </w:r>
          </w:p>
        </w:tc>
        <w:tc>
          <w:tcPr>
            <w:tcW w:w="68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—February 3,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15,777,946</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$ 90,605</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$ 158,927</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2,034,170</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(40,220)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$ 209,468</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10,663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65,663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584</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(38,421)</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(982)</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85,537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(2,672)</w:t>
            </w:r>
          </w:p>
        </w:tc>
        <w:tc>
          <w:tcPr>
            <w:tcW w:w="1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(2,672)</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(1,085)</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11,297</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11,297</w:t>
            </w:r>
          </w:p>
        </w:tc>
      </w:tr>
      <w:tr>
        <w:trPr>
          <w:trHeight w:val="142"/>
        </w:trPr>
        <w:tc>
          <w:tcPr>
            <w:tcW w:w="4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Balances—May 5, 2018</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15,815,851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90,207</w:t>
            </w: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169,139</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2,119,707</w:t>
            </w:r>
          </w:p>
        </w:tc>
        <w:tc>
          <w:tcPr>
            <w:tcW w:w="1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(42,892)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216,611</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Issuance of nonvested shares under incentive plan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645,275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(18,302)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(18,302)</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(1,081)</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(1,081)</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3,235</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3,235</w:t>
            </w:r>
          </w:p>
        </w:tc>
      </w:tr>
      <w:tr>
        <w:trPr>
          <w:trHeight w:val="142"/>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Balances—August 4, 2018</w:t>
            </w: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15,829,380</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90,729</w:t>
            </w:r>
          </w:p>
        </w:tc>
        <w:tc>
          <w:tcPr>
            <w:tcW w:w="10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171,293</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2,764,982</w:t>
            </w:r>
          </w:p>
        </w:tc>
        <w:tc>
          <w:tcPr>
            <w:tcW w:w="1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(61,194)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200,985</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0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135,936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(4,053)</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 ($0.08 per common share)</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(1,022)</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(1,022)</w:t>
            </w:r>
          </w:p>
        </w:tc>
      </w:tr>
      <w:tr>
        <w:trPr>
          <w:trHeight w:val="149"/>
        </w:trPr>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r>
      <w:tr>
        <w:trPr>
          <w:trHeight w:val="149"/>
        </w:trPr>
        <w:tc>
          <w:tcPr>
            <w:tcW w:w="4900" w:type="dxa"/>
            <w:vAlign w:val="bottom"/>
          </w:tcPr>
          <w:p>
            <w:pPr>
              <w:spacing w:after="0" w:line="142" w:lineRule="exact"/>
              <w:rPr>
                <w:sz w:val="20"/>
                <w:szCs w:val="20"/>
                <w:color w:val="auto"/>
              </w:rPr>
            </w:pPr>
            <w:r>
              <w:rPr>
                <w:rFonts w:ascii="Arial" w:cs="Arial" w:eastAsia="Arial" w:hAnsi="Arial"/>
                <w:sz w:val="14"/>
                <w:szCs w:val="14"/>
                <w:color w:val="auto"/>
              </w:rPr>
              <w:t>Balances—November 3, 2018</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15,828,170</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$ 91,248</w:t>
            </w:r>
          </w:p>
        </w:tc>
        <w:tc>
          <w:tcPr>
            <w:tcW w:w="1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$ 169,765</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2,900,918</w:t>
            </w: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(65,247)</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$ 195,923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6" w:name="page7"/>
    <w:bookmarkEnd w:id="6"/>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Citi Trends, Inc.</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Notes to the Condensed Consolidated Financial Statements (unaudited)</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b w:val="1"/>
          <w:bCs w:val="1"/>
          <w:u w:val="single" w:color="auto"/>
          <w:color w:val="auto"/>
        </w:rPr>
        <w:t>November 2, 2019</w:t>
      </w:r>
    </w:p>
    <w:p>
      <w:pPr>
        <w:spacing w:after="0" w:line="211" w:lineRule="exact"/>
        <w:rPr>
          <w:sz w:val="20"/>
          <w:szCs w:val="20"/>
          <w:color w:val="auto"/>
        </w:rPr>
      </w:pPr>
    </w:p>
    <w:p>
      <w:pPr>
        <w:ind w:left="181" w:hanging="181"/>
        <w:spacing w:after="0"/>
        <w:tabs>
          <w:tab w:leader="none" w:pos="18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ind w:left="1" w:right="400"/>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urban fashion apparel and accessories for the entire family. As of November 2, 2019, the Company operated 566 stores in 33 states.</w:t>
      </w:r>
    </w:p>
    <w:p>
      <w:pPr>
        <w:spacing w:after="0" w:line="170" w:lineRule="exact"/>
        <w:rPr>
          <w:sz w:val="20"/>
          <w:szCs w:val="20"/>
          <w:color w:val="auto"/>
        </w:rPr>
      </w:pPr>
    </w:p>
    <w:p>
      <w:pPr>
        <w:ind w:left="1" w:right="60"/>
        <w:spacing w:after="0" w:line="255" w:lineRule="auto"/>
        <w:rPr>
          <w:sz w:val="20"/>
          <w:szCs w:val="20"/>
          <w:color w:val="auto"/>
        </w:rPr>
      </w:pPr>
      <w:r>
        <w:rPr>
          <w:rFonts w:ascii="Arial" w:cs="Arial" w:eastAsia="Arial" w:hAnsi="Arial"/>
          <w:sz w:val="18"/>
          <w:szCs w:val="18"/>
          <w:color w:val="auto"/>
        </w:rPr>
        <w:t>The condensed consolidated financial statements and notes thereto have been prepared by the Company without audit. The condensed consolidated balance sheet as of February 2, 2019 has been derived from the audited financial statements as of that date, but does not include all required year-end disclosures. In the opinion of management, such statements include all adjustments considered necessary for fair financial statement presentation. These condensed consolidated financial statements should be read in conjunction with the consolidated financial statements and the notes thereto included in the Company’s latest Annual Report on Form 10-K for the year ended February 2, 2019.</w:t>
      </w:r>
    </w:p>
    <w:p>
      <w:pPr>
        <w:spacing w:after="0" w:line="193" w:lineRule="exact"/>
        <w:rPr>
          <w:sz w:val="20"/>
          <w:szCs w:val="20"/>
          <w:color w:val="auto"/>
        </w:rPr>
      </w:pPr>
    </w:p>
    <w:p>
      <w:pPr>
        <w:ind w:left="1" w:right="220"/>
        <w:spacing w:after="0" w:line="257" w:lineRule="auto"/>
        <w:rPr>
          <w:sz w:val="20"/>
          <w:szCs w:val="20"/>
          <w:color w:val="auto"/>
        </w:rPr>
      </w:pPr>
      <w:r>
        <w:rPr>
          <w:rFonts w:ascii="Arial" w:cs="Arial" w:eastAsia="Arial" w:hAnsi="Arial"/>
          <w:sz w:val="18"/>
          <w:szCs w:val="18"/>
          <w:color w:val="auto"/>
        </w:rPr>
        <w:t>The accompanying unaudited condensed consolidated financial statements are prepared in accordance with U.S. generally accepted accounting principles (“U.S. GAAP”) for interim financial information and with the instructions to Form 10-Q and Article 10 of Regulation S-X. Accordingly, they do not include all information and footnotes required by U.S. GAAP for complete financial statements. Operating results for the thirty-nine weeks ended November 2, 2019 are not necessarily indicative of the results that may be expected for the fiscal year ending February 1, 2020.</w:t>
      </w:r>
    </w:p>
    <w:p>
      <w:pPr>
        <w:spacing w:after="0" w:line="188" w:lineRule="exact"/>
        <w:rPr>
          <w:sz w:val="20"/>
          <w:szCs w:val="20"/>
          <w:color w:val="auto"/>
        </w:rPr>
      </w:pPr>
    </w:p>
    <w:p>
      <w:pPr>
        <w:ind w:left="1" w:right="320"/>
        <w:spacing w:after="0" w:line="277" w:lineRule="auto"/>
        <w:rPr>
          <w:sz w:val="20"/>
          <w:szCs w:val="20"/>
          <w:color w:val="auto"/>
        </w:rPr>
      </w:pPr>
      <w:r>
        <w:rPr>
          <w:rFonts w:ascii="Arial" w:cs="Arial" w:eastAsia="Arial" w:hAnsi="Arial"/>
          <w:sz w:val="18"/>
          <w:szCs w:val="18"/>
          <w:color w:val="auto"/>
        </w:rPr>
        <w:t>The following contains references to fiscal years 2019 and 2018, which represent fiscal years ending or ended on February 1, 2020 and February 2, 2019, respectively. Fiscal 2019 and 2018 both have 52-week accounting periods.</w:t>
      </w:r>
    </w:p>
    <w:p>
      <w:pPr>
        <w:spacing w:after="0" w:line="170" w:lineRule="exact"/>
        <w:rPr>
          <w:sz w:val="20"/>
          <w:szCs w:val="20"/>
          <w:color w:val="auto"/>
        </w:rPr>
      </w:pPr>
    </w:p>
    <w:p>
      <w:pPr>
        <w:ind w:left="181" w:hanging="181"/>
        <w:spacing w:after="0"/>
        <w:tabs>
          <w:tab w:leader="none" w:pos="181"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1" w:right="60"/>
        <w:spacing w:after="0" w:line="312"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use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1" w:right="10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81" w:hanging="181"/>
        <w:spacing w:after="0"/>
        <w:tabs>
          <w:tab w:leader="none" w:pos="18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Cash and Cash Equivalents/Concentration of Credit Risk</w:t>
      </w:r>
    </w:p>
    <w:p>
      <w:pPr>
        <w:spacing w:after="0" w:line="225" w:lineRule="exact"/>
        <w:rPr>
          <w:sz w:val="20"/>
          <w:szCs w:val="20"/>
          <w:color w:val="auto"/>
        </w:rPr>
      </w:pPr>
    </w:p>
    <w:p>
      <w:pPr>
        <w:ind w:left="1" w:right="80"/>
        <w:spacing w:after="0" w:line="257" w:lineRule="auto"/>
        <w:rPr>
          <w:sz w:val="20"/>
          <w:szCs w:val="20"/>
          <w:color w:val="auto"/>
        </w:rPr>
      </w:pPr>
      <w:r>
        <w:rPr>
          <w:rFonts w:ascii="Arial" w:cs="Arial" w:eastAsia="Arial" w:hAnsi="Arial"/>
          <w:sz w:val="18"/>
          <w:szCs w:val="18"/>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81" w:hanging="181"/>
        <w:spacing w:after="0"/>
        <w:tabs>
          <w:tab w:leader="none" w:pos="18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ind w:left="1"/>
        <w:spacing w:after="0" w:line="257" w:lineRule="auto"/>
        <w:rPr>
          <w:sz w:val="20"/>
          <w:szCs w:val="20"/>
          <w:color w:val="auto"/>
        </w:rPr>
      </w:pPr>
      <w:r>
        <w:rPr>
          <w:rFonts w:ascii="Arial" w:cs="Arial" w:eastAsia="Arial" w:hAnsi="Arial"/>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88" w:lineRule="exact"/>
        <w:rPr>
          <w:sz w:val="20"/>
          <w:szCs w:val="20"/>
          <w:color w:val="auto"/>
        </w:rPr>
      </w:pPr>
    </w:p>
    <w:p>
      <w:pPr>
        <w:ind w:left="1" w:right="40"/>
        <w:spacing w:after="0" w:line="255" w:lineRule="auto"/>
        <w:rPr>
          <w:sz w:val="20"/>
          <w:szCs w:val="20"/>
          <w:color w:val="auto"/>
        </w:rPr>
      </w:pPr>
      <w:r>
        <w:rPr>
          <w:rFonts w:ascii="Arial" w:cs="Arial" w:eastAsia="Arial" w:hAnsi="Arial"/>
          <w:sz w:val="18"/>
          <w:szCs w:val="18"/>
          <w:color w:val="auto"/>
        </w:rPr>
        <w:t>The dilutive effect of stock-based compensation arrangements is accounted for using the treasury stock method. The Company includes as assumed proceeds the amount of compensation cost attributed to future services and not yet recognized. For the thirty-nine weeks ended November 2, 2019 and November 3, 2018, there were 139,000 and 119,000 shares of nonvested restricted stock, respectively, excluded from the calculation of diluted earnings per share because of antidilution. For the thirteen weeks ended November 2, 2019 and November 3, 2018, there were 147,000 and 166,000 shares of nonvested restricted stock, respectively, excluded from the calculation of diluted earnings per share because of antidilution.</w:t>
      </w:r>
    </w:p>
    <w:p>
      <w:pPr>
        <w:sectPr>
          <w:pgSz w:w="11900" w:h="16838" w:orient="portrait"/>
          <w:cols w:equalWidth="0" w:num="1">
            <w:col w:w="10041"/>
          </w:cols>
          <w:pgMar w:left="919" w:top="125" w:right="9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638873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type w:val="continuous"/>
        </w:sectPr>
      </w:pPr>
    </w:p>
    <w:bookmarkStart w:id="7" w:name="page8"/>
    <w:bookmarkEnd w:id="7"/>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480"/>
        <w:spacing w:after="0" w:line="312"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weighted average number of common shares and common stock equivalents outstanding used in calculating diluted earnings per share for the thirty-nine and thirteen week periods ended November 2, 2019 and November 3, 2018:</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Thirty-Nine Weeks Ended</w:t>
            </w:r>
          </w:p>
        </w:tc>
      </w:tr>
      <w:tr>
        <w:trPr>
          <w:trHeight w:val="142"/>
        </w:trPr>
        <w:tc>
          <w:tcPr>
            <w:tcW w:w="7400" w:type="dxa"/>
            <w:vAlign w:val="bottom"/>
          </w:tcPr>
          <w:p>
            <w:pPr>
              <w:spacing w:after="0"/>
              <w:rPr>
                <w:sz w:val="12"/>
                <w:szCs w:val="12"/>
                <w:color w:val="auto"/>
              </w:rPr>
            </w:pPr>
          </w:p>
        </w:tc>
        <w:tc>
          <w:tcPr>
            <w:tcW w:w="14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November 2, 2019</w:t>
            </w: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November 3, 2018</w:t>
            </w: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11,831,248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13,224,347</w:t>
            </w: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10,497</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45,058</w:t>
            </w:r>
          </w:p>
        </w:tc>
      </w:tr>
      <w:tr>
        <w:trPr>
          <w:trHeight w:val="203"/>
        </w:trPr>
        <w:tc>
          <w:tcPr>
            <w:tcW w:w="7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and common stock equivalents outstanding</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11,841,745</w:t>
            </w: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13,269,405</w:t>
            </w:r>
          </w:p>
        </w:tc>
      </w:tr>
      <w:tr>
        <w:trPr>
          <w:trHeight w:val="378"/>
        </w:trPr>
        <w:tc>
          <w:tcPr>
            <w:tcW w:w="7400" w:type="dxa"/>
            <w:vAlign w:val="bottom"/>
          </w:tcPr>
          <w:p>
            <w:pPr>
              <w:spacing w:after="0"/>
              <w:rPr>
                <w:sz w:val="24"/>
                <w:szCs w:val="24"/>
                <w:color w:val="auto"/>
              </w:rPr>
            </w:pPr>
          </w:p>
        </w:tc>
        <w:tc>
          <w:tcPr>
            <w:tcW w:w="266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7400" w:type="dxa"/>
            <w:vAlign w:val="bottom"/>
          </w:tcPr>
          <w:p>
            <w:pPr>
              <w:spacing w:after="0"/>
              <w:rPr>
                <w:sz w:val="12"/>
                <w:szCs w:val="12"/>
                <w:color w:val="auto"/>
              </w:rPr>
            </w:pPr>
          </w:p>
        </w:tc>
        <w:tc>
          <w:tcPr>
            <w:tcW w:w="1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November 2, 2019</w:t>
            </w:r>
          </w:p>
        </w:tc>
        <w:tc>
          <w:tcPr>
            <w:tcW w:w="1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November 3, 2018</w:t>
            </w:r>
          </w:p>
        </w:tc>
      </w:tr>
      <w:tr>
        <w:trPr>
          <w:trHeight w:val="210"/>
        </w:trPr>
        <w:tc>
          <w:tcPr>
            <w:tcW w:w="7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11,635,707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12,780,472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74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and common stock equivalents outstanding</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11,635,707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12,780,472</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Fair Value Measurement</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4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40" w:right="24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1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November 2, 2019, the Company’s investment securities are classified as held-to-maturity since the Company has the intent and ability to hold the investments to maturity. Such securities are carried at amortized cost plus accrued interest and consist of the following (in thousands):</w:t>
      </w:r>
    </w:p>
    <w:tbl>
      <w:tblPr>
        <w:tblLayout w:type="fixed"/>
        <w:tblInd w:w="0" w:type="dxa"/>
        <w:tblCellMar>
          <w:top w:w="0" w:type="dxa"/>
          <w:left w:w="0" w:type="dxa"/>
          <w:bottom w:w="0" w:type="dxa"/>
          <w:right w:w="0" w:type="dxa"/>
        </w:tblCellMar>
      </w:tblPr>
      <w:tr>
        <w:trPr>
          <w:trHeight w:val="140"/>
        </w:trPr>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86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6"/>
                <w:szCs w:val="16"/>
                <w:color w:val="auto"/>
              </w:rPr>
              <w:t>Obligations of the U.S. Treasury and U.S. government agencies (Level 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24,109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5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8,196</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32,305</w:t>
            </w:r>
          </w:p>
        </w:tc>
        <w:tc>
          <w:tcPr>
            <w:tcW w:w="1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32,328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6"/>
                <w:szCs w:val="16"/>
                <w:color w:val="auto"/>
              </w:rPr>
              <w:t>Obligations of the U.S. Treasury (Level 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80" w:type="dxa"/>
            <w:vAlign w:val="bottom"/>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1,903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The amortized cost and fair market value of investment securities as of November 2, 2019 by contractual maturity are as follows (in thousands):</w:t>
      </w:r>
    </w:p>
    <w:tbl>
      <w:tblPr>
        <w:tblLayout w:type="fixed"/>
        <w:tblInd w:w="0" w:type="dxa"/>
        <w:tblCellMar>
          <w:top w:w="0" w:type="dxa"/>
          <w:left w:w="0" w:type="dxa"/>
          <w:bottom w:w="0" w:type="dxa"/>
          <w:right w:w="0" w:type="dxa"/>
        </w:tblCellMar>
      </w:tblPr>
      <w:tr>
        <w:trPr>
          <w:trHeight w:val="141"/>
        </w:trPr>
        <w:tc>
          <w:tcPr>
            <w:tcW w:w="1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19"/>
              <w:spacing w:after="0" w:line="141" w:lineRule="exact"/>
              <w:rPr>
                <w:sz w:val="20"/>
                <w:szCs w:val="20"/>
                <w:color w:val="auto"/>
              </w:rPr>
            </w:pPr>
            <w:r>
              <w:rPr>
                <w:rFonts w:ascii="Arial" w:cs="Arial" w:eastAsia="Arial" w:hAnsi="Arial"/>
                <w:sz w:val="14"/>
                <w:szCs w:val="14"/>
                <w:b w:val="1"/>
                <w:bCs w:val="1"/>
                <w:color w:val="auto"/>
              </w:rPr>
              <w:t>Fair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rPr>
              <w:t>Market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18"/>
                <w:szCs w:val="18"/>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2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32,328</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2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16,267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344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48,595</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1"/>
        </w:trPr>
        <w:tc>
          <w:tcPr>
            <w:tcW w:w="1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60" w:type="dxa"/>
            <w:vAlign w:val="bottom"/>
          </w:tcPr>
          <w:p>
            <w:pPr>
              <w:jc w:val="right"/>
              <w:ind w:right="18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8" w:name="page9"/>
    <w:bookmarkEnd w:id="8"/>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640"/>
        <w:spacing w:after="0" w:line="258" w:lineRule="auto"/>
        <w:rPr>
          <w:sz w:val="20"/>
          <w:szCs w:val="20"/>
          <w:color w:val="auto"/>
        </w:rPr>
      </w:pPr>
      <w:r>
        <w:rPr>
          <w:rFonts w:ascii="Arial" w:cs="Arial" w:eastAsia="Arial" w:hAnsi="Arial"/>
          <w:sz w:val="18"/>
          <w:szCs w:val="18"/>
          <w:color w:val="auto"/>
        </w:rPr>
        <w:t>As of February 2, 2019, the Company’s investment securities were classified as held-to-maturity and consisted of the following (in thousands):</w:t>
      </w:r>
    </w:p>
    <w:tbl>
      <w:tblPr>
        <w:tblLayout w:type="fixed"/>
        <w:tblInd w:w="1" w:type="dxa"/>
        <w:tblCellMar>
          <w:top w:w="0" w:type="dxa"/>
          <w:left w:w="0" w:type="dxa"/>
          <w:bottom w:w="0" w:type="dxa"/>
          <w:right w:w="0" w:type="dxa"/>
        </w:tblCellMar>
      </w:tblPr>
      <w:tr>
        <w:trPr>
          <w:trHeight w:val="141"/>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2"/>
                <w:szCs w:val="12"/>
                <w:color w:val="auto"/>
              </w:rPr>
            </w:pPr>
          </w:p>
        </w:tc>
        <w:tc>
          <w:tcPr>
            <w:tcW w:w="660" w:type="dxa"/>
            <w:vAlign w:val="bottom"/>
          </w:tcPr>
          <w:p>
            <w:pPr>
              <w:jc w:val="right"/>
              <w:ind w:right="161"/>
              <w:spacing w:after="0" w:line="141"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9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4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80" w:type="dxa"/>
            <w:vAlign w:val="bottom"/>
          </w:tcPr>
          <w:p>
            <w:pPr>
              <w:spacing w:after="0"/>
              <w:rPr>
                <w:sz w:val="14"/>
                <w:szCs w:val="14"/>
                <w:color w:val="auto"/>
              </w:rPr>
            </w:pPr>
          </w:p>
        </w:tc>
        <w:tc>
          <w:tcPr>
            <w:tcW w:w="660" w:type="dxa"/>
            <w:vAlign w:val="bottom"/>
          </w:tcPr>
          <w:p>
            <w:pPr>
              <w:jc w:val="right"/>
              <w:ind w:right="161"/>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w w:val="94"/>
              </w:rPr>
              <w:t>Obligations of the U.S. Treasury and U.S. government agencies (Level 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38,706</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7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Long-term:</w:t>
            </w: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Bank certificates of deposit (Level 2)</w:t>
            </w:r>
          </w:p>
        </w:tc>
        <w:tc>
          <w:tcPr>
            <w:tcW w:w="2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7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right="540"/>
        <w:spacing w:after="0" w:line="258" w:lineRule="auto"/>
        <w:rPr>
          <w:sz w:val="20"/>
          <w:szCs w:val="20"/>
          <w:color w:val="auto"/>
        </w:rPr>
      </w:pPr>
      <w:r>
        <w:rPr>
          <w:rFonts w:ascii="Arial" w:cs="Arial" w:eastAsia="Arial" w:hAnsi="Arial"/>
          <w:sz w:val="18"/>
          <w:szCs w:val="18"/>
          <w:color w:val="auto"/>
        </w:rPr>
        <w:t>The amortized cost and fair market value of investment securities as of February 2, 2019 by contractual maturity were as follows (in thousands):</w:t>
      </w:r>
    </w:p>
    <w:tbl>
      <w:tblPr>
        <w:tblLayout w:type="fixed"/>
        <w:tblInd w:w="1001"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Mature in one year or less</w:t>
            </w:r>
          </w:p>
        </w:tc>
        <w:tc>
          <w:tcPr>
            <w:tcW w:w="1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50,317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8,867</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59,184</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There were no changes among the levels in the thirty-nine weeks ended November 2, 2019.</w:t>
      </w:r>
    </w:p>
    <w:p>
      <w:pPr>
        <w:spacing w:after="0" w:line="225" w:lineRule="exact"/>
        <w:rPr>
          <w:sz w:val="20"/>
          <w:szCs w:val="20"/>
          <w:color w:val="auto"/>
        </w:rPr>
      </w:pPr>
    </w:p>
    <w:p>
      <w:pPr>
        <w:jc w:val="both"/>
        <w:ind w:left="1" w:right="320"/>
        <w:spacing w:after="0" w:line="312" w:lineRule="auto"/>
        <w:rPr>
          <w:sz w:val="20"/>
          <w:szCs w:val="20"/>
          <w:color w:val="auto"/>
        </w:rPr>
      </w:pPr>
      <w:r>
        <w:rPr>
          <w:rFonts w:ascii="Arial" w:cs="Arial" w:eastAsia="Arial" w:hAnsi="Arial"/>
          <w:sz w:val="16"/>
          <w:szCs w:val="16"/>
          <w:color w:val="auto"/>
        </w:rPr>
        <w:t>Fair market values of Level 2 investments are determined by management with the assistance of a third party pricing service. Because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47" w:lineRule="exact"/>
        <w:rPr>
          <w:sz w:val="20"/>
          <w:szCs w:val="20"/>
          <w:color w:val="auto"/>
        </w:rPr>
      </w:pPr>
    </w:p>
    <w:p>
      <w:pPr>
        <w:ind w:left="181" w:hanging="181"/>
        <w:spacing w:after="0"/>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Impairment of Assets</w:t>
      </w:r>
    </w:p>
    <w:p>
      <w:pPr>
        <w:spacing w:after="0" w:line="225" w:lineRule="exact"/>
        <w:rPr>
          <w:sz w:val="20"/>
          <w:szCs w:val="20"/>
          <w:color w:val="auto"/>
        </w:rPr>
      </w:pPr>
    </w:p>
    <w:p>
      <w:pPr>
        <w:ind w:left="1" w:right="40"/>
        <w:spacing w:after="0" w:line="284" w:lineRule="auto"/>
        <w:rPr>
          <w:sz w:val="20"/>
          <w:szCs w:val="20"/>
          <w:color w:val="auto"/>
        </w:rPr>
      </w:pPr>
      <w:r>
        <w:rPr>
          <w:rFonts w:ascii="Arial" w:cs="Arial" w:eastAsia="Arial" w:hAnsi="Arial"/>
          <w:sz w:val="16"/>
          <w:szCs w:val="16"/>
          <w:color w:val="auto"/>
        </w:rPr>
        <w:t>If facts and circumstances indicate that a long-lived asset or operating lease right-of-use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In the thirty-nine weeks ended November 2, 2019, non-cash impairment expense related to an underperforming store totaled $0.5 million, comprised of $0.3 million for leasehold improvements and fixtures and equipment, and $0.2 million for an operating lease right-of-use asset. There was no impairment expense recorded in the thirteen weeks ended November 2, 2019. In the thirty-nine and thirteen weeks ended</w:t>
      </w:r>
    </w:p>
    <w:p>
      <w:pPr>
        <w:spacing w:after="0" w:line="5" w:lineRule="exact"/>
        <w:rPr>
          <w:sz w:val="20"/>
          <w:szCs w:val="20"/>
          <w:color w:val="auto"/>
        </w:rPr>
      </w:pPr>
    </w:p>
    <w:p>
      <w:pPr>
        <w:ind w:left="1" w:right="340"/>
        <w:spacing w:after="0" w:line="261" w:lineRule="auto"/>
        <w:rPr>
          <w:sz w:val="20"/>
          <w:szCs w:val="20"/>
          <w:color w:val="auto"/>
        </w:rPr>
      </w:pPr>
      <w:r>
        <w:rPr>
          <w:rFonts w:ascii="Arial" w:cs="Arial" w:eastAsia="Arial" w:hAnsi="Arial"/>
          <w:sz w:val="18"/>
          <w:szCs w:val="18"/>
          <w:color w:val="auto"/>
        </w:rPr>
        <w:t>November 3, 2018, non-cash impairment expense related to underperforming stores totaled $1.1 million and $0.2 million, respectively, comprised entirely of leasehold improvements and fixtures and equipment.</w:t>
      </w:r>
    </w:p>
    <w:p>
      <w:pPr>
        <w:spacing w:after="0" w:line="184" w:lineRule="exact"/>
        <w:rPr>
          <w:sz w:val="20"/>
          <w:szCs w:val="20"/>
          <w:color w:val="auto"/>
        </w:rPr>
      </w:pPr>
    </w:p>
    <w:p>
      <w:pPr>
        <w:ind w:left="181" w:hanging="181"/>
        <w:spacing w:after="0"/>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Revolving Line of Credit</w:t>
      </w:r>
    </w:p>
    <w:p>
      <w:pPr>
        <w:spacing w:after="0" w:line="225" w:lineRule="exact"/>
        <w:rPr>
          <w:sz w:val="20"/>
          <w:szCs w:val="20"/>
          <w:color w:val="auto"/>
        </w:rPr>
      </w:pPr>
    </w:p>
    <w:p>
      <w:pPr>
        <w:ind w:left="1" w:right="80"/>
        <w:spacing w:after="0" w:line="269" w:lineRule="auto"/>
        <w:rPr>
          <w:sz w:val="20"/>
          <w:szCs w:val="20"/>
          <w:color w:val="auto"/>
        </w:rPr>
      </w:pPr>
      <w:r>
        <w:rPr>
          <w:rFonts w:ascii="Arial" w:cs="Arial" w:eastAsia="Arial" w:hAnsi="Arial"/>
          <w:sz w:val="17"/>
          <w:szCs w:val="17"/>
          <w:color w:val="auto"/>
        </w:rPr>
        <w:t>On October 27, 2011, the Company entered into a five-year, $50 million credit facility with Bank of America. The facility was amended on August 18, 2015, extending the maturity date to August 18, 2020. The amended facility provides a $50 million credit commitment and a $25 million uncommitted “accordion” feature that under certain circumstances could allow the Company to increase the size of the facility to $75 million. Borrowings, if any, under the facility will bear interest (a) for LIBOR Rate Loans, at LIBOR plus either 1.25% or 1.5%, or (b) for Base Rate Loans, at a rate equal to the highest of (i) the prime rate plus either 0.25% or 0.5%, (ii) the Federal Funds Rate plus either 0.75% or 1.0%, or (iii) LIBOR plus either 1.25% or 1.5%, based in any such case on the average daily availability for borrowings under the facility. The facility continues to be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 The Company has had no borrowings under the credit facility.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9" w:name="page10"/>
    <w:bookmarkEnd w:id="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221" w:hanging="221"/>
        <w:spacing w:after="0"/>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left="1"/>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w:t>
      </w:r>
    </w:p>
    <w:p>
      <w:pPr>
        <w:spacing w:after="0" w:line="189" w:lineRule="exact"/>
        <w:rPr>
          <w:sz w:val="20"/>
          <w:szCs w:val="20"/>
          <w:color w:val="auto"/>
        </w:rPr>
      </w:pPr>
    </w:p>
    <w:p>
      <w:pPr>
        <w:ind w:left="1" w:right="260"/>
        <w:spacing w:after="0" w:line="264" w:lineRule="auto"/>
        <w:rPr>
          <w:sz w:val="20"/>
          <w:szCs w:val="20"/>
          <w:color w:val="auto"/>
        </w:rPr>
      </w:pPr>
      <w:r>
        <w:rPr>
          <w:rFonts w:ascii="Arial" w:cs="Arial" w:eastAsia="Arial" w:hAnsi="Arial"/>
          <w:sz w:val="18"/>
          <w:szCs w:val="18"/>
          <w:color w:val="auto"/>
        </w:rPr>
        <w:t>U.S. GAAP requires companies to calculate income taxes by applying their estimated full-year tax rate in each interim period unless the estimated full-year tax rate is not reliably predictable. For the thirty-nine weeks ended November 2, 2019 and November 3, 2018, the Company utilized this annual effective tax rate method to calculate income taxes.</w:t>
      </w:r>
    </w:p>
    <w:p>
      <w:pPr>
        <w:spacing w:after="0" w:line="181" w:lineRule="exact"/>
        <w:rPr>
          <w:sz w:val="20"/>
          <w:szCs w:val="20"/>
          <w:color w:val="auto"/>
        </w:rPr>
      </w:pPr>
    </w:p>
    <w:p>
      <w:pPr>
        <w:jc w:val="both"/>
        <w:ind w:left="1" w:right="200"/>
        <w:spacing w:after="0" w:line="264" w:lineRule="auto"/>
        <w:rPr>
          <w:sz w:val="20"/>
          <w:szCs w:val="20"/>
          <w:color w:val="auto"/>
        </w:rPr>
      </w:pPr>
      <w:r>
        <w:rPr>
          <w:rFonts w:ascii="Arial" w:cs="Arial" w:eastAsia="Arial" w:hAnsi="Arial"/>
          <w:sz w:val="18"/>
          <w:szCs w:val="18"/>
          <w:color w:val="auto"/>
        </w:rPr>
        <w:t>For the thirty-nine weeks ended November 2, 2019, the effective income tax rate was 15.6%. This compares with a rate of 18.4% for the thirty-nine weeks ended November 3, 2018. The decrease in the effective income tax rate was due primarily to the combination of lower pretax income and higher federal and state tax credits this year.</w:t>
      </w:r>
    </w:p>
    <w:p>
      <w:pPr>
        <w:spacing w:after="0" w:line="181" w:lineRule="exact"/>
        <w:rPr>
          <w:sz w:val="20"/>
          <w:szCs w:val="20"/>
          <w:color w:val="auto"/>
        </w:rPr>
      </w:pPr>
    </w:p>
    <w:p>
      <w:pPr>
        <w:ind w:left="181" w:hanging="181"/>
        <w:spacing w:after="0"/>
        <w:tabs>
          <w:tab w:leader="none" w:pos="18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Other Long-Term Liabilities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The components of other long-term liabilities as of November 2, 2019 and February 2, 2019 are as follows (in thousands):</w:t>
      </w:r>
    </w:p>
    <w:p>
      <w:pPr>
        <w:spacing w:after="0" w:line="218"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95"/>
              <w:spacing w:after="0"/>
              <w:rPr>
                <w:sz w:val="20"/>
                <w:szCs w:val="20"/>
                <w:color w:val="auto"/>
              </w:rPr>
            </w:pPr>
            <w:r>
              <w:rPr>
                <w:rFonts w:ascii="Arial" w:cs="Arial" w:eastAsia="Arial" w:hAnsi="Arial"/>
                <w:sz w:val="14"/>
                <w:szCs w:val="14"/>
                <w:b w:val="1"/>
                <w:bCs w:val="1"/>
                <w:color w:val="auto"/>
                <w:w w:val="97"/>
              </w:rPr>
              <w:t>November 2,</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486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w w:val="90"/>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4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Tenant improvement allowances</w:t>
            </w: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5"/>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4,037</w:t>
            </w:r>
          </w:p>
        </w:tc>
        <w:tc>
          <w:tcPr>
            <w:tcW w:w="4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40" w:type="dxa"/>
            <w:vAlign w:val="bottom"/>
            <w:shd w:val="clear" w:color="auto" w:fill="CCEEFF"/>
          </w:tcPr>
          <w:p>
            <w:pPr>
              <w:spacing w:after="0"/>
              <w:rPr>
                <w:sz w:val="18"/>
                <w:szCs w:val="18"/>
                <w:color w:val="auto"/>
              </w:rPr>
            </w:pPr>
          </w:p>
        </w:tc>
      </w:tr>
      <w:tr>
        <w:trPr>
          <w:trHeight w:val="217"/>
        </w:trPr>
        <w:tc>
          <w:tcPr>
            <w:tcW w:w="4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40" w:type="dxa"/>
            <w:vAlign w:val="bottom"/>
          </w:tcPr>
          <w:p>
            <w:pPr>
              <w:spacing w:after="0"/>
              <w:rPr>
                <w:sz w:val="18"/>
                <w:szCs w:val="18"/>
                <w:color w:val="auto"/>
              </w:rPr>
            </w:pPr>
          </w:p>
        </w:tc>
      </w:tr>
    </w:tbl>
    <w:p>
      <w:pPr>
        <w:spacing w:after="0" w:line="143" w:lineRule="exact"/>
        <w:rPr>
          <w:sz w:val="20"/>
          <w:szCs w:val="20"/>
          <w:color w:val="auto"/>
        </w:rPr>
      </w:pPr>
    </w:p>
    <w:p>
      <w:pPr>
        <w:ind w:left="321" w:right="60" w:hanging="321"/>
        <w:spacing w:after="0" w:line="230" w:lineRule="auto"/>
        <w:tabs>
          <w:tab w:leader="none" w:pos="321"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Commencing February 3, 2019, deferred rent and tenant improvement allowances are included as part of the Company’s operating lease right of use assets (see Note 12 regarding the Company’s adoption of the lease accounting standard).</w:t>
      </w:r>
    </w:p>
    <w:p>
      <w:pPr>
        <w:ind w:left="321"/>
        <w:spacing w:after="0"/>
        <w:rPr>
          <w:rFonts w:ascii="Arial" w:cs="Arial" w:eastAsia="Arial" w:hAnsi="Arial"/>
          <w:sz w:val="14"/>
          <w:szCs w:val="14"/>
          <w:color w:val="auto"/>
        </w:rPr>
      </w:pPr>
      <w:r>
        <w:rPr>
          <w:rFonts w:ascii="Arial" w:cs="Arial" w:eastAsia="Arial" w:hAnsi="Arial"/>
          <w:sz w:val="14"/>
          <w:szCs w:val="14"/>
          <w:color w:val="FFFFFF"/>
        </w:rPr>
        <w:t>.</w:t>
      </w:r>
    </w:p>
    <w:p>
      <w:pPr>
        <w:spacing w:after="0" w:line="196" w:lineRule="exact"/>
        <w:rPr>
          <w:sz w:val="20"/>
          <w:szCs w:val="20"/>
          <w:color w:val="auto"/>
        </w:rPr>
      </w:pPr>
    </w:p>
    <w:p>
      <w:pPr>
        <w:ind w:left="261" w:hanging="261"/>
        <w:spacing w:after="0"/>
        <w:tabs>
          <w:tab w:leader="none" w:pos="2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ind w:left="1" w:right="420"/>
        <w:spacing w:after="0" w:line="297"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8" w:lineRule="exact"/>
        <w:rPr>
          <w:sz w:val="20"/>
          <w:szCs w:val="20"/>
          <w:color w:val="auto"/>
        </w:rPr>
      </w:pPr>
    </w:p>
    <w:p>
      <w:pPr>
        <w:ind w:left="261" w:hanging="261"/>
        <w:spacing w:after="0"/>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Stock Repurchase Program and Cash Dividends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left="1" w:right="20"/>
        <w:spacing w:after="0" w:line="270" w:lineRule="auto"/>
        <w:rPr>
          <w:sz w:val="20"/>
          <w:szCs w:val="20"/>
          <w:color w:val="auto"/>
        </w:rPr>
      </w:pPr>
      <w:r>
        <w:rPr>
          <w:rFonts w:ascii="Arial" w:cs="Arial" w:eastAsia="Arial" w:hAnsi="Arial"/>
          <w:sz w:val="17"/>
          <w:szCs w:val="17"/>
          <w:color w:val="auto"/>
        </w:rPr>
        <w:t>On November 28, 2018, the Company’s Board of Directors approved a program that authorized the purchase of up to $25.0 million in shares of the Company’s common stock. During the thirty-nine weeks ended November 2, 2019, the Company repurchased 562,813 shares of its common stock at an aggregate cost of $9.7 million. During the thirteen weeks ended November 2, 2019, the Company repurchased 290,213 shares of its common stock at an aggregate cost of $5.1 million. At November 2, 2019, there were no additional shares which could be repurchased pursuant to this authorization. On November 22, 2019, the Company’s Board of Directors approved another program that authorized the repurchase of up to $25.0 million in shares of the Company’s common stock.</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ind w:left="1" w:right="20"/>
        <w:spacing w:after="0" w:line="269" w:lineRule="auto"/>
        <w:rPr>
          <w:sz w:val="20"/>
          <w:szCs w:val="20"/>
          <w:color w:val="auto"/>
        </w:rPr>
      </w:pPr>
      <w:r>
        <w:rPr>
          <w:rFonts w:ascii="Arial" w:cs="Arial" w:eastAsia="Arial" w:hAnsi="Arial"/>
          <w:sz w:val="17"/>
          <w:szCs w:val="17"/>
          <w:color w:val="auto"/>
        </w:rPr>
        <w:t>On February 12, 2019, the Company’s Board of Directors declared a dividend of $0.08 per common share, which was paid on March 19, 2019 to stockholders of record as of March 5, 2019. On May 21, 2019, the Company’s Board of Directors declared a dividend of $0.08 per common share, which was paid on June 18, 2019 to stockholders of record as of June 4, 2019. On August 20, 2019, the Company’s Board of Directors declared a dividend of $0.08 per common share, which was paid on September 17, 2019 to stockholders of record as of September 3, 2019. On November 22, 2019, the Company’s Board of Directors declared a dividend of $0.08 per common share, payable on December 24, 2019 to stockholders of record as of December 10, 2019. Any determination to declare and pay cash dividends for future quarters will be made by the Company’s Board of Directors.</w:t>
      </w:r>
    </w:p>
    <w:p>
      <w:pPr>
        <w:sectPr>
          <w:pgSz w:w="11900" w:h="16838" w:orient="portrait"/>
          <w:cols w:equalWidth="0" w:num="1">
            <w:col w:w="10061"/>
          </w:cols>
          <w:pgMar w:left="919" w:top="125" w:right="91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372745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type w:val="continuous"/>
        </w:sectPr>
      </w:pPr>
    </w:p>
    <w:bookmarkStart w:id="10" w:name="page11"/>
    <w:bookmarkEnd w:id="1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261" w:hanging="261"/>
        <w:spacing w:after="0"/>
        <w:tabs>
          <w:tab w:leader="none" w:pos="26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left="1" w:right="60"/>
        <w:spacing w:after="0" w:line="281" w:lineRule="auto"/>
        <w:rPr>
          <w:sz w:val="20"/>
          <w:szCs w:val="20"/>
          <w:color w:val="auto"/>
        </w:rPr>
      </w:pPr>
      <w:r>
        <w:rPr>
          <w:rFonts w:ascii="Arial" w:cs="Arial" w:eastAsia="Arial" w:hAnsi="Arial"/>
          <w:sz w:val="16"/>
          <w:szCs w:val="16"/>
          <w:color w:val="auto"/>
        </w:rPr>
        <w:t>In February 2016, the Financial Accounting Standards Board (“FASB”) issued Accounting Standard Update (“ASU”) No. 2016-02, Leases (Topic 842) (“ASU 2016–02” or “Topic 842”) which replaced the existing guidance in ASC Topic 840, Leases. The new standard established a right-of-use model that requires a lessee to record a right-of-use asset and a lease liability on the balance sheet for all leases with terms longer than 12 months. The guidance is effective for fiscal years beginning after December 15, 2018, including interim periods within those fiscal years. The Company adopted ASU 2016-02 on February 3, 2019, the first day of fiscal 2019. As part of the implementation process, the Company assessed its lease arrangements, evaluated practical expedient and accounting policy elections and implemented necessary modifications to its existing lease system. In adopting the new lease standard, the Company elected the optional transition method which applied the standard as of the effective date but did not apply the standard to the comparative periods previously presented in the consolidated financial statements. The new standard also provided optional practical expedients for transition, which the Company elected, which permitted it to not reassess prior conclusions regarding lease classification, identification or initial direct</w:t>
      </w:r>
    </w:p>
    <w:p>
      <w:pPr>
        <w:spacing w:after="0" w:line="7" w:lineRule="exact"/>
        <w:rPr>
          <w:sz w:val="20"/>
          <w:szCs w:val="20"/>
          <w:color w:val="auto"/>
        </w:rPr>
      </w:pPr>
    </w:p>
    <w:p>
      <w:pPr>
        <w:ind w:left="1" w:right="20"/>
        <w:spacing w:after="0" w:line="254" w:lineRule="auto"/>
        <w:rPr>
          <w:sz w:val="20"/>
          <w:szCs w:val="20"/>
          <w:color w:val="auto"/>
        </w:rPr>
      </w:pPr>
      <w:r>
        <w:rPr>
          <w:rFonts w:ascii="Arial" w:cs="Arial" w:eastAsia="Arial" w:hAnsi="Arial"/>
          <w:sz w:val="18"/>
          <w:szCs w:val="18"/>
          <w:color w:val="auto"/>
        </w:rPr>
        <w:t>costs. Further, the Company elected a short-term lease exception policy which permitted it to not apply the recognition requirements of the new standard to short-term leases (leases with terms of 12 months or less). The Company also elected an accounting policy to account for lease and non-lease components as a single component for certain classes of assets. The Company did not elect an optional hindsight practical expedient.</w:t>
      </w:r>
    </w:p>
    <w:p>
      <w:pPr>
        <w:spacing w:after="0" w:line="190" w:lineRule="exact"/>
        <w:rPr>
          <w:sz w:val="20"/>
          <w:szCs w:val="20"/>
          <w:color w:val="auto"/>
        </w:rPr>
      </w:pPr>
    </w:p>
    <w:p>
      <w:pPr>
        <w:ind w:left="1"/>
        <w:spacing w:after="0" w:line="286" w:lineRule="auto"/>
        <w:rPr>
          <w:sz w:val="20"/>
          <w:szCs w:val="20"/>
          <w:color w:val="auto"/>
        </w:rPr>
      </w:pPr>
      <w:r>
        <w:rPr>
          <w:rFonts w:ascii="Arial" w:cs="Arial" w:eastAsia="Arial" w:hAnsi="Arial"/>
          <w:sz w:val="16"/>
          <w:szCs w:val="16"/>
          <w:color w:val="auto"/>
        </w:rPr>
        <w:t>The Company leases all of its retail store locations and certain office space and equipment. All leases are classified as operating leases. Under the new guidance, right-of-use assets and lease liabilities are recognized based on the present value of future minimum lease payments over the lease term. The Company uses its incremental borrowing rate as the discount rate which approximates the rate of interest the Company would have to pay on a collateralized basis to borrow an amount equal to the total lease payments under similar terms. The incremental borrowing rate for existing leases as of the opening balance sheet date was based on the remaining terms of the leases. The incremental borrowing rate for all new or amended leases is based upon the lease terms which include the contractual period obligated by the leases plus any additional periods covered by options available to extend the leases if the Company is reasonably certain to exercise such options. Lease expense for fixed lease payments is recognized on a straight-line basis over the lease term and is included in selling, general and administrative expenses. Adoption of the new standard resulted in the recording of operating lease right-of-use assets and operating lease liabilities of approximately $133.6 million and $141.0 million, respectively, as of February 3, 2019. The difference between the lease assets and lease liabilities was primarily due to reclassification of lease incentives, as well as impairment of operating lease right-of-use assets for stores previously impaired as of the effective date. Lease impairment, net of the related deferred taxes, totaled approximately $2.1 million and is reflected as an adjustment to retained earnings at the transition date.</w:t>
      </w:r>
    </w:p>
    <w:p>
      <w:pPr>
        <w:spacing w:after="0" w:line="175" w:lineRule="exact"/>
        <w:rPr>
          <w:sz w:val="20"/>
          <w:szCs w:val="20"/>
          <w:color w:val="auto"/>
        </w:rPr>
      </w:pPr>
    </w:p>
    <w:p>
      <w:pPr>
        <w:ind w:left="321" w:hanging="321"/>
        <w:spacing w:after="0"/>
        <w:tabs>
          <w:tab w:leader="none" w:pos="32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ind w:left="1"/>
        <w:spacing w:after="0" w:line="252" w:lineRule="auto"/>
        <w:rPr>
          <w:sz w:val="20"/>
          <w:szCs w:val="20"/>
          <w:color w:val="auto"/>
        </w:rPr>
      </w:pPr>
      <w:r>
        <w:rPr>
          <w:rFonts w:ascii="Arial" w:cs="Arial" w:eastAsia="Arial" w:hAnsi="Arial"/>
          <w:sz w:val="18"/>
          <w:szCs w:val="18"/>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Non-refundable layaway service fees are recognized in revenue when collected by the Company from customers. The Company defers revenue from the sale of gift cards and recognizes the associated revenue upon the redemption of the cards by customers to purchase merchandise.</w:t>
      </w:r>
    </w:p>
    <w:p>
      <w:pPr>
        <w:spacing w:after="0" w:line="19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left="1" w:right="260"/>
        <w:spacing w:after="0" w:line="292" w:lineRule="auto"/>
        <w:rPr>
          <w:sz w:val="20"/>
          <w:szCs w:val="20"/>
          <w:color w:val="auto"/>
        </w:rPr>
      </w:pPr>
      <w:r>
        <w:rPr>
          <w:rFonts w:ascii="Arial" w:cs="Arial" w:eastAsia="Arial" w:hAnsi="Arial"/>
          <w:sz w:val="16"/>
          <w:szCs w:val="16"/>
          <w:color w:val="auto"/>
        </w:rPr>
        <w:t>The Company allows customers to return merchandise for up to thirty days after the date of sale. Expected refunds to customers are recorded based on estimated margin using historical return information. The refund liability for merchandise returns is included in “Accrued expenses” on the condensed consolidated balance sheet and totaled $0.4 million and $0.3 million as of November 2, 2019 and February 2, 2019, respectively. The corresponding asset for the recoverable cost of expected refunds is included in “Prepaid and other current assets” and totaled $0.3 million and $0.2 million as of November 2, 2019 and February 2, 2019, respectively.</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ind w:left="1" w:right="180"/>
        <w:spacing w:after="0" w:line="254" w:lineRule="auto"/>
        <w:rPr>
          <w:sz w:val="20"/>
          <w:szCs w:val="20"/>
          <w:color w:val="auto"/>
        </w:rPr>
      </w:pPr>
      <w:r>
        <w:rPr>
          <w:rFonts w:ascii="Arial" w:cs="Arial" w:eastAsia="Arial" w:hAnsi="Arial"/>
          <w:sz w:val="18"/>
          <w:szCs w:val="18"/>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1" w:name="page12"/>
    <w:bookmarkEnd w:id="11"/>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right="60"/>
        <w:spacing w:after="0" w:line="264" w:lineRule="auto"/>
        <w:rPr>
          <w:sz w:val="20"/>
          <w:szCs w:val="20"/>
          <w:color w:val="auto"/>
        </w:rPr>
      </w:pPr>
      <w:r>
        <w:rPr>
          <w:rFonts w:ascii="Arial" w:cs="Arial" w:eastAsia="Arial" w:hAnsi="Arial"/>
          <w:sz w:val="18"/>
          <w:szCs w:val="18"/>
          <w:color w:val="auto"/>
        </w:rPr>
        <w:t>In the following table, the Company’s revenue from contracts with customers is disaggregated by major product line. The percentage of net sales related to each classification of its merchandise assortment for the thirty-nine and thirteen week periods ended November 2, 2019 and November 3, 2018 was approximately:</w:t>
      </w:r>
    </w:p>
    <w:p>
      <w:pPr>
        <w:spacing w:after="0" w:line="267" w:lineRule="exact"/>
        <w:rPr>
          <w:sz w:val="20"/>
          <w:szCs w:val="20"/>
          <w:color w:val="auto"/>
        </w:rPr>
      </w:pPr>
    </w:p>
    <w:tbl>
      <w:tblPr>
        <w:tblLayout w:type="fixed"/>
        <w:tblInd w:w="1261"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960" w:type="dxa"/>
            <w:vAlign w:val="bottom"/>
            <w:gridSpan w:val="4"/>
          </w:tcPr>
          <w:p>
            <w:pPr>
              <w:ind w:left="80"/>
              <w:spacing w:after="0"/>
              <w:rPr>
                <w:sz w:val="20"/>
                <w:szCs w:val="20"/>
                <w:color w:val="auto"/>
              </w:rPr>
            </w:pPr>
            <w:r>
              <w:rPr>
                <w:rFonts w:ascii="Arial" w:cs="Arial" w:eastAsia="Arial" w:hAnsi="Arial"/>
                <w:sz w:val="14"/>
                <w:szCs w:val="14"/>
                <w:b w:val="1"/>
                <w:bCs w:val="1"/>
                <w:color w:val="auto"/>
              </w:rPr>
              <w:t>Thirty-Nine Weeks Ended</w:t>
            </w:r>
          </w:p>
        </w:tc>
        <w:tc>
          <w:tcPr>
            <w:tcW w:w="17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Thirteen Weeks Ended</w:t>
            </w:r>
          </w:p>
        </w:tc>
      </w:tr>
      <w:tr>
        <w:trPr>
          <w:trHeight w:val="119"/>
        </w:trPr>
        <w:tc>
          <w:tcPr>
            <w:tcW w:w="3800" w:type="dxa"/>
            <w:vAlign w:val="bottom"/>
          </w:tcPr>
          <w:p>
            <w:pPr>
              <w:spacing w:after="0"/>
              <w:rPr>
                <w:sz w:val="10"/>
                <w:szCs w:val="10"/>
                <w:color w:val="auto"/>
              </w:rPr>
            </w:pPr>
          </w:p>
        </w:tc>
        <w:tc>
          <w:tcPr>
            <w:tcW w:w="9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November 2,</w:t>
            </w: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4"/>
              </w:rPr>
              <w:t>November 3,</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November 2,</w:t>
            </w: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3,</w:t>
            </w:r>
          </w:p>
        </w:tc>
        <w:tc>
          <w:tcPr>
            <w:tcW w:w="40" w:type="dxa"/>
            <w:vAlign w:val="bottom"/>
          </w:tcPr>
          <w:p>
            <w:pPr>
              <w:spacing w:after="0"/>
              <w:rPr>
                <w:sz w:val="10"/>
                <w:szCs w:val="10"/>
                <w:color w:val="auto"/>
              </w:rPr>
            </w:pPr>
          </w:p>
        </w:tc>
      </w:tr>
      <w:tr>
        <w:trPr>
          <w:trHeight w:val="171"/>
        </w:trPr>
        <w:tc>
          <w:tcPr>
            <w:tcW w:w="380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60" w:type="dxa"/>
            <w:vAlign w:val="bottom"/>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76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Accessories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Ladies'</w:t>
            </w:r>
          </w:p>
        </w:tc>
        <w:tc>
          <w:tcPr>
            <w:tcW w:w="780" w:type="dxa"/>
            <w:vAlign w:val="bottom"/>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40" w:type="dxa"/>
            <w:vAlign w:val="bottom"/>
          </w:tcPr>
          <w:p>
            <w:pPr>
              <w:spacing w:after="0"/>
              <w:rPr>
                <w:sz w:val="19"/>
                <w:szCs w:val="19"/>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Children's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40" w:type="dxa"/>
            <w:vAlign w:val="bottom"/>
            <w:shd w:val="clear" w:color="auto" w:fill="CCEEFF"/>
          </w:tcPr>
          <w:p>
            <w:pPr>
              <w:spacing w:after="0"/>
              <w:rPr>
                <w:sz w:val="19"/>
                <w:szCs w:val="19"/>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Men's</w:t>
            </w:r>
          </w:p>
        </w:tc>
        <w:tc>
          <w:tcPr>
            <w:tcW w:w="780" w:type="dxa"/>
            <w:vAlign w:val="bottom"/>
          </w:tcPr>
          <w:p>
            <w:pPr>
              <w:jc w:val="right"/>
              <w:spacing w:after="0"/>
              <w:rPr>
                <w:sz w:val="20"/>
                <w:szCs w:val="20"/>
                <w:color w:val="auto"/>
              </w:rPr>
            </w:pPr>
            <w:r>
              <w:rPr>
                <w:rFonts w:ascii="Arial" w:cs="Arial" w:eastAsia="Arial" w:hAnsi="Arial"/>
                <w:sz w:val="18"/>
                <w:szCs w:val="18"/>
                <w:color w:val="auto"/>
              </w:rPr>
              <w:t>16 %</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40" w:type="dxa"/>
            <w:vAlign w:val="bottom"/>
          </w:tcPr>
          <w:p>
            <w:pPr>
              <w:spacing w:after="0"/>
              <w:rPr>
                <w:sz w:val="19"/>
                <w:szCs w:val="19"/>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40" w:type="dxa"/>
            <w:vAlign w:val="bottom"/>
            <w:shd w:val="clear" w:color="auto" w:fill="CCEEFF"/>
          </w:tcPr>
          <w:p>
            <w:pPr>
              <w:spacing w:after="0"/>
              <w:rPr>
                <w:sz w:val="19"/>
                <w:szCs w:val="19"/>
                <w:color w:val="auto"/>
              </w:rPr>
            </w:pPr>
          </w:p>
        </w:tc>
      </w:tr>
    </w:tbl>
    <w:p>
      <w:pPr>
        <w:spacing w:after="0" w:line="215" w:lineRule="exact"/>
        <w:rPr>
          <w:sz w:val="20"/>
          <w:szCs w:val="20"/>
          <w:color w:val="auto"/>
        </w:rPr>
      </w:pPr>
    </w:p>
    <w:p>
      <w:pPr>
        <w:ind w:left="321" w:hanging="321"/>
        <w:spacing w:after="0"/>
        <w:tabs>
          <w:tab w:leader="none" w:pos="32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ind w:left="1"/>
        <w:spacing w:after="0" w:line="255" w:lineRule="auto"/>
        <w:rPr>
          <w:sz w:val="20"/>
          <w:szCs w:val="20"/>
          <w:color w:val="auto"/>
        </w:rPr>
      </w:pPr>
      <w:r>
        <w:rPr>
          <w:rFonts w:ascii="Arial" w:cs="Arial" w:eastAsia="Arial" w:hAnsi="Arial"/>
          <w:sz w:val="18"/>
          <w:szCs w:val="18"/>
          <w:color w:val="auto"/>
        </w:rPr>
        <w:t>The Company leases its retail store locations and certain office space and equipment. The Company analyzes all leases at inception to determine if a right-of-use asset and lease liability should be recognized. Leases with an initial term of 12 months or less and leases with mutual termination clauses are not included on the condensed consolidated balance sheet. The lease liability is measured at the present value of future lease payments as of the lease commencement date, or as of the date of adoption of ASU 2016-02 for leases existing at the adoption date. The right-of-use asset recognized is based on the lease liability adjusted for prepaid and deferred rent and unamortized lease incentives.</w:t>
      </w:r>
    </w:p>
    <w:p>
      <w:pPr>
        <w:spacing w:after="0" w:line="193" w:lineRule="exact"/>
        <w:rPr>
          <w:sz w:val="20"/>
          <w:szCs w:val="20"/>
          <w:color w:val="auto"/>
        </w:rPr>
      </w:pPr>
    </w:p>
    <w:p>
      <w:pPr>
        <w:ind w:left="1" w:right="60"/>
        <w:spacing w:after="0" w:line="264" w:lineRule="auto"/>
        <w:rPr>
          <w:sz w:val="20"/>
          <w:szCs w:val="20"/>
          <w:color w:val="auto"/>
        </w:rPr>
      </w:pPr>
      <w:r>
        <w:rPr>
          <w:rFonts w:ascii="Arial" w:cs="Arial" w:eastAsia="Arial" w:hAnsi="Arial"/>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expense for the thirty-nine and thirteen weeks ended November 2, 2019 is as follows (in thousands):</w:t>
      </w:r>
    </w:p>
    <w:p>
      <w:pPr>
        <w:spacing w:after="0" w:line="119" w:lineRule="exact"/>
        <w:rPr>
          <w:sz w:val="20"/>
          <w:szCs w:val="20"/>
          <w:color w:val="auto"/>
        </w:rPr>
      </w:pPr>
    </w:p>
    <w:tbl>
      <w:tblPr>
        <w:tblLayout w:type="fixed"/>
        <w:tblInd w:w="1261"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Thirteen Weeks Ended</w:t>
            </w:r>
          </w:p>
        </w:tc>
      </w:tr>
      <w:tr>
        <w:trPr>
          <w:trHeight w:val="142"/>
        </w:trPr>
        <w:tc>
          <w:tcPr>
            <w:tcW w:w="4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99"/>
              </w:rPr>
              <w:t>November 2, 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5"/>
              </w:rPr>
              <w:t>November 2, 2019</w:t>
            </w: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12,278</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Variable lease cost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3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Short term lease cost</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14,455</w:t>
            </w:r>
          </w:p>
        </w:tc>
      </w:tr>
    </w:tbl>
    <w:p>
      <w:pPr>
        <w:spacing w:after="0" w:line="283" w:lineRule="exact"/>
        <w:rPr>
          <w:sz w:val="20"/>
          <w:szCs w:val="20"/>
          <w:color w:val="auto"/>
        </w:rPr>
      </w:pPr>
    </w:p>
    <w:p>
      <w:pPr>
        <w:ind w:left="1"/>
        <w:spacing w:after="0"/>
        <w:rPr>
          <w:sz w:val="20"/>
          <w:szCs w:val="20"/>
          <w:color w:val="auto"/>
        </w:rPr>
      </w:pPr>
      <w:r>
        <w:rPr>
          <w:rFonts w:ascii="Arial" w:cs="Arial" w:eastAsia="Arial" w:hAnsi="Arial"/>
          <w:sz w:val="18"/>
          <w:szCs w:val="18"/>
          <w:color w:val="auto"/>
        </w:rPr>
        <w:t>Future minimum lease payments as of November 2, 2019 are as follows (in thousands):</w:t>
      </w:r>
    </w:p>
    <w:p>
      <w:pPr>
        <w:spacing w:after="0" w:line="311" w:lineRule="exact"/>
        <w:rPr>
          <w:sz w:val="20"/>
          <w:szCs w:val="20"/>
          <w:color w:val="auto"/>
        </w:rPr>
      </w:pPr>
    </w:p>
    <w:tbl>
      <w:tblPr>
        <w:tblLayout w:type="fixed"/>
        <w:tblInd w:w="1261" w:type="dxa"/>
        <w:tblCellMar>
          <w:top w:w="0" w:type="dxa"/>
          <w:left w:w="0" w:type="dxa"/>
          <w:bottom w:w="0" w:type="dxa"/>
          <w:right w:w="0" w:type="dxa"/>
        </w:tblCellMar>
      </w:tblPr>
      <w:tr>
        <w:trPr>
          <w:trHeight w:val="171"/>
        </w:trPr>
        <w:tc>
          <w:tcPr>
            <w:tcW w:w="518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Lease Costs</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49,955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39,689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28,106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28,914</w:t>
            </w:r>
          </w:p>
        </w:tc>
        <w:tc>
          <w:tcPr>
            <w:tcW w:w="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176,084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28"/>
              <w:spacing w:after="0" w:line="216" w:lineRule="exact"/>
              <w:rPr>
                <w:sz w:val="20"/>
                <w:szCs w:val="20"/>
                <w:color w:val="auto"/>
              </w:rPr>
            </w:pPr>
            <w:r>
              <w:rPr>
                <w:rFonts w:ascii="Arial" w:cs="Arial" w:eastAsia="Arial" w:hAnsi="Arial"/>
                <w:sz w:val="16"/>
                <w:szCs w:val="16"/>
                <w:color w:val="auto"/>
              </w:rPr>
              <w:t>(13,940)</w:t>
            </w:r>
            <w:r>
              <w:rPr>
                <w:rFonts w:ascii="Arial" w:cs="Arial" w:eastAsia="Arial" w:hAnsi="Arial"/>
                <w:sz w:val="25"/>
                <w:szCs w:val="25"/>
                <w:color w:val="auto"/>
                <w:vertAlign w:val="subscript"/>
              </w:rPr>
              <w:t>(1)</w:t>
            </w:r>
          </w:p>
        </w:tc>
        <w:tc>
          <w:tcPr>
            <w:tcW w:w="0" w:type="dxa"/>
            <w:vAlign w:val="bottom"/>
          </w:tcPr>
          <w:p>
            <w:pPr>
              <w:spacing w:after="0"/>
              <w:rPr>
                <w:sz w:val="1"/>
                <w:szCs w:val="1"/>
                <w:color w:val="auto"/>
              </w:rPr>
            </w:pPr>
          </w:p>
        </w:tc>
      </w:tr>
      <w:tr>
        <w:trPr>
          <w:trHeight w:val="20"/>
        </w:trPr>
        <w:tc>
          <w:tcPr>
            <w:tcW w:w="5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present value of lease liabilities</w:t>
            </w: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5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162,144</w:t>
            </w:r>
          </w:p>
        </w:tc>
        <w:tc>
          <w:tcPr>
            <w:tcW w:w="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81"/>
              </w:rPr>
              <w:t>(2)</w:t>
            </w: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5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ind w:left="1021"/>
        <w:spacing w:after="0"/>
        <w:tabs>
          <w:tab w:leader="none" w:pos="1320" w:val="left"/>
        </w:tabs>
        <w:rPr>
          <w:sz w:val="20"/>
          <w:szCs w:val="20"/>
          <w:color w:val="auto"/>
        </w:rPr>
      </w:pPr>
      <w:r>
        <w:rPr>
          <w:rFonts w:ascii="Arial" w:cs="Arial" w:eastAsia="Arial" w:hAnsi="Arial"/>
          <w:sz w:val="14"/>
          <w:szCs w:val="14"/>
          <w:color w:val="auto"/>
        </w:rPr>
        <w:t>(1)</w:t>
        <w:tab/>
        <w:t>Calculated using the discount rate for each lease.</w:t>
      </w:r>
    </w:p>
    <w:p>
      <w:pPr>
        <w:ind w:left="1021"/>
        <w:spacing w:after="0"/>
        <w:tabs>
          <w:tab w:leader="none" w:pos="1320" w:val="left"/>
        </w:tabs>
        <w:rPr>
          <w:sz w:val="20"/>
          <w:szCs w:val="20"/>
          <w:color w:val="auto"/>
        </w:rPr>
      </w:pPr>
      <w:r>
        <w:rPr>
          <w:rFonts w:ascii="Arial" w:cs="Arial" w:eastAsia="Arial" w:hAnsi="Arial"/>
          <w:sz w:val="14"/>
          <w:szCs w:val="14"/>
          <w:color w:val="auto"/>
        </w:rPr>
        <w:t>(2)</w:t>
        <w:tab/>
        <w:t>Includes short-term and long-term operating leases.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12" w:name="page13"/>
    <w:bookmarkEnd w:id="12"/>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Adoption of the lease accounting standard (Topic 842) using the effective transition method requires the Company to provide relevant disclosures in accordance with ASC Topic 840, Leases for all prior periods presented. Future minimum lease payments as of February 2, 2019 were as follows (in thousands):</w:t>
      </w:r>
    </w:p>
    <w:p>
      <w:pPr>
        <w:spacing w:after="0" w:line="200"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ind w:left="220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Lease Costs</w:t>
            </w:r>
          </w:p>
        </w:tc>
      </w:tr>
      <w:tr>
        <w:trPr>
          <w:trHeight w:val="210"/>
        </w:trPr>
        <w:tc>
          <w:tcPr>
            <w:tcW w:w="20" w:type="dxa"/>
            <w:vAlign w:val="bottom"/>
          </w:tcPr>
          <w:p>
            <w:pPr>
              <w:spacing w:after="0"/>
              <w:rPr>
                <w:sz w:val="18"/>
                <w:szCs w:val="18"/>
                <w:color w:val="auto"/>
              </w:rPr>
            </w:pPr>
          </w:p>
        </w:tc>
        <w:tc>
          <w:tcPr>
            <w:tcW w:w="5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2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39,294</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w:t>
            </w:r>
          </w:p>
        </w:tc>
        <w:tc>
          <w:tcPr>
            <w:tcW w:w="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16,880</w:t>
            </w:r>
          </w:p>
        </w:tc>
        <w:tc>
          <w:tcPr>
            <w:tcW w:w="2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260" w:type="dxa"/>
            <w:vAlign w:val="bottom"/>
            <w:tcBorders>
              <w:bottom w:val="single" w:sz="8" w:color="CCEEFF"/>
            </w:tcBorders>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148,967</w:t>
            </w:r>
          </w:p>
        </w:tc>
        <w:tc>
          <w:tcPr>
            <w:tcW w:w="260" w:type="dxa"/>
            <w:vAlign w:val="bottom"/>
            <w:tcBorders>
              <w:bottom w:val="single" w:sz="8" w:color="CCEEFF"/>
            </w:tcBorders>
            <w:shd w:val="clear" w:color="auto" w:fill="CCEEFF"/>
          </w:tcPr>
          <w:p>
            <w:pPr>
              <w:spacing w:after="0"/>
              <w:rPr>
                <w:sz w:val="18"/>
                <w:szCs w:val="18"/>
                <w:color w:val="auto"/>
              </w:rPr>
            </w:pPr>
          </w:p>
        </w:tc>
      </w:tr>
    </w:tbl>
    <w:p>
      <w:pPr>
        <w:spacing w:after="0" w:line="134"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Supplemental cash flow and other information related to operating leases for the thirty-nine weeks ended November 2, 2019 is as follows (in thousands, except for weighted average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Thirty-Nine Weeks Ended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55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9"/>
              </w:rPr>
              <w:t>November 2, 2019</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37,379</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w w:val="92"/>
              </w:rPr>
              <w:t>Right of use assets obtained in exchange for new operating lease liabilities</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55,285</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vMerge w:val="restart"/>
          </w:tcPr>
          <w:p>
            <w:pPr>
              <w:spacing w:after="0"/>
              <w:rPr>
                <w:sz w:val="19"/>
                <w:szCs w:val="19"/>
                <w:color w:val="auto"/>
              </w:rPr>
            </w:pPr>
          </w:p>
        </w:tc>
        <w:tc>
          <w:tcPr>
            <w:tcW w:w="5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tcBorders>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4.67</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3.59%</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6860" w:type="dxa"/>
            <w:vAlign w:val="bottom"/>
            <w:gridSpan w:val="2"/>
          </w:tcPr>
          <w:p>
            <w:pPr>
              <w:jc w:val="right"/>
              <w:ind w:right="165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3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25" w:right="919" w:bottom="1440" w:gutter="0" w:footer="0" w:header="0"/>
        </w:sectPr>
      </w:pPr>
    </w:p>
    <w:bookmarkStart w:id="13" w:name="page14"/>
    <w:bookmarkEnd w:id="13"/>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 w:right="60"/>
        <w:spacing w:after="0" w:line="288"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169" w:lineRule="exact"/>
        <w:rPr>
          <w:sz w:val="20"/>
          <w:szCs w:val="20"/>
          <w:color w:val="auto"/>
        </w:rPr>
      </w:pPr>
    </w:p>
    <w:p>
      <w:pPr>
        <w:ind w:left="1" w:right="120"/>
        <w:spacing w:after="0" w:line="269" w:lineRule="auto"/>
        <w:rPr>
          <w:sz w:val="20"/>
          <w:szCs w:val="20"/>
          <w:color w:val="auto"/>
        </w:rPr>
      </w:pPr>
      <w:r>
        <w:rPr>
          <w:rFonts w:ascii="Arial" w:cs="Arial" w:eastAsia="Arial" w:hAnsi="Arial"/>
          <w:sz w:val="17"/>
          <w:szCs w:val="17"/>
          <w:color w:val="auto"/>
        </w:rPr>
        <w:t>The factors that may result in actual results differing from such forward-looking information include, but are not limited to: transportation and distribution delays or interruptions; changes in freight rates; the Company’s ability to negotiate effectively the cost and purchase of merchandise; inventory risks due to shifts in market demand; the Company’s ability to gauge fashion trends and changing consumer preferences; changes in consumer spending on apparel; changes in product mix; interruptions in suppliers’ businesses; a deterioration in general economic conditions caused by acts of war or terrorism or other factors; increased customs restrictions and tariffs or quotas; the results of pending or threatened litigation; temporary changes in demand due to weather patterns; seasonality of the Company’s business; delays associated with building, opening and operating new stores; delays associated with building, opening or expanding new or existing distribution centers; and other factors described in the section titled “Item 1A. Risk Factors” and elsewhere in the Company’s Annual Report on Form 10-K for the fiscal year ended February 2, 2019 and in Part II, “Item 1A. Risk Factors” and elsewhere in the Company’s Quarterly Reports on Form 10-Q and any amendments thereto and in the other documents the Company files with the SEC, including reports on Form 8-K.</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w:t>
      </w:r>
    </w:p>
    <w:p>
      <w:pPr>
        <w:spacing w:after="0" w:line="46" w:lineRule="exact"/>
        <w:rPr>
          <w:sz w:val="20"/>
          <w:szCs w:val="20"/>
          <w:color w:val="auto"/>
        </w:rPr>
      </w:pPr>
    </w:p>
    <w:p>
      <w:pPr>
        <w:jc w:val="both"/>
        <w:ind w:left="1" w:right="140" w:hanging="1"/>
        <w:spacing w:after="0" w:line="254" w:lineRule="auto"/>
        <w:tabs>
          <w:tab w:leader="none" w:pos="266"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
        <w:spacing w:after="0" w:line="264" w:lineRule="auto"/>
        <w:rPr>
          <w:sz w:val="20"/>
          <w:szCs w:val="20"/>
          <w:color w:val="auto"/>
        </w:rPr>
      </w:pPr>
      <w:r>
        <w:rPr>
          <w:rFonts w:ascii="Arial" w:cs="Arial" w:eastAsia="Arial" w:hAnsi="Arial"/>
          <w:sz w:val="18"/>
          <w:szCs w:val="18"/>
          <w:color w:val="auto"/>
        </w:rPr>
        <w:t>We are a value-priced retailer of urban fashion apparel and accessories for the entire family. Our merchandise offerings are designed to appeal to the fashion preferences of value-conscious consumers, particularly African-Americans. We operated 566 stores in both urban and rural markets in 33 states as of November 2, 2019.</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Accounting Periods</w:t>
      </w:r>
    </w:p>
    <w:p>
      <w:pPr>
        <w:spacing w:after="0" w:line="229" w:lineRule="exact"/>
        <w:rPr>
          <w:sz w:val="20"/>
          <w:szCs w:val="20"/>
          <w:color w:val="auto"/>
        </w:rPr>
      </w:pPr>
    </w:p>
    <w:p>
      <w:pPr>
        <w:ind w:left="1" w:right="60"/>
        <w:spacing w:after="0" w:line="259" w:lineRule="auto"/>
        <w:rPr>
          <w:sz w:val="20"/>
          <w:szCs w:val="20"/>
          <w:color w:val="auto"/>
        </w:rPr>
      </w:pPr>
      <w:r>
        <w:rPr>
          <w:rFonts w:ascii="Arial" w:cs="Arial" w:eastAsia="Arial" w:hAnsi="Arial"/>
          <w:sz w:val="18"/>
          <w:szCs w:val="18"/>
          <w:color w:val="auto"/>
        </w:rPr>
        <w:t>The following discussion contains references to fiscal years 2019 and 2018, which represent fiscal years ending or ended on February 1, 2020 and February 2, 2019, respectively. Fiscal 2019 and fiscal 2018 both have 52-week accounting periods. This discussion and analysis should be read with the unaudited condensed consolidated financial statements and the notes thereto contained in Part 1, Item 1 of this report.</w:t>
      </w:r>
    </w:p>
    <w:p>
      <w:pPr>
        <w:spacing w:after="0" w:line="1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 w:right="20"/>
        <w:spacing w:after="0" w:line="288"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The nature of the Company’s business is seasonal. Historically, sales in the first and fourth quarters have been higher than sales achieved in the second and third quarters of the fiscal year. Expenses and, to a greater extent, operating income, vary by</w:t>
      </w:r>
    </w:p>
    <w:p>
      <w:pPr>
        <w:ind w:left="1" w:right="120"/>
        <w:spacing w:after="0" w:line="261" w:lineRule="auto"/>
        <w:rPr>
          <w:sz w:val="20"/>
          <w:szCs w:val="20"/>
          <w:color w:val="auto"/>
        </w:rPr>
      </w:pPr>
      <w:r>
        <w:rPr>
          <w:rFonts w:ascii="Arial" w:cs="Arial" w:eastAsia="Arial" w:hAnsi="Arial"/>
          <w:sz w:val="18"/>
          <w:szCs w:val="18"/>
          <w:color w:val="auto"/>
        </w:rPr>
        <w:t>quarter. Results of a period shorter than a full year may not be indicative of results expected for the entire year. Furthermore, the seasonal nature of the Company’s business may affect comparisons between periods.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Key Operating Statistics</w:t>
      </w:r>
    </w:p>
    <w:p>
      <w:pPr>
        <w:spacing w:after="0" w:line="229" w:lineRule="exact"/>
        <w:rPr>
          <w:sz w:val="20"/>
          <w:szCs w:val="20"/>
          <w:color w:val="auto"/>
        </w:rPr>
      </w:pPr>
    </w:p>
    <w:p>
      <w:pPr>
        <w:ind w:left="1" w:right="140"/>
        <w:spacing w:after="0" w:line="308" w:lineRule="auto"/>
        <w:rPr>
          <w:sz w:val="20"/>
          <w:szCs w:val="20"/>
          <w:color w:val="auto"/>
        </w:rPr>
      </w:pPr>
      <w:r>
        <w:rPr>
          <w:rFonts w:ascii="Arial" w:cs="Arial" w:eastAsia="Arial" w:hAnsi="Arial"/>
          <w:sz w:val="17"/>
          <w:szCs w:val="17"/>
          <w:color w:val="auto"/>
        </w:rPr>
        <w:t>We measure performance using key operating statistics. One of the main performance measures we use is comparable store sales growth. We define a comparable store as a store that has been opened for an entire fiscal year. Therefore, a store will not be</w:t>
      </w:r>
    </w:p>
    <w:p>
      <w:pPr>
        <w:sectPr>
          <w:pgSz w:w="11900" w:h="16838" w:orient="portrait"/>
          <w:cols w:equalWidth="0" w:num="1">
            <w:col w:w="10061"/>
          </w:cols>
          <w:pgMar w:left="919" w:top="125" w:right="91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372745</wp:posOffset>
            </wp:positionV>
            <wp:extent cx="638873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type w:val="continuous"/>
        </w:sectPr>
      </w:pPr>
    </w:p>
    <w:bookmarkStart w:id="14" w:name="page15"/>
    <w:bookmarkEnd w:id="14"/>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considered a comparable store until its 13th month of operation at the earliest or until its 24th month at the latest. As an example, stores opened in fiscal 2018 and fiscal 2019 are not considered comparable stores in fiscal 2019.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as adjusted for non-cash asset impairment expense and expenses related to our proxy contest), which are considered our most important operating statistics. We believe that excluding non-cash impairment expense and proxy contest expenses from our financial results reflects operating results that are more indicative of our ongoing operating performance while improving comparability to prior and future periods, and as such, provides an enhanced understanding of our past financial performance and prospects for the future.</w:t>
      </w:r>
    </w:p>
    <w:p>
      <w:pPr>
        <w:spacing w:after="0" w:line="16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w:t>
      </w:r>
    </w:p>
    <w:p>
      <w:pPr>
        <w:ind w:right="220"/>
        <w:spacing w:after="0" w:line="277" w:lineRule="auto"/>
        <w:rPr>
          <w:sz w:val="20"/>
          <w:szCs w:val="20"/>
          <w:color w:val="auto"/>
        </w:rPr>
      </w:pPr>
      <w:r>
        <w:rPr>
          <w:rFonts w:ascii="Arial" w:cs="Arial" w:eastAsia="Arial" w:hAnsi="Arial"/>
          <w:sz w:val="17"/>
          <w:szCs w:val="17"/>
          <w:color w:val="auto"/>
        </w:rPr>
        <w:t>expense. Therefore, EBITDA and Adjusted EBITDA should be used as supplements to results of operations and cash flows as reported under U.S. GAAP and should not be used as a singular measure of operating performance or as a substitute for U.S. GAAP results. Furthermore, such non-GAAP measures may not be comparable to similarly titled measures of other companies.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Provided below is a reconciliation of net income to EBITDA and to Adjusted EBITDA for the thirty-nine and thirteen week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2, 2019 and November 3, 2018 (in thousands):</w:t>
      </w:r>
    </w:p>
    <w:p>
      <w:pPr>
        <w:spacing w:after="0" w:line="216"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Thirty-Nine Weeks Ended</w:t>
            </w:r>
          </w:p>
        </w:tc>
        <w:tc>
          <w:tcPr>
            <w:tcW w:w="300" w:type="dxa"/>
            <w:vAlign w:val="bottom"/>
          </w:tcPr>
          <w:p>
            <w:pPr>
              <w:spacing w:after="0"/>
              <w:rPr>
                <w:sz w:val="14"/>
                <w:szCs w:val="14"/>
                <w:color w:val="auto"/>
              </w:rPr>
            </w:pPr>
          </w:p>
        </w:tc>
        <w:tc>
          <w:tcPr>
            <w:tcW w:w="1660" w:type="dxa"/>
            <w:vAlign w:val="bottom"/>
            <w:gridSpan w:val="3"/>
          </w:tcPr>
          <w:p>
            <w:pPr>
              <w:ind w:left="220"/>
              <w:spacing w:after="0"/>
              <w:rPr>
                <w:sz w:val="20"/>
                <w:szCs w:val="20"/>
                <w:color w:val="auto"/>
              </w:rPr>
            </w:pPr>
            <w:r>
              <w:rPr>
                <w:rFonts w:ascii="Arial" w:cs="Arial" w:eastAsia="Arial" w:hAnsi="Arial"/>
                <w:sz w:val="14"/>
                <w:szCs w:val="14"/>
                <w:b w:val="1"/>
                <w:bCs w:val="1"/>
                <w:color w:val="auto"/>
                <w:w w:val="94"/>
              </w:rPr>
              <w:t>Thirteen Weeks Ended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00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November 2, 2019</w:t>
            </w:r>
          </w:p>
        </w:tc>
        <w:tc>
          <w:tcPr>
            <w:tcW w:w="11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November 3, 2018</w:t>
            </w:r>
          </w:p>
        </w:tc>
        <w:tc>
          <w:tcPr>
            <w:tcW w:w="140" w:type="dxa"/>
            <w:vAlign w:val="bottom"/>
          </w:tcPr>
          <w:p>
            <w:pPr>
              <w:spacing w:after="0"/>
              <w:rPr>
                <w:sz w:val="12"/>
                <w:szCs w:val="12"/>
                <w:color w:val="auto"/>
              </w:rPr>
            </w:pPr>
          </w:p>
        </w:tc>
        <w:tc>
          <w:tcPr>
            <w:tcW w:w="128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November 2, 2019</w:t>
            </w:r>
          </w:p>
        </w:tc>
        <w:tc>
          <w:tcPr>
            <w:tcW w:w="11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November 3, 2018</w:t>
            </w:r>
          </w:p>
        </w:tc>
        <w:tc>
          <w:tcPr>
            <w:tcW w:w="60" w:type="dxa"/>
            <w:vAlign w:val="bottom"/>
          </w:tcPr>
          <w:p>
            <w:pPr>
              <w:spacing w:after="0"/>
              <w:rPr>
                <w:sz w:val="12"/>
                <w:szCs w:val="12"/>
                <w:color w:val="auto"/>
              </w:rPr>
            </w:pPr>
          </w:p>
        </w:tc>
      </w:tr>
      <w:tr>
        <w:trPr>
          <w:trHeight w:val="210"/>
        </w:trPr>
        <w:tc>
          <w:tcPr>
            <w:tcW w:w="40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w:t>
            </w: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30"/>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13,741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4,520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4,600</w:t>
            </w:r>
          </w:p>
        </w:tc>
        <w:tc>
          <w:tcPr>
            <w:tcW w:w="60" w:type="dxa"/>
            <w:vAlign w:val="bottom"/>
          </w:tcPr>
          <w:p>
            <w:pPr>
              <w:spacing w:after="0"/>
              <w:rPr>
                <w:sz w:val="19"/>
                <w:szCs w:val="19"/>
                <w:color w:val="auto"/>
              </w:rPr>
            </w:pPr>
          </w:p>
        </w:tc>
      </w:tr>
      <w:tr>
        <w:trPr>
          <w:trHeight w:val="216"/>
        </w:trPr>
        <w:tc>
          <w:tcPr>
            <w:tcW w:w="4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(1,214)</w:t>
            </w: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(122)</w:t>
            </w:r>
          </w:p>
        </w:tc>
        <w:tc>
          <w:tcPr>
            <w:tcW w:w="6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23"/>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21,036</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3,575</w:t>
            </w: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Asset impairment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9"/>
                <w:szCs w:val="19"/>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Proxy contest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400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22,550</w:t>
            </w:r>
          </w:p>
        </w:tc>
        <w:tc>
          <w:tcPr>
            <w:tcW w:w="1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31,686</w:t>
            </w: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14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3,755</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Thirty-Nine Weeks Ended November 2, 2019 and November 3, 2018</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$2.5 million, or 0.4%, to $570.9 million in the thirty-nine weeks ended November 2, 2019 from $568.4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thirty-nine weeks ended November 3, 2018. The increase in sales was due to the opening of 18 new stores since the third quarter of last year, partially offset by a 1.2% decrease in comparable store sales and the impact of closing nine stores since the third quarter of last year. The decrease in comparable store sales was reflected in a 1.5% decrease in customer transactions, along with a slight decrease in the average unit sale, partially offset by an increase in the average number of items per transaction of less than</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 Comparable store sales changes by major merchandise class were as follows in the first thirty-nine weeks of fiscal 2019: Home +7%; Accessories +5%; Men’s -4%; Ladies’ -5%; and Children’s -6%.</w:t>
      </w:r>
    </w:p>
    <w:p>
      <w:pPr>
        <w:sectPr>
          <w:pgSz w:w="11900" w:h="16838" w:orient="portrait"/>
          <w:cols w:equalWidth="0" w:num="1">
            <w:col w:w="10000"/>
          </w:cols>
          <w:pgMar w:left="920" w:top="125"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25" w:right="979" w:bottom="1440" w:gutter="0" w:footer="0" w:header="0"/>
          <w:type w:val="continuous"/>
        </w:sectPr>
      </w:pPr>
    </w:p>
    <w:bookmarkStart w:id="15" w:name="page16"/>
    <w:bookmarkEnd w:id="15"/>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Store opening and closing activity resulted in a net sales increase of $9.4 million, while the 1.2% decrease in comparable store sales totaled $6.9 million.</w:t>
      </w:r>
    </w:p>
    <w:p>
      <w:pPr>
        <w:spacing w:after="0" w:line="10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$7.2 million, or 2.1%, to $357.4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thirty-nine weeks ended November 2, 2019 from $350.2 million in the thirty-nine weeks ended November 3, 2018. Cost of sales as a percentage of sales increased to 62.6% in the first thirty-nine weeks of fiscal 2019 from 61.6% in the same period of fiscal 2018 due primarily to a reduction in the core merchandise margin (initial mark-up, net of markdowns), as more markdowns were taken in response to the challenging sales environment.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increased $5.5 million, or 2.9%, to $192.0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the thirty-nine weeks ended November 2, 2019 from $186.5 million in the thirty-nine weeks ended November 3, 2018 due primarily to $1.2 million in costs associated with the CEO transition and changes to the Company’s Board of Directors, together with $1.0 million of expenses incurred in connection with a proxy contest, as well as the impact on expenses of opening 18 new stores since the third quarter of last year and normal inflationary pressure on expenses such as rent and payroll. These increases were partially offset by a $2.2 million decrease in incentive compensation expense resulting from less favorable earnings results in relation to target, as well as a $1.2 million gain on insurance claims received in fiscal 2019. As a percentage of sales, selling, general and administrative expenses increased to 33.6% in the first thirty-nine weeks of fiscal 2019 from 32.8% in the first thirty-nine weeks of fiscal 2018 due primarily to the deleveraging effect resulting from declining comparable store sales.</w:t>
      </w:r>
    </w:p>
    <w:p>
      <w:pPr>
        <w:spacing w:after="0" w:line="1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$0.6 million, or 3.6%, to $13.7 million in the first thirty-nine weeks of fiscal 2019 from</w:t>
      </w:r>
      <w:r>
        <w:rPr>
          <w:rFonts w:ascii="Arial" w:cs="Arial" w:eastAsia="Arial" w:hAnsi="Arial"/>
          <w:sz w:val="18"/>
          <w:szCs w:val="18"/>
          <w:i w:val="1"/>
          <w:iCs w:val="1"/>
          <w:color w:val="auto"/>
        </w:rPr>
        <w:t xml:space="preserve"> </w:t>
      </w:r>
      <w:r>
        <w:rPr>
          <w:rFonts w:ascii="Arial" w:cs="Arial" w:eastAsia="Arial" w:hAnsi="Arial"/>
          <w:sz w:val="18"/>
          <w:szCs w:val="18"/>
          <w:color w:val="auto"/>
        </w:rPr>
        <w:t>$14.3 million in the first thirty-nine weeks of fiscal 2018.</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an underperforming store totaled $0.5 million in the first thirty-nine weeks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$0.3 million for leasehold improvements and fixtures and equipment, and $0.2 million for an operating lease right-of-use asset. In the first thirty-nine weeks of fiscal 2018, impairment charges related to underperforming stores totaled $1.1 million, comprised entirely of leasehold improvements and fixtures and equipment.</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$1.9 million, or 58.4%, to $1.3 million in the first thirty-nine weeks of fiscal 2019</w:t>
      </w:r>
      <w:r>
        <w:rPr>
          <w:rFonts w:ascii="Arial" w:cs="Arial" w:eastAsia="Arial" w:hAnsi="Arial"/>
          <w:sz w:val="18"/>
          <w:szCs w:val="18"/>
          <w:i w:val="1"/>
          <w:iCs w:val="1"/>
          <w:color w:val="auto"/>
        </w:rPr>
        <w:t xml:space="preserve"> </w:t>
      </w:r>
      <w:r>
        <w:rPr>
          <w:rFonts w:ascii="Arial" w:cs="Arial" w:eastAsia="Arial" w:hAnsi="Arial"/>
          <w:sz w:val="18"/>
          <w:szCs w:val="18"/>
          <w:color w:val="auto"/>
        </w:rPr>
        <w:t>from $3.2 million in the first thirty-nine weeks of fiscal 2018 due to a decrease in pretax income and a decrease in the effective income tax rate to 15.6% from 18.4%.</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$6.9 million, or 49.5%, to $7.1 million in the first thirty-nine weeks of fiscal 2019 from $14.0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thirty-nine weeks of fiscal 2018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November 2, 2019 and November 3, 2018</w:t>
      </w:r>
    </w:p>
    <w:p>
      <w:pPr>
        <w:spacing w:after="0" w:line="24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$7.7 million, or 4.4%, to $183.1 million in the thirteen weeks ended November 2, 2019 from $175.4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thirteen weeks ended November 3, 2018. The increase in sales was due to a 2.6% increase in comparable store sales and the opening of 18 stores since the third quarter of last year, partially offset by the impact of closing nine stores since the third quarter of last year. The increase in comparable store sales was reflected in an increase of more than 2% in the average number of items per transaction and an increase of less than 2% in the number of customer transactions, partially offset by a 1% decrease in the average unit sale. Comparable store sales changes by major merchandise class were as follows in the third quarter of 2019: Home +11%; Accessories +9%; Ladies’ +1%; Men’s 0%; and Children’s -2%.</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2.6% increase in comparable store sales resulted in an increase of $4.4 million in sales, while store opening and closing activity resulted in a net increase of $3.3 million.</w:t>
      </w:r>
    </w:p>
    <w:p>
      <w:pPr>
        <w:spacing w:after="0" w:line="17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$4.2 million, or 3.8%, to $114.6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2019 from $110.4 million in last year’s third quarter. Cost of sales as a percentage of sales decreased to 62.6% in the third quarter of 2019 from 63.0% in the third quarter of 2018 due primarily to an improvement in the core merchandise margin (initial mark-up, net of markdowns).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$4.3 million, or 7.0%, to $65.5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third quarter of 2019 from $61.2 million in last year’s third quarter. The increase was due primarily to the impact on expenses of opening 18 new stores since the third quarter of last year, together with normal inflationary pressure on expenses such as rent and payroll, as well as an increase of $0.7 million in costs associated with the CEO transition and changes to the Company’s Board of Directors. As a percentage of sales, selling, general and administrative expenses increased to 35.8% in the third quarter of 2019 from 34.9% in the third quarter of 2018.</w:t>
      </w:r>
    </w:p>
    <w:p>
      <w:pPr>
        <w:sectPr>
          <w:pgSz w:w="11900" w:h="16838" w:orient="portrait"/>
          <w:cols w:equalWidth="0" w:num="1">
            <w:col w:w="10060"/>
          </w:cols>
          <w:pgMar w:left="920" w:top="125" w:right="91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type w:val="continuous"/>
        </w:sectPr>
      </w:pPr>
    </w:p>
    <w:bookmarkStart w:id="16" w:name="page17"/>
    <w:bookmarkEnd w:id="16"/>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$0.1 million, or 1.7%, to $4.5 million in the third quarter of 2019 from $4.6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2018.</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There were no impairment charges related to underperforming stores in the third quarter of 2019. In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impairment charges related to property and equipment at underperforming stores totaled $0.2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Income Tax Benefit. </w:t>
      </w:r>
      <w:r>
        <w:rPr>
          <w:rFonts w:ascii="Arial" w:cs="Arial" w:eastAsia="Arial" w:hAnsi="Arial"/>
          <w:sz w:val="16"/>
          <w:szCs w:val="16"/>
          <w:color w:val="auto"/>
        </w:rPr>
        <w:t>Income tax benefit was $0.1 million in the third quarter of 2019 compared to $0.2 million in the third quarter of 2018.</w:t>
      </w:r>
    </w:p>
    <w:p>
      <w:pPr>
        <w:spacing w:after="0" w:line="24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increased $0.6 million to a loss of $1.1 million in the third quarter of 2019 compared to a loss of $0.5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2018 due to the factors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cash requirements are primarily for working capital and capital expenditures for new and existing stores, distribution infrastructure and information systems. In addition, in November 2018, we initiated a share repurchase program of up to $25.0 million and, in the first thirty-nine weeks of fiscal 2019, we repurchased shares of our common stock at an aggregate cost of $9.7 million. Also, during the first thirty-nine weeks of fiscal 2019, we paid dividends of $2.9 million. In recent years, we have met our cash requirements using cash flow from operations and short-term trade credit. We expect to be able to meet future cash requirements with cash flow from operations, short-term trade credit, existing balances of cash and investment securities and, if necessary, borrowings under our revolving credit facility described in Note 7 to the condensed consolidated financial statements included in Part I, Item 1 of this report.</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Current Financial Condition. </w:t>
      </w:r>
      <w:r>
        <w:rPr>
          <w:rFonts w:ascii="Arial" w:cs="Arial" w:eastAsia="Arial" w:hAnsi="Arial"/>
          <w:sz w:val="17"/>
          <w:szCs w:val="17"/>
          <w:color w:val="auto"/>
        </w:rPr>
        <w:t>As of November 2, 2019, we had total cash and cash equivalents of $23.7 million compared to $17.9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as of February 2, 2019. Additionally, we had $32.3 million and $16.3 million of short-term and long-term investment securities, respectively, as of November 2, 2019, compared with $50.4 million and $8.9 million, respectively, as of February 2, 2019. These securities are comprised of bank certificates of deposit and obligations of the U.S. Treasury, states and municipalities. Inventory represented 30.6% of our total assets as of November 2, 2019, compared to 46.9% as of February 2, 2019.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7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provided by operating activities was $21.1 million in the thirty-nine weeks ended</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 2019 compared to $14.3 million in the thirty-nine weeks ended November 3, 2018. Sources of cash provided during the first thirty-nine weeks of 2019 included net income adjusted for non-cash expenses such as depreciation, non-cash operating lease costs, asset impairment, loss on disposal of property and equipment, insurance proceeds from operating activities, deferred income taxes and stock-based compensation expense, totaling $57.9 million (compared to $30.2 million in the first thirty-nine weeks of 2018). Other significant sources of cash in the first thirty-nine weeks of 2019 included (1) a $4.1 million decrease in inventory (compared with a $2.2 million increase in the first thirty-nine weeks of 2018) due to efforts to improve inventory turns and maintain as much inventory liquidity as possible in order to take advantage of opportunistic deals and trend changes; and (2) a $1.7 million increase in layaway deposits (compared to a $1.6 million increase in the first thirty-nine weeks of 2018) due to the seasonality of layaway transactions, as the layaway deposits are low at the end of the fourth quarter after merchandise put on layaway for Christmas has been picked up.</w:t>
      </w:r>
    </w:p>
    <w:p>
      <w:pPr>
        <w:spacing w:after="0" w:line="1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Significant uses of cash from operating activities in the first thirty-nine weeks of 2019 were (1) a $33.1 million decrease in accrued expenses and other long-term liabilities (compared to a $0.1 million increase in the first thirty-nine weeks of 2018) due primarily to payments of operating lease liabilities recorded due to the adoption of ASU 2016-02; (2) a $3.3 million change in the income tax payable/receivable (compared to a $1.9 million change in the first thirty-nine weeks of 2018) due to estimated tax payments made during the year; (3) a $3.2 million decrease in accrued compensation (compared to a $5.9 million decrease in the first thirty-nine weeks of 2018) due to the payment in the first thirty-nine weeks of 2019 of incentive compensation accrued in fiscal 2018; and (4) a $1.8 million decrease in accounts payable (compared to a $7.6 million decrease in the first thirty-nine weeks of 2018) due to the decrease in inventory discussed above.</w:t>
      </w:r>
    </w:p>
    <w:p>
      <w:pPr>
        <w:spacing w:after="0" w:line="19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Cash used in investing activities was $2.0 million in the thirty-nine weeks ended November 2,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cash used of $5.1 million in the thirty-nine weeks ended November 3, 2018. Cash used for purchases of property and equipment totaled $13.2 million and $9.0 million in the first thirty-nine weeks of 2019 and 2018, respectively. Sales/redemptions of investment securities, net of purchases, provided cash of $10.7 million and $3.7 million in the first thirty-nine weeks of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7" w:name="page18"/>
    <w:bookmarkEnd w:id="17"/>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Cash used in financing activities was $13.2 million in the thirty-nine weeks ended</w:t>
      </w:r>
    </w:p>
    <w:p>
      <w:pPr>
        <w:spacing w:after="0" w:line="23" w:lineRule="exact"/>
        <w:rPr>
          <w:sz w:val="20"/>
          <w:szCs w:val="20"/>
          <w:color w:val="auto"/>
        </w:rPr>
      </w:pPr>
    </w:p>
    <w:p>
      <w:pPr>
        <w:ind w:left="1" w:right="60"/>
        <w:spacing w:after="0" w:line="277" w:lineRule="auto"/>
        <w:rPr>
          <w:sz w:val="20"/>
          <w:szCs w:val="20"/>
          <w:color w:val="auto"/>
        </w:rPr>
      </w:pPr>
      <w:r>
        <w:rPr>
          <w:rFonts w:ascii="Arial" w:cs="Arial" w:eastAsia="Arial" w:hAnsi="Arial"/>
          <w:sz w:val="17"/>
          <w:szCs w:val="17"/>
          <w:color w:val="auto"/>
        </w:rPr>
        <w:t>November 2, 2019 compared to $29.3 million in the thirty-nine weeks ended November 3, 2018. Cash used for the repurchase of common stock totaled $9.7 million and $25.0 million in the first thirty-nine weeks of 2019 and 2018, respectively. Dividends paid to stockholders used cash of $2.9 million and $3.2 million in the first thirty-nine weeks of 2019 and 2018, respectively.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7"/>
          <w:szCs w:val="17"/>
          <w:color w:val="auto"/>
        </w:rPr>
        <w:t>Our principal sources of liquidity consist of: (i) cash and cash equivalents (which equaled $23.7 million as of November 2, 2019);</w:t>
      </w:r>
    </w:p>
    <w:p>
      <w:pPr>
        <w:spacing w:after="0" w:line="35" w:lineRule="exact"/>
        <w:rPr>
          <w:sz w:val="20"/>
          <w:szCs w:val="20"/>
          <w:color w:val="auto"/>
        </w:rPr>
      </w:pPr>
    </w:p>
    <w:p>
      <w:pPr>
        <w:ind w:left="261" w:hanging="261"/>
        <w:spacing w:after="0"/>
        <w:tabs>
          <w:tab w:leader="none" w:pos="261" w:val="left"/>
        </w:tabs>
        <w:numPr>
          <w:ilvl w:val="0"/>
          <w:numId w:val="18"/>
        </w:numPr>
        <w:rPr>
          <w:rFonts w:ascii="Arial" w:cs="Arial" w:eastAsia="Arial" w:hAnsi="Arial"/>
          <w:sz w:val="16"/>
          <w:szCs w:val="16"/>
          <w:color w:val="auto"/>
        </w:rPr>
      </w:pPr>
      <w:r>
        <w:rPr>
          <w:rFonts w:ascii="Arial" w:cs="Arial" w:eastAsia="Arial" w:hAnsi="Arial"/>
          <w:sz w:val="16"/>
          <w:szCs w:val="16"/>
          <w:color w:val="auto"/>
        </w:rPr>
        <w:t>short-term and long-term investment securities (which equaled $32.3 million and $16.3 million, respectively, as of November 2, 2019);</w:t>
      </w:r>
    </w:p>
    <w:p>
      <w:pPr>
        <w:spacing w:after="0" w:line="32" w:lineRule="exact"/>
        <w:rPr>
          <w:rFonts w:ascii="Arial" w:cs="Arial" w:eastAsia="Arial" w:hAnsi="Arial"/>
          <w:sz w:val="16"/>
          <w:szCs w:val="16"/>
          <w:color w:val="auto"/>
        </w:rPr>
      </w:pPr>
    </w:p>
    <w:p>
      <w:pPr>
        <w:ind w:left="1" w:hanging="1"/>
        <w:spacing w:after="0" w:line="254" w:lineRule="auto"/>
        <w:tabs>
          <w:tab w:leader="none" w:pos="3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short-term trade credit; (iv) cash generated from operations on an ongoing basis as we sell our merchandise inventory; and (v) a $50.0 million revolving credit facility (under which we have no borrowings outstanding).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76" w:lineRule="exact"/>
        <w:rPr>
          <w:sz w:val="20"/>
          <w:szCs w:val="20"/>
          <w:color w:val="auto"/>
        </w:rPr>
      </w:pPr>
    </w:p>
    <w:p>
      <w:pPr>
        <w:ind w:left="1" w:right="20"/>
        <w:spacing w:after="0" w:line="277" w:lineRule="auto"/>
        <w:rPr>
          <w:sz w:val="20"/>
          <w:szCs w:val="20"/>
          <w:color w:val="auto"/>
        </w:rPr>
      </w:pPr>
      <w:r>
        <w:rPr>
          <w:rFonts w:ascii="Arial" w:cs="Arial" w:eastAsia="Arial" w:hAnsi="Arial"/>
          <w:sz w:val="18"/>
          <w:szCs w:val="18"/>
          <w:color w:val="auto"/>
        </w:rPr>
        <w:t>We believe that our existing sources of liquidity will be sufficient to fund our operations and anticipated capital expenditures for at least the next 12 months.</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left="1" w:right="620"/>
        <w:spacing w:after="0" w:line="277" w:lineRule="auto"/>
        <w:rPr>
          <w:sz w:val="20"/>
          <w:szCs w:val="20"/>
          <w:color w:val="auto"/>
        </w:rPr>
      </w:pPr>
      <w:r>
        <w:rPr>
          <w:rFonts w:ascii="Arial" w:cs="Arial" w:eastAsia="Arial" w:hAnsi="Arial"/>
          <w:sz w:val="18"/>
          <w:szCs w:val="18"/>
          <w:color w:val="auto"/>
        </w:rPr>
        <w:t>See the discussion of Recent Accounting Pronouncements in Note 12 to the unaudited condensed consolidated financial statements included in Part I, Item 1 of this report.</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left="1" w:right="20"/>
        <w:spacing w:after="0" w:line="259" w:lineRule="auto"/>
        <w:rPr>
          <w:sz w:val="20"/>
          <w:szCs w:val="20"/>
          <w:color w:val="auto"/>
        </w:rPr>
      </w:pPr>
      <w:r>
        <w:rPr>
          <w:rFonts w:ascii="Arial" w:cs="Arial" w:eastAsia="Arial" w:hAnsi="Arial"/>
          <w:sz w:val="18"/>
          <w:szCs w:val="18"/>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left="1" w:right="460"/>
        <w:spacing w:after="0" w:line="277" w:lineRule="auto"/>
        <w:rPr>
          <w:sz w:val="20"/>
          <w:szCs w:val="20"/>
          <w:color w:val="auto"/>
        </w:rPr>
      </w:pPr>
      <w:r>
        <w:rPr>
          <w:rFonts w:ascii="Arial" w:cs="Arial" w:eastAsia="Arial" w:hAnsi="Arial"/>
          <w:sz w:val="18"/>
          <w:szCs w:val="18"/>
          <w:color w:val="auto"/>
        </w:rPr>
        <w:t>On February 3, 2019, we adopted ASU No. 2016-02, Leases (Topic 842). For additional information, see Note 12 and Note 14 to the unaudited condensed consolidated financial statements included in Part 1, Item 1 of this report.</w:t>
      </w:r>
    </w:p>
    <w:p>
      <w:pPr>
        <w:spacing w:after="0" w:line="170" w:lineRule="exact"/>
        <w:rPr>
          <w:sz w:val="20"/>
          <w:szCs w:val="20"/>
          <w:color w:val="auto"/>
        </w:rPr>
      </w:pPr>
    </w:p>
    <w:p>
      <w:pPr>
        <w:ind w:left="1" w:right="40"/>
        <w:spacing w:after="0" w:line="277" w:lineRule="auto"/>
        <w:rPr>
          <w:sz w:val="20"/>
          <w:szCs w:val="20"/>
          <w:color w:val="auto"/>
        </w:rPr>
      </w:pPr>
      <w:r>
        <w:rPr>
          <w:rFonts w:ascii="Arial" w:cs="Arial" w:eastAsia="Arial" w:hAnsi="Arial"/>
          <w:sz w:val="18"/>
          <w:szCs w:val="18"/>
          <w:color w:val="auto"/>
        </w:rPr>
        <w:t>There have been no other material changes to the Critical Accounting Policies outlined in the Company’s Annual Report on Form 10-K for the year ended February 2,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18" w:name="page19"/>
    <w:bookmarkEnd w:id="18"/>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have been no material changes in our market risk during the thirty-nine weeks ended November 2, 2019 compared to the disclosures in Part II, Item 7A of our Annual Report on Form 10-K for the year ended February 2,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carried out an evaluation under the supervision and with the participation of management, including the Chief Executive Officer and the Chief Financial Officer, of the effectiveness of the design and operation of our disclosure controls and procedures as of November 2, 2019 pursuant to Rules 13a-15 and 15d-15 of the Exchange Act. Based on that evaluation, the Chief Executive Officer and the Chief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192"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During the thirty-nine weeks ended November 2, 2019, we implemented ASU No. 2016-02, Leases (Topic 842). In connection with its adoption, we implemented changes to our accounting policies, operational processes and internal controls to ensure compliance with the new standard.</w:t>
      </w:r>
    </w:p>
    <w:p>
      <w:pPr>
        <w:spacing w:after="0" w:line="18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There were no other changes in our internal control over financial reporting that occurred during the fiscal quarter ended November 2, 2019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5" w:right="919" w:bottom="1440" w:gutter="0" w:footer="0" w:header="0"/>
        </w:sectPr>
      </w:pPr>
    </w:p>
    <w:bookmarkStart w:id="19" w:name="page20"/>
    <w:bookmarkEnd w:id="19"/>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 w:right="20"/>
        <w:spacing w:after="0" w:line="276" w:lineRule="auto"/>
        <w:rPr>
          <w:sz w:val="20"/>
          <w:szCs w:val="20"/>
          <w:color w:val="auto"/>
        </w:rPr>
      </w:pPr>
      <w:r>
        <w:rPr>
          <w:rFonts w:ascii="Arial" w:cs="Arial" w:eastAsia="Arial" w:hAnsi="Arial"/>
          <w:sz w:val="17"/>
          <w:szCs w:val="17"/>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1"/>
        <w:spacing w:after="0" w:line="277" w:lineRule="auto"/>
        <w:rPr>
          <w:sz w:val="20"/>
          <w:szCs w:val="20"/>
          <w:color w:val="auto"/>
        </w:rPr>
      </w:pPr>
      <w:r>
        <w:rPr>
          <w:rFonts w:ascii="Arial" w:cs="Arial" w:eastAsia="Arial" w:hAnsi="Arial"/>
          <w:sz w:val="18"/>
          <w:szCs w:val="18"/>
          <w:color w:val="auto"/>
        </w:rPr>
        <w:t>There have been no material changes to the Risk Factors described under the section titled “ITEM 1A. RISK FACTORS” in the Company’s Annual Report on Form 10-K for the fiscal year ended February 2, 2019.</w:t>
      </w:r>
    </w:p>
    <w:p>
      <w:pPr>
        <w:spacing w:after="0" w:line="166"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i w:val="1"/>
          <w:iCs w:val="1"/>
          <w:color w:val="auto"/>
        </w:rPr>
        <w:t>Information on Share Repurchases</w:t>
      </w:r>
    </w:p>
    <w:p>
      <w:pPr>
        <w:spacing w:after="0" w:line="225" w:lineRule="exact"/>
        <w:rPr>
          <w:sz w:val="20"/>
          <w:szCs w:val="20"/>
          <w:color w:val="auto"/>
        </w:rPr>
      </w:pPr>
    </w:p>
    <w:p>
      <w:pPr>
        <w:ind w:left="1" w:right="80"/>
        <w:spacing w:after="0" w:line="277" w:lineRule="auto"/>
        <w:rPr>
          <w:sz w:val="20"/>
          <w:szCs w:val="20"/>
          <w:color w:val="auto"/>
        </w:rPr>
      </w:pPr>
      <w:r>
        <w:rPr>
          <w:rFonts w:ascii="Arial" w:cs="Arial" w:eastAsia="Arial" w:hAnsi="Arial"/>
          <w:sz w:val="18"/>
          <w:szCs w:val="18"/>
          <w:color w:val="auto"/>
        </w:rPr>
        <w:t>The number of shares of common stock repurchased by the Company during the third quarter of fiscal 2019 and the average price paid per share are as follows:</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9"/>
              </w:rPr>
              <w:t>approximate dollar value)</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60" w:type="dxa"/>
            <w:vAlign w:val="bottom"/>
          </w:tcPr>
          <w:p>
            <w:pPr>
              <w:spacing w:after="0"/>
              <w:rPr>
                <w:sz w:val="12"/>
                <w:szCs w:val="12"/>
                <w:color w:val="auto"/>
              </w:rPr>
            </w:pPr>
          </w:p>
        </w:tc>
        <w:tc>
          <w:tcPr>
            <w:tcW w:w="13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Average price paid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40" w:type="dxa"/>
            <w:vAlign w:val="bottom"/>
          </w:tcPr>
          <w:p>
            <w:pPr>
              <w:spacing w:after="0"/>
              <w:rPr>
                <w:sz w:val="12"/>
                <w:szCs w:val="12"/>
                <w:color w:val="auto"/>
              </w:rPr>
            </w:pPr>
          </w:p>
        </w:tc>
        <w:tc>
          <w:tcPr>
            <w:tcW w:w="1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that may yet be</w:t>
            </w:r>
          </w:p>
        </w:tc>
        <w:tc>
          <w:tcPr>
            <w:tcW w:w="0" w:type="dxa"/>
            <w:vAlign w:val="bottom"/>
          </w:tcPr>
          <w:p>
            <w:pPr>
              <w:spacing w:after="0"/>
              <w:rPr>
                <w:sz w:val="1"/>
                <w:szCs w:val="1"/>
                <w:color w:val="auto"/>
              </w:rPr>
            </w:pPr>
          </w:p>
        </w:tc>
      </w:tr>
      <w:tr>
        <w:trPr>
          <w:trHeight w:val="149"/>
        </w:trPr>
        <w:tc>
          <w:tcPr>
            <w:tcW w:w="3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140" w:type="dxa"/>
            <w:vAlign w:val="bottom"/>
          </w:tcPr>
          <w:p>
            <w:pPr>
              <w:spacing w:after="0"/>
              <w:rPr>
                <w:sz w:val="12"/>
                <w:szCs w:val="12"/>
                <w:color w:val="auto"/>
              </w:rPr>
            </w:pPr>
          </w:p>
        </w:tc>
        <w:tc>
          <w:tcPr>
            <w:tcW w:w="1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the plans</w:t>
            </w:r>
          </w:p>
        </w:tc>
        <w:tc>
          <w:tcPr>
            <w:tcW w:w="0" w:type="dxa"/>
            <w:vAlign w:val="bottom"/>
          </w:tcPr>
          <w:p>
            <w:pPr>
              <w:spacing w:after="0"/>
              <w:rPr>
                <w:sz w:val="1"/>
                <w:szCs w:val="1"/>
                <w:color w:val="auto"/>
              </w:rPr>
            </w:pPr>
          </w:p>
        </w:tc>
      </w:tr>
      <w:tr>
        <w:trPr>
          <w:trHeight w:val="171"/>
        </w:trPr>
        <w:tc>
          <w:tcPr>
            <w:tcW w:w="3980" w:type="dxa"/>
            <w:vAlign w:val="bottom"/>
            <w:gridSpan w:val="2"/>
            <w:vMerge w:val="continue"/>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 (1)</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(8/4/19 - 8/31/19)</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59,770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4,166,613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September (9/1/19 - 10/5/19)</w:t>
            </w:r>
          </w:p>
        </w:tc>
        <w:tc>
          <w:tcPr>
            <w:tcW w:w="1080" w:type="dxa"/>
            <w:vAlign w:val="bottom"/>
          </w:tcPr>
          <w:p>
            <w:pPr>
              <w:jc w:val="right"/>
              <w:spacing w:after="0"/>
              <w:rPr>
                <w:sz w:val="20"/>
                <w:szCs w:val="20"/>
                <w:color w:val="auto"/>
              </w:rPr>
            </w:pPr>
            <w:r>
              <w:rPr>
                <w:rFonts w:ascii="Arial" w:cs="Arial" w:eastAsia="Arial" w:hAnsi="Arial"/>
                <w:sz w:val="18"/>
                <w:szCs w:val="18"/>
                <w:color w:val="auto"/>
              </w:rPr>
              <w:t>146,696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18.11</w:t>
            </w: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146,696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1,513,704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(10/6/19 - 11/2/19)</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4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83,747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290,213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1" w:hanging="201"/>
        <w:spacing w:after="0"/>
        <w:tabs>
          <w:tab w:leader="none" w:pos="2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commissions for the shares repurchased under the stock repurchase program</w:t>
      </w:r>
      <w:r>
        <w:rPr>
          <w:rFonts w:ascii="Arial" w:cs="Arial" w:eastAsia="Arial" w:hAnsi="Arial"/>
          <w:sz w:val="18"/>
          <w:szCs w:val="18"/>
          <w:color w:val="auto"/>
        </w:rPr>
        <w:t>.</w:t>
      </w:r>
    </w:p>
    <w:p>
      <w:pPr>
        <w:spacing w:after="0" w:line="16" w:lineRule="exact"/>
        <w:rPr>
          <w:rFonts w:ascii="Arial" w:cs="Arial" w:eastAsia="Arial" w:hAnsi="Arial"/>
          <w:sz w:val="14"/>
          <w:szCs w:val="14"/>
          <w:color w:val="auto"/>
        </w:rPr>
      </w:pPr>
    </w:p>
    <w:p>
      <w:pPr>
        <w:ind w:left="201" w:hanging="201"/>
        <w:spacing w:after="0" w:line="221" w:lineRule="auto"/>
        <w:tabs>
          <w:tab w:leader="none" w:pos="201" w:val="left"/>
        </w:tabs>
        <w:numPr>
          <w:ilvl w:val="0"/>
          <w:numId w:val="19"/>
        </w:numPr>
        <w:rPr>
          <w:rFonts w:ascii="Arial" w:cs="Arial" w:eastAsia="Arial" w:hAnsi="Arial"/>
          <w:sz w:val="14"/>
          <w:szCs w:val="14"/>
          <w:color w:val="auto"/>
        </w:rPr>
      </w:pPr>
      <w:r>
        <w:rPr>
          <w:rFonts w:ascii="Arial" w:cs="Arial" w:eastAsia="Arial" w:hAnsi="Arial"/>
          <w:sz w:val="14"/>
          <w:szCs w:val="14"/>
          <w:color w:val="auto"/>
        </w:rPr>
        <w:t>On November 28, 2018 we announced a $25.0 million stock repurchase program, under which no additional shares remain available as of</w:t>
      </w:r>
    </w:p>
    <w:p>
      <w:pPr>
        <w:ind w:left="1"/>
        <w:spacing w:after="0" w:line="237" w:lineRule="auto"/>
        <w:rPr>
          <w:sz w:val="20"/>
          <w:szCs w:val="20"/>
          <w:color w:val="auto"/>
        </w:rPr>
      </w:pPr>
      <w:r>
        <w:rPr>
          <w:rFonts w:ascii="Arial" w:cs="Arial" w:eastAsia="Arial" w:hAnsi="Arial"/>
          <w:sz w:val="14"/>
          <w:szCs w:val="14"/>
          <w:color w:val="auto"/>
        </w:rPr>
        <w:t>November 2, 2019. Repurchases under the stock repurchase program could be made at management’s discretion from time to time on the open market, in privately negotiated transactions or otherwise, and may be made in part under one or more Rule 10b5-1 plans.</w:t>
      </w:r>
    </w:p>
    <w:p>
      <w:pPr>
        <w:spacing w:after="0" w:line="120" w:lineRule="exact"/>
        <w:rPr>
          <w:sz w:val="20"/>
          <w:szCs w:val="20"/>
          <w:color w:val="auto"/>
        </w:rPr>
      </w:pPr>
    </w:p>
    <w:p>
      <w:pPr>
        <w:ind w:left="1" w:right="560"/>
        <w:spacing w:after="0" w:line="308" w:lineRule="auto"/>
        <w:rPr>
          <w:sz w:val="20"/>
          <w:szCs w:val="20"/>
          <w:color w:val="auto"/>
        </w:rPr>
      </w:pPr>
      <w:r>
        <w:rPr>
          <w:rFonts w:ascii="Arial" w:cs="Arial" w:eastAsia="Arial" w:hAnsi="Arial"/>
          <w:sz w:val="14"/>
          <w:szCs w:val="14"/>
          <w:color w:val="auto"/>
        </w:rPr>
        <w:t>F</w:t>
      </w:r>
      <w:r>
        <w:rPr>
          <w:rFonts w:ascii="Arial" w:cs="Arial" w:eastAsia="Arial" w:hAnsi="Arial"/>
          <w:sz w:val="17"/>
          <w:szCs w:val="17"/>
          <w:color w:val="auto"/>
        </w:rPr>
        <w:t>ollowing the end of the period covered by this report, on November 22, 2019, the Company’s Board of Directors approved another</w:t>
      </w:r>
      <w:r>
        <w:rPr>
          <w:rFonts w:ascii="Arial" w:cs="Arial" w:eastAsia="Arial" w:hAnsi="Arial"/>
          <w:sz w:val="14"/>
          <w:szCs w:val="14"/>
          <w:color w:val="auto"/>
        </w:rPr>
        <w:t xml:space="preserve"> </w:t>
      </w:r>
      <w:r>
        <w:rPr>
          <w:rFonts w:ascii="Arial" w:cs="Arial" w:eastAsia="Arial" w:hAnsi="Arial"/>
          <w:sz w:val="17"/>
          <w:szCs w:val="17"/>
          <w:color w:val="auto"/>
        </w:rPr>
        <w:t>program that authorized the repurchase of up to $25.0 million in shares of the Company’s common stock.</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7659"/>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7599"/>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5" w:right="919" w:bottom="1440" w:gutter="0" w:footer="0" w:header="0"/>
        </w:sectPr>
      </w:pPr>
    </w:p>
    <w:bookmarkStart w:id="20" w:name="page21"/>
    <w:bookmarkEnd w:id="20"/>
    <w:p>
      <w:pPr>
        <w:ind w:left="1"/>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Item 6. Exhibits.</w:t>
      </w:r>
    </w:p>
    <w:p>
      <w:pPr>
        <w:spacing w:after="0" w:line="226" w:lineRule="exact"/>
        <w:rPr>
          <w:sz w:val="20"/>
          <w:szCs w:val="20"/>
          <w:color w:val="auto"/>
        </w:rPr>
      </w:pPr>
    </w:p>
    <w:tbl>
      <w:tblPr>
        <w:tblLayout w:type="fixed"/>
        <w:tblInd w:w="1" w:type="dxa"/>
        <w:tblCellMar>
          <w:top w:w="0" w:type="dxa"/>
          <w:left w:w="0" w:type="dxa"/>
          <w:bottom w:w="0" w:type="dxa"/>
          <w:right w:w="0" w:type="dxa"/>
        </w:tblCellMar>
      </w:tblPr>
      <w:tr>
        <w:trPr>
          <w:trHeight w:val="207"/>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31.1</w:t>
            </w:r>
          </w:p>
        </w:tc>
        <w:tc>
          <w:tcPr>
            <w:tcW w:w="1140" w:type="dxa"/>
            <w:vAlign w:val="bottom"/>
            <w:tcBorders>
              <w:bottom w:val="single" w:sz="8" w:color="0000EE"/>
            </w:tcBorders>
          </w:tcPr>
          <w:p>
            <w:pPr>
              <w:spacing w:after="0"/>
              <w:rPr>
                <w:rFonts w:ascii="Arial" w:cs="Arial" w:eastAsia="Arial" w:hAnsi="Arial"/>
                <w:sz w:val="18"/>
                <w:szCs w:val="18"/>
                <w:color w:val="0000EE"/>
                <w:w w:val="97"/>
              </w:rPr>
            </w:pPr>
            <w:hyperlink w:anchor="page23">
              <w:r>
                <w:rPr>
                  <w:rFonts w:ascii="Arial" w:cs="Arial" w:eastAsia="Arial" w:hAnsi="Arial"/>
                  <w:sz w:val="18"/>
                  <w:szCs w:val="18"/>
                  <w:color w:val="0000EE"/>
                  <w:w w:val="97"/>
                </w:rPr>
                <w:t>Certification of</w:t>
              </w:r>
            </w:hyperlink>
          </w:p>
        </w:tc>
        <w:tc>
          <w:tcPr>
            <w:tcW w:w="7940" w:type="dxa"/>
            <w:vAlign w:val="bottom"/>
            <w:tcBorders>
              <w:bottom w:val="single" w:sz="8" w:color="0000EE"/>
            </w:tcBorders>
            <w:gridSpan w:val="5"/>
          </w:tcPr>
          <w:p>
            <w:pPr>
              <w:ind w:left="40"/>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Bruce D. Smith, Chief Executive Officer, Pursuant to Rule 13a-14(a) of the Securities Exchange Act of 1934,</w:t>
              </w:r>
            </w:hyperlink>
          </w:p>
        </w:tc>
      </w:tr>
      <w:tr>
        <w:trPr>
          <w:trHeight w:val="183"/>
        </w:trPr>
        <w:tc>
          <w:tcPr>
            <w:tcW w:w="940" w:type="dxa"/>
            <w:vAlign w:val="bottom"/>
          </w:tcPr>
          <w:p>
            <w:pPr>
              <w:spacing w:after="0"/>
              <w:rPr>
                <w:sz w:val="15"/>
                <w:szCs w:val="15"/>
                <w:color w:val="auto"/>
              </w:rPr>
            </w:pPr>
          </w:p>
        </w:tc>
        <w:tc>
          <w:tcPr>
            <w:tcW w:w="9080" w:type="dxa"/>
            <w:vAlign w:val="bottom"/>
            <w:gridSpan w:val="6"/>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adopted pursuant to Section 302 of the Sarbanes-Oxley Act of 2002.*</w:t>
              </w:r>
            </w:hyperlink>
          </w:p>
        </w:tc>
      </w:tr>
      <w:tr>
        <w:trPr>
          <w:trHeight w:val="20"/>
        </w:trPr>
        <w:tc>
          <w:tcPr>
            <w:tcW w:w="9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31.2</w:t>
            </w:r>
          </w:p>
        </w:tc>
        <w:tc>
          <w:tcPr>
            <w:tcW w:w="1140" w:type="dxa"/>
            <w:vAlign w:val="bottom"/>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Certification of</w:t>
              </w:r>
            </w:hyperlink>
          </w:p>
        </w:tc>
        <w:tc>
          <w:tcPr>
            <w:tcW w:w="7940" w:type="dxa"/>
            <w:vAlign w:val="bottom"/>
            <w:gridSpan w:val="5"/>
          </w:tcPr>
          <w:p>
            <w:pPr>
              <w:ind w:left="40"/>
              <w:spacing w:after="0"/>
              <w:rPr>
                <w:rFonts w:ascii="Arial" w:cs="Arial" w:eastAsia="Arial" w:hAnsi="Arial"/>
                <w:sz w:val="18"/>
                <w:szCs w:val="18"/>
                <w:color w:val="0000EE"/>
                <w:w w:val="96"/>
              </w:rPr>
            </w:pPr>
            <w:hyperlink w:anchor="page24">
              <w:r>
                <w:rPr>
                  <w:rFonts w:ascii="Arial" w:cs="Arial" w:eastAsia="Arial" w:hAnsi="Arial"/>
                  <w:sz w:val="18"/>
                  <w:szCs w:val="18"/>
                  <w:color w:val="0000EE"/>
                  <w:w w:val="96"/>
                </w:rPr>
                <w:t>Stuart C. Clifford, Chief Financial Officer, Pursuant to Rule 13a-14(a) of the Securities Exchange Act of</w:t>
              </w:r>
            </w:hyperlink>
          </w:p>
        </w:tc>
      </w:tr>
      <w:tr>
        <w:trPr>
          <w:trHeight w:val="183"/>
        </w:trPr>
        <w:tc>
          <w:tcPr>
            <w:tcW w:w="940" w:type="dxa"/>
            <w:vAlign w:val="bottom"/>
          </w:tcPr>
          <w:p>
            <w:pPr>
              <w:spacing w:after="0"/>
              <w:rPr>
                <w:sz w:val="15"/>
                <w:szCs w:val="15"/>
                <w:color w:val="auto"/>
              </w:rPr>
            </w:pPr>
          </w:p>
        </w:tc>
        <w:tc>
          <w:tcPr>
            <w:tcW w:w="54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1934, adopted pursuant to Section 302 of the Sarbanes-Oxley Act of 2002.*</w:t>
              </w:r>
            </w:hyperlink>
          </w:p>
        </w:tc>
        <w:tc>
          <w:tcPr>
            <w:tcW w:w="3260" w:type="dxa"/>
            <w:vAlign w:val="bottom"/>
            <w:tcBorders>
              <w:top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85"/>
        </w:trPr>
        <w:tc>
          <w:tcPr>
            <w:tcW w:w="940" w:type="dxa"/>
            <w:vAlign w:val="bottom"/>
          </w:tcPr>
          <w:p>
            <w:pPr>
              <w:jc w:val="right"/>
              <w:ind w:right="530"/>
              <w:spacing w:after="0"/>
              <w:rPr>
                <w:sz w:val="20"/>
                <w:szCs w:val="20"/>
                <w:color w:val="auto"/>
              </w:rPr>
            </w:pPr>
            <w:r>
              <w:rPr>
                <w:rFonts w:ascii="Arial" w:cs="Arial" w:eastAsia="Arial" w:hAnsi="Arial"/>
                <w:sz w:val="18"/>
                <w:szCs w:val="18"/>
                <w:color w:val="auto"/>
                <w:w w:val="85"/>
              </w:rPr>
              <w:t>32.1</w:t>
            </w:r>
          </w:p>
        </w:tc>
        <w:tc>
          <w:tcPr>
            <w:tcW w:w="90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Certifications Pursuant to 18 U.S.C. Section 1350, as adopted pursuant to Section 906 of the Sarbanes-Oxley Act of 2002.* †</w:t>
              </w:r>
            </w:hyperlink>
          </w:p>
        </w:tc>
        <w:tc>
          <w:tcPr>
            <w:tcW w:w="60" w:type="dxa"/>
            <w:vAlign w:val="bottom"/>
          </w:tcPr>
          <w:p>
            <w:pPr>
              <w:spacing w:after="0"/>
              <w:rPr>
                <w:sz w:val="24"/>
                <w:szCs w:val="24"/>
                <w:color w:val="auto"/>
              </w:rPr>
            </w:pPr>
          </w:p>
        </w:tc>
      </w:tr>
    </w:tbl>
    <w:p>
      <w:pPr>
        <w:spacing w:after="0" w:line="175" w:lineRule="exact"/>
        <w:rPr>
          <w:sz w:val="20"/>
          <w:szCs w:val="20"/>
          <w:color w:val="auto"/>
        </w:rPr>
      </w:pPr>
    </w:p>
    <w:p>
      <w:pPr>
        <w:ind w:left="941" w:right="40" w:hanging="937"/>
        <w:spacing w:after="0" w:line="257" w:lineRule="auto"/>
        <w:tabs>
          <w:tab w:leader="none" w:pos="941"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following financial information from Citi Trends, Inc.’s Quarterly Report on Form 10-Q for the quarter ended November 2, 2019, formatted in Extensible Business Reporting Language (XBRL): (i) the Condensed Consolidated Balance Sheets as of November 2, 2019 and February 2, 2019, (ii) the Condensed Consolidated Statements of Operations for the thirty-nine and thirteen week periods ended November 2, 2019 and November 3, 2018, (iii) the Condensed Consolidated Statements of Cash Flows for the thirty-nine week periods ended November 2, 2019 and November 3, 2018, and (iv) Notes to the Condensed Consolidated Financial Statements (unaudited).*</w:t>
      </w:r>
    </w:p>
    <w:p>
      <w:pPr>
        <w:spacing w:after="0" w:line="189" w:lineRule="exact"/>
        <w:rPr>
          <w:rFonts w:ascii="Arial" w:cs="Arial" w:eastAsia="Arial" w:hAnsi="Arial"/>
          <w:sz w:val="17"/>
          <w:szCs w:val="17"/>
          <w:color w:val="auto"/>
        </w:rPr>
      </w:pPr>
    </w:p>
    <w:p>
      <w:pPr>
        <w:ind w:left="1"/>
        <w:spacing w:after="0"/>
        <w:rPr>
          <w:rFonts w:ascii="Arial" w:cs="Arial" w:eastAsia="Arial" w:hAnsi="Arial"/>
          <w:sz w:val="17"/>
          <w:szCs w:val="17"/>
          <w:color w:val="auto"/>
        </w:rPr>
      </w:pPr>
      <w:r>
        <w:rPr>
          <w:rFonts w:ascii="Arial" w:cs="Arial" w:eastAsia="Arial" w:hAnsi="Arial"/>
          <w:sz w:val="18"/>
          <w:szCs w:val="18"/>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-198755</wp:posOffset>
            </wp:positionV>
            <wp:extent cx="15951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5" w:lineRule="exact"/>
        <w:rPr>
          <w:sz w:val="20"/>
          <w:szCs w:val="20"/>
          <w:color w:val="auto"/>
        </w:rPr>
      </w:pPr>
    </w:p>
    <w:p>
      <w:pPr>
        <w:ind w:left="1" w:hanging="1"/>
        <w:spacing w:after="0" w:line="257" w:lineRule="auto"/>
        <w:tabs>
          <w:tab w:leader="none" w:pos="3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25" w:right="939" w:bottom="1440" w:gutter="0" w:footer="0" w:header="0"/>
        </w:sectPr>
      </w:pPr>
    </w:p>
    <w:bookmarkStart w:id="21" w:name="page22"/>
    <w:bookmarkEnd w:id="21"/>
    <w:p>
      <w:pPr>
        <w:spacing w:after="0"/>
        <w:rPr>
          <w:rFonts w:ascii="Arial" w:cs="Arial" w:eastAsia="Arial" w:hAnsi="Arial"/>
          <w:sz w:val="18"/>
          <w:szCs w:val="18"/>
          <w:u w:val="single" w:color="auto"/>
          <w:color w:val="2E74B5"/>
        </w:rPr>
      </w:pPr>
      <w:hyperlink w:anchor="page2">
        <w:r>
          <w:rPr>
            <w:rFonts w:ascii="Arial" w:cs="Arial" w:eastAsia="Arial" w:hAnsi="Arial"/>
            <w:sz w:val="18"/>
            <w:szCs w:val="18"/>
            <w:u w:val="single" w:color="auto"/>
            <w:color w:val="2E74B5"/>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the undersigned also has signed this report in his capacity as the Registrant’s Chief Financial Officer (Principal Financial and Accounting Officer).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ind w:left="5040"/>
              <w:spacing w:after="0"/>
              <w:rPr>
                <w:sz w:val="20"/>
                <w:szCs w:val="20"/>
                <w:color w:val="auto"/>
              </w:rPr>
            </w:pPr>
            <w:r>
              <w:rPr>
                <w:rFonts w:ascii="Arial" w:cs="Arial" w:eastAsia="Arial" w:hAnsi="Arial"/>
                <w:sz w:val="18"/>
                <w:szCs w:val="18"/>
                <w:color w:val="auto"/>
              </w:rPr>
              <w:t>CITI TRENDS, INC.</w:t>
            </w:r>
          </w:p>
        </w:tc>
      </w:tr>
      <w:tr>
        <w:trPr>
          <w:trHeight w:val="486"/>
        </w:trPr>
        <w:tc>
          <w:tcPr>
            <w:tcW w:w="5780" w:type="dxa"/>
            <w:vAlign w:val="bottom"/>
          </w:tcPr>
          <w:p>
            <w:pPr>
              <w:spacing w:after="0"/>
              <w:rPr>
                <w:sz w:val="20"/>
                <w:szCs w:val="20"/>
                <w:color w:val="auto"/>
              </w:rPr>
            </w:pPr>
            <w:r>
              <w:rPr>
                <w:rFonts w:ascii="Arial" w:cs="Arial" w:eastAsia="Arial" w:hAnsi="Arial"/>
                <w:sz w:val="18"/>
                <w:szCs w:val="18"/>
                <w:color w:val="auto"/>
              </w:rPr>
              <w:t>Date: December 6, 2019</w:t>
            </w:r>
          </w:p>
        </w:tc>
        <w:tc>
          <w:tcPr>
            <w:tcW w:w="4280" w:type="dxa"/>
            <w:vAlign w:val="bottom"/>
          </w:tcPr>
          <w:p>
            <w:pPr>
              <w:spacing w:after="0"/>
              <w:rPr>
                <w:sz w:val="24"/>
                <w:szCs w:val="24"/>
                <w:color w:val="auto"/>
              </w:rPr>
            </w:pPr>
          </w:p>
        </w:tc>
      </w:tr>
      <w:tr>
        <w:trPr>
          <w:trHeight w:val="392"/>
        </w:trPr>
        <w:tc>
          <w:tcPr>
            <w:tcW w:w="5780" w:type="dxa"/>
            <w:vAlign w:val="bottom"/>
          </w:tcPr>
          <w:p>
            <w:pPr>
              <w:ind w:left="504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Stuart C. Clifford</w:t>
            </w:r>
          </w:p>
        </w:tc>
      </w:tr>
      <w:tr>
        <w:trPr>
          <w:trHeight w:val="182"/>
        </w:trPr>
        <w:tc>
          <w:tcPr>
            <w:tcW w:w="5780" w:type="dxa"/>
            <w:vAlign w:val="bottom"/>
          </w:tcPr>
          <w:p>
            <w:pPr>
              <w:ind w:left="5040"/>
              <w:spacing w:after="0" w:line="182" w:lineRule="exact"/>
              <w:rPr>
                <w:sz w:val="20"/>
                <w:szCs w:val="20"/>
                <w:color w:val="auto"/>
              </w:rPr>
            </w:pPr>
            <w:r>
              <w:rPr>
                <w:rFonts w:ascii="Arial" w:cs="Arial" w:eastAsia="Arial" w:hAnsi="Arial"/>
                <w:sz w:val="18"/>
                <w:szCs w:val="18"/>
                <w:color w:val="auto"/>
              </w:rPr>
              <w:t>Name:</w:t>
            </w:r>
          </w:p>
        </w:tc>
        <w:tc>
          <w:tcPr>
            <w:tcW w:w="4280" w:type="dxa"/>
            <w:vAlign w:val="bottom"/>
          </w:tcPr>
          <w:p>
            <w:pPr>
              <w:spacing w:after="0" w:line="182" w:lineRule="exact"/>
              <w:rPr>
                <w:sz w:val="20"/>
                <w:szCs w:val="20"/>
                <w:color w:val="auto"/>
              </w:rPr>
            </w:pPr>
            <w:r>
              <w:rPr>
                <w:rFonts w:ascii="Arial" w:cs="Arial" w:eastAsia="Arial" w:hAnsi="Arial"/>
                <w:sz w:val="18"/>
                <w:szCs w:val="18"/>
                <w:color w:val="auto"/>
              </w:rPr>
              <w:t>Stuart C. Clifford</w:t>
            </w:r>
          </w:p>
        </w:tc>
      </w:tr>
      <w:tr>
        <w:trPr>
          <w:trHeight w:val="230"/>
        </w:trPr>
        <w:tc>
          <w:tcPr>
            <w:tcW w:w="5780" w:type="dxa"/>
            <w:vAlign w:val="bottom"/>
          </w:tcPr>
          <w:p>
            <w:pPr>
              <w:ind w:left="5040"/>
              <w:spacing w:after="0"/>
              <w:rPr>
                <w:sz w:val="20"/>
                <w:szCs w:val="20"/>
                <w:color w:val="auto"/>
              </w:rPr>
            </w:pPr>
            <w:r>
              <w:rPr>
                <w:rFonts w:ascii="Arial" w:cs="Arial" w:eastAsia="Arial" w:hAnsi="Arial"/>
                <w:sz w:val="18"/>
                <w:szCs w:val="18"/>
                <w:color w:val="auto"/>
              </w:rPr>
              <w:t>Title:</w:t>
            </w:r>
          </w:p>
        </w:tc>
        <w:tc>
          <w:tcPr>
            <w:tcW w:w="42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851"/>
        </w:trPr>
        <w:tc>
          <w:tcPr>
            <w:tcW w:w="5780" w:type="dxa"/>
            <w:vAlign w:val="bottom"/>
          </w:tcPr>
          <w:p>
            <w:pPr>
              <w:ind w:left="4940"/>
              <w:spacing w:after="0"/>
              <w:rPr>
                <w:sz w:val="20"/>
                <w:szCs w:val="20"/>
                <w:color w:val="auto"/>
              </w:rPr>
            </w:pPr>
            <w:r>
              <w:rPr>
                <w:rFonts w:ascii="Arial" w:cs="Arial" w:eastAsia="Arial" w:hAnsi="Arial"/>
                <w:sz w:val="18"/>
                <w:szCs w:val="18"/>
                <w:color w:val="auto"/>
              </w:rPr>
              <w:t>22</w:t>
            </w:r>
          </w:p>
        </w:tc>
        <w:tc>
          <w:tcPr>
            <w:tcW w:w="4280" w:type="dxa"/>
            <w:vAlign w:val="bottom"/>
          </w:tcPr>
          <w:p>
            <w:pPr>
              <w:spacing w:after="0"/>
              <w:rPr>
                <w:sz w:val="24"/>
                <w:szCs w:val="24"/>
                <w:color w:val="auto"/>
              </w:rPr>
            </w:pPr>
          </w:p>
        </w:tc>
      </w:tr>
      <w:tr>
        <w:trPr>
          <w:trHeight w:val="561"/>
        </w:trPr>
        <w:tc>
          <w:tcPr>
            <w:tcW w:w="57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25" w:right="91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Bruce D. Smith, certify that:</w:t>
      </w:r>
    </w:p>
    <w:p>
      <w:pPr>
        <w:spacing w:after="0" w:line="144" w:lineRule="exact"/>
        <w:rPr>
          <w:sz w:val="20"/>
          <w:szCs w:val="20"/>
          <w:color w:val="auto"/>
        </w:rPr>
      </w:pPr>
    </w:p>
    <w:p>
      <w:pPr>
        <w:ind w:left="681" w:hanging="681"/>
        <w:spacing w:after="0"/>
        <w:tabs>
          <w:tab w:leader="none" w:pos="6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November 2, 2019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December 6, 2019</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Bruce D. Smith</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President and Chief Executive Officer,</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ind w:left="441"/>
        <w:spacing w:after="0"/>
        <w:rPr>
          <w:sz w:val="20"/>
          <w:szCs w:val="20"/>
          <w:color w:val="auto"/>
        </w:rPr>
      </w:pPr>
      <w:r>
        <w:rPr>
          <w:rFonts w:ascii="Arial" w:cs="Arial" w:eastAsia="Arial" w:hAnsi="Arial"/>
          <w:sz w:val="18"/>
          <w:szCs w:val="18"/>
          <w:color w:val="auto"/>
        </w:rPr>
        <w:t>I, Stuart C. Clifford, certify that:</w:t>
      </w:r>
    </w:p>
    <w:p>
      <w:pPr>
        <w:spacing w:after="0" w:line="144" w:lineRule="exact"/>
        <w:rPr>
          <w:sz w:val="20"/>
          <w:szCs w:val="20"/>
          <w:color w:val="auto"/>
        </w:rPr>
      </w:pPr>
    </w:p>
    <w:p>
      <w:pPr>
        <w:ind w:left="681" w:hanging="681"/>
        <w:spacing w:after="0"/>
        <w:tabs>
          <w:tab w:leader="none" w:pos="6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November 2, 2019 of Citi Trends, Inc.;</w:t>
      </w:r>
    </w:p>
    <w:p>
      <w:pPr>
        <w:spacing w:after="0" w:line="144" w:lineRule="exact"/>
        <w:rPr>
          <w:rFonts w:ascii="Arial" w:cs="Arial" w:eastAsia="Arial" w:hAnsi="Arial"/>
          <w:sz w:val="18"/>
          <w:szCs w:val="18"/>
          <w:color w:val="auto"/>
        </w:rPr>
      </w:pPr>
    </w:p>
    <w:p>
      <w:pPr>
        <w:ind w:left="641" w:right="360" w:hanging="641"/>
        <w:spacing w:after="0" w:line="224" w:lineRule="auto"/>
        <w:tabs>
          <w:tab w:leader="none" w:pos="6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41" w:right="80" w:hanging="641"/>
        <w:spacing w:after="0" w:line="224" w:lineRule="auto"/>
        <w:tabs>
          <w:tab w:leader="none" w:pos="6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641" w:right="80" w:hanging="641"/>
        <w:spacing w:after="0" w:line="224" w:lineRule="auto"/>
        <w:tabs>
          <w:tab w:leader="none" w:pos="6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ind w:left="1301" w:right="320" w:hanging="652"/>
        <w:spacing w:after="0" w:line="219" w:lineRule="auto"/>
        <w:tabs>
          <w:tab w:leader="none" w:pos="13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1" w:right="240" w:hanging="652"/>
        <w:spacing w:after="0" w:line="259" w:lineRule="auto"/>
        <w:tabs>
          <w:tab w:leader="none" w:pos="1343"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ind w:left="1301" w:right="120" w:hanging="652"/>
        <w:spacing w:after="0" w:line="224" w:lineRule="auto"/>
        <w:tabs>
          <w:tab w:leader="none" w:pos="13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1" w:right="220" w:hanging="652"/>
        <w:spacing w:after="0" w:line="219" w:lineRule="auto"/>
        <w:tabs>
          <w:tab w:leader="none" w:pos="13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41" w:hanging="641"/>
        <w:spacing w:after="0" w:line="224" w:lineRule="auto"/>
        <w:tabs>
          <w:tab w:leader="none" w:pos="66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1" w:right="40" w:hanging="652"/>
        <w:spacing w:after="0" w:line="224" w:lineRule="auto"/>
        <w:tabs>
          <w:tab w:leader="none" w:pos="13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1" w:right="420" w:hanging="652"/>
        <w:spacing w:after="0" w:line="235" w:lineRule="auto"/>
        <w:tabs>
          <w:tab w:leader="none" w:pos="1343"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December 6, 2019</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34302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1"/>
        <w:spacing w:after="0" w:line="232" w:lineRule="auto"/>
        <w:rPr>
          <w:sz w:val="20"/>
          <w:szCs w:val="20"/>
          <w:color w:val="auto"/>
        </w:rPr>
      </w:pPr>
      <w:r>
        <w:rPr>
          <w:rFonts w:ascii="Arial" w:cs="Arial" w:eastAsia="Arial" w:hAnsi="Arial"/>
          <w:sz w:val="18"/>
          <w:szCs w:val="18"/>
          <w:color w:val="231F20"/>
        </w:rPr>
        <w:t>Stuart C. Clifford</w:t>
      </w:r>
    </w:p>
    <w:p>
      <w:pPr>
        <w:ind w:left="1"/>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1"/>
        <w:spacing w:after="0"/>
        <w:rPr>
          <w:sz w:val="20"/>
          <w:szCs w:val="20"/>
          <w:color w:val="auto"/>
        </w:rPr>
      </w:pPr>
      <w:r>
        <w:rPr>
          <w:rFonts w:ascii="Arial" w:cs="Arial" w:eastAsia="Arial" w:hAnsi="Arial"/>
          <w:sz w:val="18"/>
          <w:szCs w:val="18"/>
          <w:color w:val="231F20"/>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450850</wp:posOffset>
            </wp:positionV>
            <wp:extent cx="63887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08" w:right="91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Bruce D. Smith, President and Chief Executive Officer of Citi Trends, Inc.,</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 Stuart C. Clifford, Senior Vice President and Chief Financial Officer of Citi Trends, Inc., certify that:</w:t>
      </w:r>
    </w:p>
    <w:p>
      <w:pPr>
        <w:spacing w:after="0" w:line="144" w:lineRule="exact"/>
        <w:rPr>
          <w:sz w:val="20"/>
          <w:szCs w:val="20"/>
          <w:color w:val="auto"/>
        </w:rPr>
      </w:pPr>
    </w:p>
    <w:p>
      <w:pPr>
        <w:ind w:left="180" w:hanging="177"/>
        <w:spacing w:after="0"/>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have reviewed this quarterly report on Form 10-Q of Citi Trends, Inc. for the period ended November 2, 2019;</w:t>
      </w:r>
    </w:p>
    <w:p>
      <w:pPr>
        <w:spacing w:after="0" w:line="155" w:lineRule="exact"/>
        <w:rPr>
          <w:rFonts w:ascii="Arial" w:cs="Arial" w:eastAsia="Arial" w:hAnsi="Arial"/>
          <w:sz w:val="17"/>
          <w:szCs w:val="17"/>
          <w:color w:val="auto"/>
        </w:rPr>
      </w:pPr>
    </w:p>
    <w:p>
      <w:pPr>
        <w:ind w:firstLine="3"/>
        <w:spacing w:after="0" w:line="235"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21" w:lineRule="exact"/>
        <w:rPr>
          <w:rFonts w:ascii="Arial" w:cs="Arial" w:eastAsia="Arial" w:hAnsi="Arial"/>
          <w:sz w:val="18"/>
          <w:szCs w:val="18"/>
          <w:color w:val="auto"/>
        </w:rPr>
      </w:pPr>
    </w:p>
    <w:p>
      <w:pPr>
        <w:ind w:right="80" w:firstLine="3"/>
        <w:spacing w:after="0" w:line="22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231F20"/>
        </w:rPr>
        <w:t>Date: December 6, 2019</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Bruce D. Smith</w:t>
      </w:r>
    </w:p>
    <w:p>
      <w:pPr>
        <w:ind w:left="4280"/>
        <w:spacing w:after="0" w:line="219" w:lineRule="auto"/>
        <w:rPr>
          <w:sz w:val="20"/>
          <w:szCs w:val="20"/>
          <w:color w:val="auto"/>
        </w:rPr>
      </w:pPr>
      <w:r>
        <w:rPr>
          <w:rFonts w:ascii="Arial" w:cs="Arial" w:eastAsia="Arial" w:hAnsi="Arial"/>
          <w:sz w:val="18"/>
          <w:szCs w:val="18"/>
          <w:color w:val="231F20"/>
        </w:rPr>
        <w:t>President and Chief Executive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Date: December 6, 2019</w:t>
      </w:r>
    </w:p>
    <w:p>
      <w:pPr>
        <w:spacing w:after="0" w:line="360"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/s/ Stuart C.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2720340</wp:posOffset>
            </wp:positionH>
            <wp:positionV relativeFrom="paragraph">
              <wp:posOffset>6350</wp:posOffset>
            </wp:positionV>
            <wp:extent cx="30359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ind w:left="4280"/>
        <w:spacing w:after="0" w:line="232" w:lineRule="auto"/>
        <w:rPr>
          <w:sz w:val="20"/>
          <w:szCs w:val="20"/>
          <w:color w:val="auto"/>
        </w:rPr>
      </w:pPr>
      <w:r>
        <w:rPr>
          <w:rFonts w:ascii="Arial" w:cs="Arial" w:eastAsia="Arial" w:hAnsi="Arial"/>
          <w:sz w:val="18"/>
          <w:szCs w:val="18"/>
          <w:color w:val="231F20"/>
        </w:rPr>
        <w:t>Stuart C. Clifford</w:t>
      </w:r>
    </w:p>
    <w:p>
      <w:pPr>
        <w:ind w:left="4280"/>
        <w:spacing w:after="0" w:line="219" w:lineRule="auto"/>
        <w:rPr>
          <w:sz w:val="20"/>
          <w:szCs w:val="20"/>
          <w:color w:val="auto"/>
        </w:rPr>
      </w:pPr>
      <w:r>
        <w:rPr>
          <w:rFonts w:ascii="Arial" w:cs="Arial" w:eastAsia="Arial" w:hAnsi="Arial"/>
          <w:sz w:val="18"/>
          <w:szCs w:val="18"/>
          <w:color w:val="231F20"/>
        </w:rPr>
        <w:t>Senior Vice President and Chief Financial Officer</w:t>
      </w:r>
    </w:p>
    <w:p>
      <w:pPr>
        <w:spacing w:after="0" w:line="1" w:lineRule="exact"/>
        <w:rPr>
          <w:sz w:val="20"/>
          <w:szCs w:val="20"/>
          <w:color w:val="auto"/>
        </w:rPr>
      </w:pPr>
    </w:p>
    <w:p>
      <w:pPr>
        <w:ind w:left="4280"/>
        <w:spacing w:after="0"/>
        <w:rPr>
          <w:sz w:val="20"/>
          <w:szCs w:val="20"/>
          <w:color w:val="auto"/>
        </w:rPr>
      </w:pPr>
      <w:r>
        <w:rPr>
          <w:rFonts w:ascii="Arial" w:cs="Arial" w:eastAsia="Arial" w:hAnsi="Arial"/>
          <w:sz w:val="18"/>
          <w:szCs w:val="18"/>
          <w:color w:val="231F20"/>
        </w:rPr>
        <w:t>(Principal Financial and Accounting Officer)</w:t>
      </w:r>
    </w:p>
    <w:p>
      <w:pPr>
        <w:spacing w:after="0" w:line="317"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651510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6"/>
    </w:lvl>
  </w:abstractNum>
  <w:abstractNum w:abstractNumId="7">
    <w:nsid w:val="6B68079A"/>
    <w:multiLevelType w:val="hybridMultilevel"/>
    <w:lvl w:ilvl="0">
      <w:lvlJc w:val="left"/>
      <w:lvlText w:val="%1."/>
      <w:numFmt w:val="decimal"/>
      <w:start w:val="7"/>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1."/>
      <w:numFmt w:val="upperLetter"/>
      <w:start w:val="17"/>
    </w:lvl>
  </w:abstractNum>
  <w:abstractNum w:abstractNumId="17">
    <w:nsid w:val="628C895D"/>
    <w:multiLevelType w:val="hybridMultilevel"/>
    <w:lvl w:ilvl="0">
      <w:lvlJc w:val="left"/>
      <w:lvlText w:val="(%1)"/>
      <w:numFmt w:val="lowerRoman"/>
      <w:start w:val="2"/>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lvl w:ilvl="1">
      <w:lvlJc w:val="left"/>
      <w:lvlText w:val="%2"/>
      <w:numFmt w:val="decimal"/>
      <w:start w:val="10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2019-12-28T01:11:10Z</dcterms:created>
  <dcterms:modified xsi:type="dcterms:W3CDTF">2019-12-28T01:11:10Z</dcterms:modified>
</cp:coreProperties>
</file>