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394970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6"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October 28, 2023</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02" w:lineRule="exact"/>
        <w:rPr>
          <w:sz w:val="24"/>
          <w:szCs w:val="24"/>
          <w:color w:val="auto"/>
        </w:rPr>
      </w:pPr>
    </w:p>
    <w:p>
      <w:pPr>
        <w:ind w:left="3580" w:right="980" w:hanging="3321"/>
        <w:spacing w:after="0" w:line="457" w:lineRule="auto"/>
        <w:tabs>
          <w:tab w:leader="none" w:pos="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81" w:lineRule="exact"/>
        <w:rPr>
          <w:sz w:val="24"/>
          <w:szCs w:val="24"/>
          <w:color w:val="auto"/>
        </w:rPr>
      </w:pPr>
    </w:p>
    <w:tbl>
      <w:tblPr>
        <w:tblLayout w:type="fixed"/>
        <w:tblInd w:w="1060" w:type="dxa"/>
        <w:tblCellMar>
          <w:top w:w="0" w:type="dxa"/>
          <w:left w:w="0" w:type="dxa"/>
          <w:bottom w:w="0" w:type="dxa"/>
          <w:right w:w="0" w:type="dxa"/>
        </w:tblCellMar>
      </w:tblP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Delaware</w:t>
            </w:r>
          </w:p>
        </w:tc>
        <w:tc>
          <w:tcPr>
            <w:tcW w:w="278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(State or other jurisdiction of</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(I.R.S. Employer</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incorporation or organization)</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Identification No.)</w:t>
            </w:r>
          </w:p>
        </w:tc>
      </w:tr>
      <w:tr>
        <w:trPr>
          <w:trHeight w:val="352"/>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104 Coleman Boulevard</w:t>
            </w:r>
          </w:p>
        </w:tc>
        <w:tc>
          <w:tcPr>
            <w:tcW w:w="2780" w:type="dxa"/>
            <w:vAlign w:val="bottom"/>
          </w:tcPr>
          <w:p>
            <w:pPr>
              <w:spacing w:after="0"/>
              <w:rPr>
                <w:sz w:val="24"/>
                <w:szCs w:val="24"/>
                <w:color w:val="auto"/>
              </w:rPr>
            </w:pP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Savannah, Georgia</w:t>
            </w:r>
          </w:p>
        </w:tc>
        <w:tc>
          <w:tcPr>
            <w:tcW w:w="278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31408</w:t>
            </w:r>
          </w:p>
        </w:tc>
      </w:tr>
      <w:tr>
        <w:trPr>
          <w:trHeight w:val="21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(Address of principal executive offices)</w:t>
            </w:r>
          </w:p>
        </w:tc>
        <w:tc>
          <w:tcPr>
            <w:tcW w:w="2780" w:type="dxa"/>
            <w:vAlign w:val="bottom"/>
          </w:tcPr>
          <w:p>
            <w:pPr>
              <w:jc w:val="center"/>
              <w:ind w:left="1459"/>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140" w:type="dxa"/>
            <w:vAlign w:val="bottom"/>
            <w:tcBorders>
              <w:top w:val="single" w:sz="8" w:color="auto"/>
              <w:lef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Title of each class</w:t>
            </w:r>
          </w:p>
        </w:tc>
        <w:tc>
          <w:tcPr>
            <w:tcW w:w="2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2900" w:type="dxa"/>
            <w:vAlign w:val="bottom"/>
            <w:tcBorders>
              <w:top w:val="single" w:sz="8" w:color="auto"/>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240" w:type="dxa"/>
            <w:vAlign w:val="bottom"/>
            <w:tcBorders>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CTRN</w:t>
            </w:r>
          </w:p>
        </w:tc>
        <w:tc>
          <w:tcPr>
            <w:tcW w:w="260" w:type="dxa"/>
            <w:vAlign w:val="bottom"/>
            <w:tcBorders>
              <w:bottom w:val="single" w:sz="8" w:color="auto"/>
            </w:tcBorders>
          </w:tcPr>
          <w:p>
            <w:pPr>
              <w:spacing w:after="0"/>
              <w:rPr>
                <w:sz w:val="15"/>
                <w:szCs w:val="15"/>
                <w:color w:val="auto"/>
              </w:rPr>
            </w:pPr>
          </w:p>
        </w:tc>
        <w:tc>
          <w:tcPr>
            <w:tcW w:w="4240" w:type="dxa"/>
            <w:vAlign w:val="bottom"/>
            <w:tcBorders>
              <w:top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80" w:lineRule="exact"/>
        <w:rPr>
          <w:sz w:val="24"/>
          <w:szCs w:val="24"/>
          <w:color w:val="auto"/>
        </w:rPr>
      </w:pPr>
    </w:p>
    <w:p>
      <w:pPr>
        <w:ind w:right="60"/>
        <w:spacing w:after="0" w:line="27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right="160"/>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10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3">
            <w:col w:w="2960" w:space="720"/>
            <w:col w:w="2140" w:space="720"/>
            <w:col w:w="3400"/>
          </w:cols>
          <w:pgMar w:left="980" w:top="661" w:right="97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ectPr>
          <w:pgSz w:w="11900" w:h="16838" w:orient="portrait"/>
          <w:cols w:equalWidth="0" w:num="2">
            <w:col w:w="5820" w:space="720"/>
            <w:col w:w="3400"/>
          </w:cols>
          <w:pgMar w:left="980" w:top="661" w:right="979" w:bottom="1440" w:gutter="0" w:footer="0" w:header="0"/>
          <w:type w:val="continuous"/>
        </w:sectPr>
      </w:pPr>
    </w:p>
    <w:p>
      <w:pPr>
        <w:ind w:right="78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right="760"/>
        <w:spacing w:after="0" w:line="29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22, 2023, the registrant had 8,544,345 outstanding shares of common stock, $0.01 par value per share</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529590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gridSpan w:val="13"/>
          </w:tcPr>
          <w:p>
            <w:pPr>
              <w:jc w:val="center"/>
              <w:ind w:right="3180"/>
              <w:spacing w:after="0"/>
              <w:rPr>
                <w:sz w:val="20"/>
                <w:szCs w:val="20"/>
                <w:color w:val="auto"/>
              </w:rPr>
            </w:pPr>
            <w:r>
              <w:rPr>
                <w:rFonts w:ascii="Arial" w:cs="Arial" w:eastAsia="Arial" w:hAnsi="Arial"/>
                <w:sz w:val="16"/>
                <w:szCs w:val="16"/>
                <w:b w:val="1"/>
                <w:bCs w:val="1"/>
                <w:color w:val="auto"/>
              </w:rPr>
              <w:t>CITI TRENDS,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8"/>
          </w:tcPr>
          <w:p>
            <w:pPr>
              <w:jc w:val="center"/>
              <w:ind w:right="280"/>
              <w:spacing w:after="0" w:line="169" w:lineRule="exact"/>
              <w:rPr>
                <w:sz w:val="20"/>
                <w:szCs w:val="20"/>
                <w:color w:val="auto"/>
              </w:rPr>
            </w:pPr>
            <w:r>
              <w:rPr>
                <w:rFonts w:ascii="Arial" w:cs="Arial" w:eastAsia="Arial" w:hAnsi="Arial"/>
                <w:sz w:val="16"/>
                <w:szCs w:val="16"/>
                <w:b w:val="1"/>
                <w:bCs w:val="1"/>
                <w:color w:val="auto"/>
              </w:rPr>
              <w:t>FORM 10-Q</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74"/>
              </w:rPr>
              <w:t>TABLE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10"/>
          </w:tcPr>
          <w:p>
            <w:pPr>
              <w:ind w:left="40"/>
              <w:spacing w:after="0" w:line="169" w:lineRule="exact"/>
              <w:rPr>
                <w:sz w:val="20"/>
                <w:szCs w:val="20"/>
                <w:color w:val="auto"/>
              </w:rPr>
            </w:pPr>
            <w:r>
              <w:rPr>
                <w:rFonts w:ascii="Arial" w:cs="Arial" w:eastAsia="Arial" w:hAnsi="Arial"/>
                <w:sz w:val="16"/>
                <w:szCs w:val="16"/>
                <w:b w:val="1"/>
                <w:bCs w:val="1"/>
                <w:color w:val="auto"/>
              </w:rPr>
              <w:t>OF CONTENTS</w:t>
            </w: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169"/>
        </w:trPr>
        <w:tc>
          <w:tcPr>
            <w:tcW w:w="52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6"/>
              </w:rPr>
              <w:t>PART I</w:t>
            </w:r>
          </w:p>
        </w:tc>
        <w:tc>
          <w:tcPr>
            <w:tcW w:w="420" w:type="dxa"/>
            <w:vAlign w:val="bottom"/>
            <w:gridSpan w:val="2"/>
          </w:tcPr>
          <w:p>
            <w:pPr>
              <w:spacing w:after="0"/>
              <w:rPr>
                <w:sz w:val="14"/>
                <w:szCs w:val="14"/>
                <w:color w:val="auto"/>
              </w:rPr>
            </w:pPr>
          </w:p>
        </w:tc>
        <w:tc>
          <w:tcPr>
            <w:tcW w:w="202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99"/>
              </w:rPr>
              <w:t>FINANCIAL INFORMATION</w:t>
            </w:r>
          </w:p>
        </w:tc>
        <w:tc>
          <w:tcPr>
            <w:tcW w:w="6040" w:type="dxa"/>
            <w:vAlign w:val="bottom"/>
            <w:gridSpan w:val="17"/>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Financial Statements (unaudited)</w:t>
            </w:r>
          </w:p>
        </w:tc>
        <w:tc>
          <w:tcPr>
            <w:tcW w:w="568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Condensed Consolidated Balance Sheets</w:t>
            </w:r>
          </w:p>
        </w:tc>
        <w:tc>
          <w:tcPr>
            <w:tcW w:w="506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Condensed Consolidated Statements of Operations</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Condensed Consolidated Statements of Cash Flows</w:t>
            </w:r>
          </w:p>
        </w:tc>
        <w:tc>
          <w:tcPr>
            <w:tcW w:w="43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6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37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2</w:t>
            </w:r>
          </w:p>
        </w:tc>
        <w:tc>
          <w:tcPr>
            <w:tcW w:w="480" w:type="dxa"/>
            <w:vAlign w:val="bottom"/>
            <w:gridSpan w:val="3"/>
          </w:tcPr>
          <w:p>
            <w:pPr>
              <w:spacing w:after="0"/>
              <w:rPr>
                <w:sz w:val="24"/>
                <w:szCs w:val="24"/>
                <w:color w:val="auto"/>
              </w:rPr>
            </w:pPr>
          </w:p>
        </w:tc>
        <w:tc>
          <w:tcPr>
            <w:tcW w:w="63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Controls and Procedures</w:t>
            </w:r>
          </w:p>
        </w:tc>
        <w:tc>
          <w:tcPr>
            <w:tcW w:w="2440" w:type="dxa"/>
            <w:vAlign w:val="bottom"/>
            <w:tcBorders>
              <w:top w:val="single" w:sz="8" w:color="0000EE"/>
            </w:tcBorders>
            <w:gridSpan w:val="10"/>
          </w:tcPr>
          <w:p>
            <w:pPr>
              <w:spacing w:after="0"/>
              <w:rPr>
                <w:sz w:val="24"/>
                <w:szCs w:val="24"/>
                <w:color w:val="auto"/>
              </w:rPr>
            </w:pPr>
          </w:p>
        </w:tc>
        <w:tc>
          <w:tcPr>
            <w:tcW w:w="3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12"/>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6"/>
              </w:rPr>
              <w:t>PART II</w:t>
            </w:r>
          </w:p>
        </w:tc>
        <w:tc>
          <w:tcPr>
            <w:tcW w:w="38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OTHER INFORMATION</w:t>
            </w:r>
          </w:p>
        </w:tc>
        <w:tc>
          <w:tcPr>
            <w:tcW w:w="632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Legal Proceedings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sz w:val="20"/>
                <w:szCs w:val="20"/>
                <w:color w:val="auto"/>
              </w:rPr>
            </w:pPr>
            <w:r>
              <w:rPr>
                <w:rFonts w:ascii="Arial" w:cs="Arial" w:eastAsia="Arial" w:hAnsi="Arial"/>
                <w:sz w:val="16"/>
                <w:szCs w:val="16"/>
                <w:color w:val="0000EE"/>
              </w:rPr>
              <w:t>Item 1A</w:t>
            </w:r>
          </w:p>
        </w:tc>
        <w:tc>
          <w:tcPr>
            <w:tcW w:w="8060" w:type="dxa"/>
            <w:vAlign w:val="bottom"/>
            <w:gridSpan w:val="25"/>
          </w:tcPr>
          <w:p>
            <w:pPr>
              <w:spacing w:after="0"/>
              <w:rPr>
                <w:sz w:val="20"/>
                <w:szCs w:val="20"/>
                <w:color w:val="auto"/>
              </w:rPr>
            </w:pPr>
            <w:r>
              <w:rPr>
                <w:rFonts w:ascii="Arial" w:cs="Arial" w:eastAsia="Arial" w:hAnsi="Arial"/>
                <w:sz w:val="16"/>
                <w:szCs w:val="16"/>
                <w:color w:val="0000EE"/>
              </w:rPr>
              <w:t>Risk Factors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2</w:t>
            </w:r>
          </w:p>
        </w:tc>
        <w:tc>
          <w:tcPr>
            <w:tcW w:w="1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23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rPr>
              <w:t>Defaults Upon Senior Securities</w:t>
            </w:r>
          </w:p>
        </w:tc>
        <w:tc>
          <w:tcPr>
            <w:tcW w:w="2060" w:type="dxa"/>
            <w:vAlign w:val="bottom"/>
            <w:tcBorders>
              <w:top w:val="single" w:sz="8" w:color="0000EE"/>
            </w:tcBorders>
            <w:gridSpan w:val="10"/>
          </w:tcPr>
          <w:p>
            <w:pPr>
              <w:spacing w:after="0"/>
              <w:rPr>
                <w:sz w:val="24"/>
                <w:szCs w:val="24"/>
                <w:color w:val="auto"/>
              </w:rPr>
            </w:pPr>
          </w:p>
        </w:tc>
        <w:tc>
          <w:tcPr>
            <w:tcW w:w="37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Mine Safety Disclosures</w:t>
            </w:r>
          </w:p>
        </w:tc>
        <w:tc>
          <w:tcPr>
            <w:tcW w:w="632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5</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Other Information</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98"/>
              </w:rPr>
              <w:t>Item 6</w:t>
            </w:r>
          </w:p>
        </w:tc>
        <w:tc>
          <w:tcPr>
            <w:tcW w:w="480" w:type="dxa"/>
            <w:vAlign w:val="bottom"/>
            <w:gridSpan w:val="3"/>
          </w:tcPr>
          <w:p>
            <w:pPr>
              <w:spacing w:after="0"/>
              <w:rPr>
                <w:sz w:val="24"/>
                <w:szCs w:val="24"/>
                <w:color w:val="auto"/>
              </w:rPr>
            </w:pPr>
          </w:p>
        </w:tc>
        <w:tc>
          <w:tcPr>
            <w:tcW w:w="126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Exhibits</w:t>
            </w:r>
          </w:p>
        </w:tc>
        <w:tc>
          <w:tcPr>
            <w:tcW w:w="680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20" w:type="dxa"/>
            <w:vAlign w:val="bottom"/>
            <w:gridSpan w:val="2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SIGNATURES</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28,</w:t>
            </w:r>
          </w:p>
        </w:tc>
        <w:tc>
          <w:tcPr>
            <w:tcW w:w="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36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59,726</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103,495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129,727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105,794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Income tax receivable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204,025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222,881</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tcPr>
          <w:p>
            <w:pPr>
              <w:ind w:left="200"/>
              <w:spacing w:after="0" w:line="175" w:lineRule="exact"/>
              <w:rPr>
                <w:sz w:val="20"/>
                <w:szCs w:val="20"/>
                <w:color w:val="auto"/>
              </w:rPr>
            </w:pPr>
            <w:r>
              <w:rPr>
                <w:rFonts w:ascii="Arial" w:cs="Arial" w:eastAsia="Arial" w:hAnsi="Arial"/>
                <w:sz w:val="16"/>
                <w:szCs w:val="16"/>
                <w:color w:val="auto"/>
              </w:rPr>
              <w:t>Property and equipment, net of accumulated depreciation of $272,238 and $262,525 as of October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28, 2023 and January 28, 2023, respectively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56,658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60,106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right of use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239,282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257,195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508,212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544,258</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28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83,393</w:t>
            </w:r>
          </w:p>
        </w:tc>
        <w:tc>
          <w:tcPr>
            <w:tcW w:w="200" w:type="dxa"/>
            <w:vAlign w:val="bottom"/>
          </w:tcPr>
          <w:p>
            <w:pPr>
              <w:spacing w:after="0"/>
              <w:rPr>
                <w:sz w:val="17"/>
                <w:szCs w:val="17"/>
                <w:color w:val="auto"/>
              </w:rPr>
            </w:pPr>
          </w:p>
        </w:tc>
        <w:tc>
          <w:tcPr>
            <w:tcW w:w="180" w:type="dxa"/>
            <w:vAlign w:val="bottom"/>
            <w:gridSpan w:val="2"/>
          </w:tcPr>
          <w:p>
            <w:pPr>
              <w:jc w:val="right"/>
              <w:ind w:right="6"/>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80,670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15,983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16,055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compensation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Layaway deposits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156,158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160,553</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196,856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214,939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355,146</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377,814</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Common stock, $0.01 par value. Authorized 32,000,000 shares; 16,348,358 shares issued as of</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October 28, 2023 and 16,158,494 shares issued as of January 28, 2023; 8,544,345 shares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October 28, 2023 and 8,354,481 shares outstanding as of January 28, 2023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Paid in 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104,597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102,445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315,520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331,050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 7,804,013 shares held as of October 28, 2023 and January 28, 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(267,211)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(267,211)</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153,066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166,444</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508,212</w:t>
            </w:r>
          </w:p>
        </w:tc>
        <w:tc>
          <w:tcPr>
            <w:tcW w:w="200" w:type="dxa"/>
            <w:vAlign w:val="bottom"/>
          </w:tcPr>
          <w:p>
            <w:pPr>
              <w:spacing w:after="0"/>
              <w:rPr>
                <w:sz w:val="16"/>
                <w:szCs w:val="16"/>
                <w:color w:val="auto"/>
              </w:rPr>
            </w:pPr>
          </w:p>
        </w:tc>
        <w:tc>
          <w:tcPr>
            <w:tcW w:w="180" w:type="dxa"/>
            <w:vAlign w:val="bottom"/>
            <w:gridSpan w:val="2"/>
          </w:tcPr>
          <w:p>
            <w:pPr>
              <w:jc w:val="right"/>
              <w:ind w:right="6"/>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544,258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October 28,</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40"/>
              <w:spacing w:after="0" w:line="147" w:lineRule="exact"/>
              <w:rPr>
                <w:sz w:val="20"/>
                <w:szCs w:val="20"/>
                <w:color w:val="auto"/>
              </w:rPr>
            </w:pPr>
            <w:r>
              <w:rPr>
                <w:rFonts w:ascii="Arial" w:cs="Arial" w:eastAsia="Arial" w:hAnsi="Arial"/>
                <w:sz w:val="14"/>
                <w:szCs w:val="14"/>
                <w:b w:val="1"/>
                <w:bCs w:val="1"/>
                <w:color w:val="auto"/>
              </w:rPr>
              <w:t>October 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179,520</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192,323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(110,942)</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(69,654)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Gain on sale-leaseback</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ind w:left="320"/>
              <w:spacing w:after="0" w:line="183" w:lineRule="exact"/>
              <w:rPr>
                <w:sz w:val="20"/>
                <w:szCs w:val="20"/>
                <w:color w:val="auto"/>
              </w:rPr>
            </w:pPr>
            <w:r>
              <w:rPr>
                <w:rFonts w:ascii="Arial" w:cs="Arial" w:eastAsia="Arial" w:hAnsi="Arial"/>
                <w:sz w:val="16"/>
                <w:szCs w:val="16"/>
                <w:color w:val="auto"/>
              </w:rPr>
              <w:t>(Loss) income from operations</w:t>
            </w: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(6,003)</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31,582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(Loss) income before income taxes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(5,185)</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31,708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 income</w:t>
            </w: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(3,863)</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24,588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7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Basic net (loss) income per common share</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6"/>
                <w:szCs w:val="16"/>
                <w:color w:val="auto"/>
              </w:rPr>
              <w:t>Diluted net (loss) income per common share</w:t>
            </w:r>
          </w:p>
        </w:tc>
        <w:tc>
          <w:tcPr>
            <w:tcW w:w="3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(0.47)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2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8,238</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8,238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jc w:val="center"/>
              <w:ind w:left="2539"/>
              <w:spacing w:after="0"/>
              <w:rPr>
                <w:sz w:val="20"/>
                <w:szCs w:val="20"/>
                <w:color w:val="auto"/>
              </w:rPr>
            </w:pPr>
            <w:r>
              <w:rPr>
                <w:rFonts w:ascii="Arial" w:cs="Arial" w:eastAsia="Arial" w:hAnsi="Arial"/>
                <w:sz w:val="16"/>
                <w:szCs w:val="16"/>
                <w:b w:val="1"/>
                <w:bCs w:val="1"/>
                <w:color w:val="auto"/>
                <w:w w:val="99"/>
              </w:rPr>
              <w:t>Citi Trends, Inc.</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jc w:val="center"/>
              <w:ind w:left="253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jc w:val="center"/>
              <w:ind w:left="2559"/>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jc w:val="center"/>
              <w:ind w:left="2559"/>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October 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October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44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right w:val="single" w:sz="8" w:color="CCEEFF"/>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532,762</w:t>
            </w: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585,550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(331,827)</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(357,341)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(210,004)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(208,599)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(14,138)</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Gain on sale-leasebacks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64,088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ind w:left="320"/>
              <w:spacing w:after="0" w:line="183" w:lineRule="exact"/>
              <w:rPr>
                <w:sz w:val="20"/>
                <w:szCs w:val="20"/>
                <w:color w:val="auto"/>
              </w:rPr>
            </w:pPr>
            <w:r>
              <w:rPr>
                <w:rFonts w:ascii="Arial" w:cs="Arial" w:eastAsia="Arial" w:hAnsi="Arial"/>
                <w:sz w:val="16"/>
                <w:szCs w:val="16"/>
                <w:color w:val="auto"/>
              </w:rPr>
              <w:t>(Loss) Income from operations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(23,385)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67,905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2,804</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(Loss) Income before income taxes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(20,809)</w:t>
            </w: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67,879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5,279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(15,624)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 income</w:t>
            </w:r>
          </w:p>
        </w:tc>
        <w:tc>
          <w:tcPr>
            <w:tcW w:w="44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right w:val="single" w:sz="8" w:color="CCEEFF"/>
            </w:tcBorders>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(15,530)</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52,255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7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Basic net (loss) income per common share</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(1.89)</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6"/>
                <w:szCs w:val="16"/>
                <w:color w:val="auto"/>
              </w:rPr>
              <w:t>Diluted net (loss) income per common share</w:t>
            </w:r>
          </w:p>
        </w:tc>
        <w:tc>
          <w:tcPr>
            <w:tcW w:w="440" w:type="dxa"/>
            <w:vAlign w:val="bottom"/>
            <w:gridSpan w:val="2"/>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tcPr>
          <w:p>
            <w:pPr>
              <w:jc w:val="right"/>
              <w:ind w:right="80"/>
              <w:spacing w:after="0" w:line="170" w:lineRule="exact"/>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72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8,215</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20"/>
              <w:spacing w:after="0" w:line="170" w:lineRule="exact"/>
              <w:rPr>
                <w:sz w:val="20"/>
                <w:szCs w:val="20"/>
                <w:color w:val="auto"/>
              </w:rPr>
            </w:pPr>
            <w:r>
              <w:rPr>
                <w:rFonts w:ascii="Arial" w:cs="Arial" w:eastAsia="Arial" w:hAnsi="Arial"/>
                <w:sz w:val="16"/>
                <w:szCs w:val="16"/>
                <w:color w:val="auto"/>
              </w:rPr>
              <w:t>8,215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6"/>
                <w:szCs w:val="16"/>
                <w:color w:val="auto"/>
              </w:rPr>
              <w:t>8,237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October 28,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0"/>
              <w:spacing w:after="0" w:line="147" w:lineRule="exact"/>
              <w:rPr>
                <w:sz w:val="20"/>
                <w:szCs w:val="20"/>
                <w:color w:val="auto"/>
              </w:rPr>
            </w:pPr>
            <w:r>
              <w:rPr>
                <w:rFonts w:ascii="Arial" w:cs="Arial" w:eastAsia="Arial" w:hAnsi="Arial"/>
                <w:sz w:val="14"/>
                <w:szCs w:val="14"/>
                <w:b w:val="1"/>
                <w:bCs w:val="1"/>
                <w:color w:val="auto"/>
              </w:rPr>
              <w:t>October 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6"/>
                <w:szCs w:val="16"/>
                <w:color w:val="auto"/>
              </w:rPr>
              <w:t>Net (loss) income</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(15,530)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52,255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Asset impairment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6"/>
                <w:szCs w:val="16"/>
                <w:color w:val="auto"/>
              </w:rPr>
              <w:t>Non-cash operating lease costs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38,494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38,474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(4,304)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Insurance proceeds related to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sale-leaseback</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Arial" w:cs="Arial" w:eastAsia="Arial" w:hAnsi="Arial"/>
                <w:sz w:val="16"/>
                <w:szCs w:val="16"/>
                <w:color w:val="auto"/>
              </w:rPr>
              <w:t>Gain on insurance related to operating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(3,482)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420"/>
              <w:spacing w:after="0"/>
              <w:rPr>
                <w:sz w:val="20"/>
                <w:szCs w:val="20"/>
                <w:color w:val="auto"/>
              </w:rPr>
            </w:pPr>
            <w:r>
              <w:rPr>
                <w:rFonts w:ascii="Arial" w:cs="Arial" w:eastAsia="Arial" w:hAnsi="Arial"/>
                <w:sz w:val="16"/>
                <w:szCs w:val="16"/>
                <w:color w:val="auto"/>
              </w:rPr>
              <w:t>Inventory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(23,933)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(5,891)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Prepaid and other current assets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(45,515)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(44,643)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420"/>
              <w:spacing w:after="0"/>
              <w:rPr>
                <w:sz w:val="20"/>
                <w:szCs w:val="20"/>
                <w:color w:val="auto"/>
              </w:rPr>
            </w:pPr>
            <w:r>
              <w:rPr>
                <w:rFonts w:ascii="Arial" w:cs="Arial" w:eastAsia="Arial" w:hAnsi="Arial"/>
                <w:sz w:val="16"/>
                <w:szCs w:val="16"/>
                <w:color w:val="auto"/>
              </w:rPr>
              <w:t>Income tax receivable/payable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Layaway deposits</w:t>
            </w:r>
          </w:p>
        </w:tc>
        <w:tc>
          <w:tcPr>
            <w:tcW w:w="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Borders>
              <w:bottom w:val="single" w:sz="8" w:color="CCEEFF"/>
            </w:tcBorders>
          </w:tcPr>
          <w:p>
            <w:pPr>
              <w:ind w:left="640"/>
              <w:spacing w:after="0" w:line="183" w:lineRule="exact"/>
              <w:rPr>
                <w:sz w:val="20"/>
                <w:szCs w:val="20"/>
                <w:color w:val="auto"/>
              </w:rPr>
            </w:pPr>
            <w:r>
              <w:rPr>
                <w:rFonts w:ascii="Arial" w:cs="Arial" w:eastAsia="Arial" w:hAnsi="Arial"/>
                <w:sz w:val="16"/>
                <w:szCs w:val="16"/>
                <w:color w:val="auto"/>
              </w:rPr>
              <w:t>Net cash used in operating activities</w:t>
            </w: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(32,868)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(23,059)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(11,568)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(19,218)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Insurance proceeds related to investing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6"/>
                <w:szCs w:val="16"/>
                <w:color w:val="auto"/>
              </w:rPr>
              <w:t>Proceeds from sale-leasebacks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81,098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Borders>
              <w:top w:val="single" w:sz="8" w:color="CCEEFF"/>
            </w:tcBorders>
            <w:shd w:val="clear" w:color="auto" w:fill="CCEEFF"/>
          </w:tcPr>
          <w:p>
            <w:pPr>
              <w:ind w:left="64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(10,050)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63,250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Pr>
          <w:p>
            <w:pPr>
              <w:spacing w:after="0" w:line="183" w:lineRule="exact"/>
              <w:rPr>
                <w:sz w:val="20"/>
                <w:szCs w:val="20"/>
                <w:color w:val="auto"/>
              </w:rPr>
            </w:pPr>
            <w:r>
              <w:rPr>
                <w:rFonts w:ascii="Arial" w:cs="Arial" w:eastAsia="Arial" w:hAnsi="Arial"/>
                <w:sz w:val="16"/>
                <w:szCs w:val="16"/>
                <w:color w:val="auto"/>
              </w:rPr>
              <w:t>Financing activities: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Borders>
              <w:top w:val="single" w:sz="8" w:color="CCEEFF"/>
            </w:tcBorders>
            <w:shd w:val="clear" w:color="auto" w:fill="CCEEFF"/>
          </w:tcPr>
          <w:p>
            <w:pPr>
              <w:ind w:left="640"/>
              <w:spacing w:after="0" w:line="183" w:lineRule="exact"/>
              <w:rPr>
                <w:sz w:val="20"/>
                <w:szCs w:val="20"/>
                <w:color w:val="auto"/>
              </w:rPr>
            </w:pPr>
            <w:r>
              <w:rPr>
                <w:rFonts w:ascii="Arial" w:cs="Arial" w:eastAsia="Arial" w:hAnsi="Arial"/>
                <w:sz w:val="16"/>
                <w:szCs w:val="16"/>
                <w:color w:val="auto"/>
              </w:rPr>
              <w:t>Net cash used in financing activities</w:t>
            </w: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(851)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(12,208)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Pr>
          <w:p>
            <w:pPr>
              <w:ind w:left="640"/>
              <w:spacing w:after="0" w:line="183" w:lineRule="exact"/>
              <w:rPr>
                <w:sz w:val="20"/>
                <w:szCs w:val="20"/>
                <w:color w:val="auto"/>
              </w:rPr>
            </w:pPr>
            <w:r>
              <w:rPr>
                <w:rFonts w:ascii="Arial" w:cs="Arial" w:eastAsia="Arial" w:hAnsi="Arial"/>
                <w:sz w:val="16"/>
                <w:szCs w:val="16"/>
                <w:color w:val="auto"/>
              </w:rPr>
              <w:t>Net (decrease) increase in cash and cash equivalents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(43,769)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27,983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Beginning of period</w:t>
            </w: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103,495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49,788</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16"/>
                <w:szCs w:val="16"/>
                <w:color w:val="auto"/>
              </w:rPr>
              <w:t>End of period</w:t>
            </w: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59,726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77,771</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0" w:type="dxa"/>
            <w:vAlign w:val="bottom"/>
          </w:tcPr>
          <w:p>
            <w:pPr>
              <w:ind w:left="640"/>
              <w:spacing w:after="0"/>
              <w:rPr>
                <w:sz w:val="20"/>
                <w:szCs w:val="20"/>
                <w:color w:val="auto"/>
              </w:rPr>
            </w:pPr>
            <w:r>
              <w:rPr>
                <w:rFonts w:ascii="Arial" w:cs="Arial" w:eastAsia="Arial" w:hAnsi="Arial"/>
                <w:sz w:val="16"/>
                <w:szCs w:val="16"/>
                <w:color w:val="auto"/>
              </w:rPr>
              <w:t>Cash paid for interest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tcBorders>
              <w:top w:val="single" w:sz="8" w:color="CCEEFF"/>
              <w:bottom w:val="single" w:sz="8" w:color="CCEEFF"/>
            </w:tcBorders>
            <w:shd w:val="clear" w:color="auto" w:fill="CCEEFF"/>
          </w:tcPr>
          <w:p>
            <w:pPr>
              <w:ind w:left="640"/>
              <w:spacing w:after="0" w:line="170" w:lineRule="exact"/>
              <w:rPr>
                <w:sz w:val="20"/>
                <w:szCs w:val="20"/>
                <w:color w:val="auto"/>
              </w:rPr>
            </w:pPr>
            <w:r>
              <w:rPr>
                <w:rFonts w:ascii="Arial" w:cs="Arial" w:eastAsia="Arial" w:hAnsi="Arial"/>
                <w:sz w:val="16"/>
                <w:szCs w:val="16"/>
                <w:color w:val="auto"/>
              </w:rPr>
              <w:t>Cash payments of income taxes</w:t>
            </w: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1,545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6,606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disclosures of non-cash investing activities:</w:t>
            </w: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Accrual for purchases of property and equipment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94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28, 2023</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16,158,494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$ 102,445</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$ 331,050</w:t>
            </w: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166,444</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Vesting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(9,647)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(33,432)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(782)</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(6,635)</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April 29, 2023</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16,116,915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$ 102,598</w:t>
            </w:r>
          </w:p>
        </w:tc>
        <w:tc>
          <w:tcPr>
            <w:tcW w:w="6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$ 324,415</w:t>
            </w: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159,962</w:t>
            </w:r>
          </w:p>
        </w:tc>
        <w:tc>
          <w:tcPr>
            <w:tcW w:w="0" w:type="dxa"/>
            <w:vAlign w:val="bottom"/>
          </w:tcPr>
          <w:p>
            <w:pPr>
              <w:spacing w:after="0"/>
              <w:rPr>
                <w:sz w:val="1"/>
                <w:szCs w:val="1"/>
                <w:color w:val="auto"/>
              </w:rPr>
            </w:pPr>
          </w:p>
        </w:tc>
      </w:tr>
      <w:tr>
        <w:trPr>
          <w:trHeight w:val="169"/>
        </w:trPr>
        <w:tc>
          <w:tcPr>
            <w:tcW w:w="384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Issuance of nonvested shares</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259,136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(6,581)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(5,032)</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(5,032)</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July 29, 2023</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16,368,070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$ 103,621</w:t>
            </w:r>
          </w:p>
        </w:tc>
        <w:tc>
          <w:tcPr>
            <w:tcW w:w="6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$ 319,383</w:t>
            </w: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155,953</w:t>
            </w: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Forfeiture of nonvested shares</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(17,787)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1,018</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(3,863)</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(3,863)</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October 28, 2023</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16,348,358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$ 104,597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$ 315,520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153,066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840" w:type="dxa"/>
            <w:vAlign w:val="bottom"/>
          </w:tcPr>
          <w:p>
            <w:pPr>
              <w:spacing w:after="0"/>
              <w:rPr>
                <w:sz w:val="24"/>
                <w:szCs w:val="24"/>
                <w:color w:val="auto"/>
              </w:rPr>
            </w:pPr>
          </w:p>
        </w:tc>
        <w:tc>
          <w:tcPr>
            <w:tcW w:w="15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94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29, 2022</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16,090,365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$ 101,037</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$ 272,158</w:t>
            </w: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7,473,155</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(257,211)</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116,143</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Vesting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840" w:type="dxa"/>
            <w:vAlign w:val="bottom"/>
          </w:tcPr>
          <w:p>
            <w:pPr>
              <w:spacing w:after="0" w:line="175" w:lineRule="exact"/>
              <w:rPr>
                <w:sz w:val="20"/>
                <w:szCs w:val="20"/>
                <w:color w:val="auto"/>
              </w:rPr>
            </w:pPr>
            <w:r>
              <w:rPr>
                <w:rFonts w:ascii="Arial" w:cs="Arial" w:eastAsia="Arial" w:hAnsi="Arial"/>
                <w:sz w:val="16"/>
                <w:szCs w:val="16"/>
                <w:color w:val="auto"/>
              </w:rPr>
              <w:t>Issuance of common stock under incentive plan,</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6"/>
                <w:szCs w:val="16"/>
                <w:color w:val="auto"/>
              </w:rPr>
              <w:t>net of shares withheld for taxes</w:t>
            </w:r>
          </w:p>
        </w:tc>
        <w:tc>
          <w:tcPr>
            <w:tcW w:w="940" w:type="dxa"/>
            <w:vAlign w:val="bottom"/>
          </w:tcPr>
          <w:p>
            <w:pPr>
              <w:jc w:val="right"/>
              <w:spacing w:after="0"/>
              <w:rPr>
                <w:sz w:val="20"/>
                <w:szCs w:val="20"/>
                <w:color w:val="auto"/>
              </w:rPr>
            </w:pPr>
            <w:r>
              <w:rPr>
                <w:rFonts w:ascii="Arial" w:cs="Arial" w:eastAsia="Arial" w:hAnsi="Arial"/>
                <w:sz w:val="16"/>
                <w:szCs w:val="16"/>
                <w:color w:val="auto"/>
              </w:rPr>
              <w:t>15,977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2,277</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170,436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(5,317)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(5,317)</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April 30, 2022</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16,159,393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$ 101,187</w:t>
            </w:r>
          </w:p>
        </w:tc>
        <w:tc>
          <w:tcPr>
            <w:tcW w:w="6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$ 302,361</w:t>
            </w: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7,643,591</w:t>
            </w:r>
          </w:p>
        </w:tc>
        <w:tc>
          <w:tcPr>
            <w:tcW w:w="1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(262,528)</w:t>
            </w:r>
          </w:p>
        </w:tc>
        <w:tc>
          <w:tcPr>
            <w:tcW w:w="80" w:type="dxa"/>
            <w:vAlign w:val="bottom"/>
            <w:tcBorders>
              <w:bottom w:val="single" w:sz="8" w:color="CCEEFF"/>
            </w:tcBorders>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141,179</w:t>
            </w: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Issuance of nonvested shares</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29,938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(5,379)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(2,536)</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July 30, 2022</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16,183,425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$ 100,837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$ 299,825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133,610</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color w:val="auto"/>
              </w:rPr>
              <w:t>Vesting of nonvested shares</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40" w:type="dxa"/>
            <w:vAlign w:val="bottom"/>
            <w:vMerge w:val="continue"/>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(20,448)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(3,936)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24,588</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24,588</w:t>
            </w:r>
          </w:p>
        </w:tc>
        <w:tc>
          <w:tcPr>
            <w:tcW w:w="0" w:type="dxa"/>
            <w:vAlign w:val="bottom"/>
          </w:tcPr>
          <w:p>
            <w:pPr>
              <w:spacing w:after="0"/>
              <w:rPr>
                <w:sz w:val="1"/>
                <w:szCs w:val="1"/>
                <w:color w:val="auto"/>
              </w:rPr>
            </w:pPr>
          </w:p>
        </w:tc>
      </w:tr>
      <w:tr>
        <w:trPr>
          <w:trHeight w:val="183"/>
        </w:trPr>
        <w:tc>
          <w:tcPr>
            <w:tcW w:w="3840" w:type="dxa"/>
            <w:vAlign w:val="bottom"/>
          </w:tcPr>
          <w:p>
            <w:pPr>
              <w:spacing w:after="0" w:line="183" w:lineRule="exact"/>
              <w:rPr>
                <w:sz w:val="20"/>
                <w:szCs w:val="20"/>
                <w:color w:val="auto"/>
              </w:rPr>
            </w:pPr>
            <w:r>
              <w:rPr>
                <w:rFonts w:ascii="Arial" w:cs="Arial" w:eastAsia="Arial" w:hAnsi="Arial"/>
                <w:sz w:val="16"/>
                <w:szCs w:val="16"/>
                <w:color w:val="auto"/>
              </w:rPr>
              <w:t>Balances — October 29, 2022</w:t>
            </w: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16,160,267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$ 101,100</w:t>
            </w:r>
          </w:p>
        </w:tc>
        <w:tc>
          <w:tcPr>
            <w:tcW w:w="60" w:type="dxa"/>
            <w:vAlign w:val="bottom"/>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$ 324,413</w:t>
            </w:r>
          </w:p>
        </w:tc>
        <w:tc>
          <w:tcPr>
            <w:tcW w:w="60" w:type="dxa"/>
            <w:vAlign w:val="bottom"/>
          </w:tcPr>
          <w:p>
            <w:pPr>
              <w:spacing w:after="0"/>
              <w:rPr>
                <w:sz w:val="15"/>
                <w:szCs w:val="15"/>
                <w:color w:val="auto"/>
              </w:rPr>
            </w:pPr>
          </w:p>
        </w:tc>
        <w:tc>
          <w:tcPr>
            <w:tcW w:w="8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Pr>
          <w:p>
            <w:pPr>
              <w:spacing w:after="0"/>
              <w:rPr>
                <w:sz w:val="15"/>
                <w:szCs w:val="15"/>
                <w:color w:val="auto"/>
              </w:rPr>
            </w:pPr>
          </w:p>
        </w:tc>
        <w:tc>
          <w:tcPr>
            <w:tcW w:w="8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 (267,211)</w:t>
            </w:r>
          </w:p>
        </w:tc>
        <w:tc>
          <w:tcPr>
            <w:tcW w:w="80" w:type="dxa"/>
            <w:vAlign w:val="bottom"/>
            <w:gridSpan w:val="2"/>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158,462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October 28, 2023</w:t>
      </w:r>
    </w:p>
    <w:p>
      <w:pPr>
        <w:spacing w:after="0" w:line="28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30"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Citi Trends, Inc. and its subsidiary (the “Company”) is a leading specialty value retailer of apparel, accessories and home trends for way less spend primarily for African American and multicultural families. As of October 28, 2023, the Company operated 606 stores in urban, suburban and rural markets in 33 states.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28, 2023 is derived from the audited financial statements in the Company’s Annual Report on Form 10-K for the fiscal year ended January 28, 2023 (the “2022 Form 10-K”). These condensed consolidated financial statements should be read in conjunction with the audited consolidated financial statements and notes thereto included in the 2022 Form 10-K. Operating results for the third quarter of 2023 are not necessarily indicative of the results that may be expected for the fiscal year as a result of the seasonality of the business and the current economic uncertainty.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9"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color w:val="auto"/>
        </w:rPr>
        <w:t>The following contains references to fiscal years 2023 and 2022, which represent fiscal years ending or ended on February 3, 2024 and January 28, 2023, respectively. Fiscal 2023 has a 53-week accounting period, and fiscal 2022 had a 52-week accounting period.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3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(“U.S. GAAP”) requires management to make estimates and apply judgments that affect the reported amounts. Actual results could differ from those estimates.</w:t>
      </w:r>
    </w:p>
    <w:p>
      <w:pPr>
        <w:spacing w:after="0" w:line="157"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The most significant estimates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w:t>
      </w:r>
    </w:p>
    <w:p>
      <w:pPr>
        <w:spacing w:after="0" w:line="206"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35"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1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35"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third quarter of 2023 and 2022, there were 318,000 and 220,000 shares of nonvested restricted stock, respectively, excluded from the calculation of diluted earnings per share because of antidilution. For the thirty-nine weeks ended October 28, 2023 and October 29, 2022, there were 259,000 and 226,000 shares of nonvested restricted stock, respectively, excluded from the calculation of diluted earnings per share because of antidilution.</w:t>
      </w:r>
    </w:p>
    <w:p>
      <w:pPr>
        <w:sectPr>
          <w:pgSz w:w="11900" w:h="16838" w:orient="portrait"/>
          <w:cols w:equalWidth="0" w:num="1">
            <w:col w:w="9880"/>
          </w:cols>
          <w:pgMar w:left="980" w:top="512"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2" w:right="10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7280" w:type="dxa"/>
            <w:vAlign w:val="bottom"/>
          </w:tcPr>
          <w:p>
            <w:pPr>
              <w:spacing w:after="0"/>
              <w:rPr>
                <w:sz w:val="13"/>
                <w:szCs w:val="13"/>
                <w:color w:val="auto"/>
              </w:rPr>
            </w:pPr>
          </w:p>
        </w:tc>
        <w:tc>
          <w:tcPr>
            <w:tcW w:w="14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October 28, 2023</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October 29, 2022</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8,237,729</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8,145,318</w:t>
            </w:r>
          </w:p>
        </w:tc>
      </w:tr>
      <w:tr>
        <w:trPr>
          <w:trHeight w:val="189"/>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8,237,729</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8,145,318</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67"/>
        </w:trPr>
        <w:tc>
          <w:tcPr>
            <w:tcW w:w="728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r>
      <w:tr>
        <w:trPr>
          <w:trHeight w:val="155"/>
        </w:trPr>
        <w:tc>
          <w:tcPr>
            <w:tcW w:w="7280" w:type="dxa"/>
            <w:vAlign w:val="bottom"/>
          </w:tcPr>
          <w:p>
            <w:pPr>
              <w:spacing w:after="0"/>
              <w:rPr>
                <w:sz w:val="13"/>
                <w:szCs w:val="13"/>
                <w:color w:val="auto"/>
              </w:rPr>
            </w:pPr>
          </w:p>
        </w:tc>
        <w:tc>
          <w:tcPr>
            <w:tcW w:w="14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October 28, 2023</w:t>
            </w:r>
          </w:p>
        </w:tc>
        <w:tc>
          <w:tcPr>
            <w:tcW w:w="1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October 29, 2022</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8,214,907</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8,236,836</w:t>
            </w:r>
          </w:p>
        </w:tc>
      </w:tr>
      <w:tr>
        <w:trPr>
          <w:trHeight w:val="189"/>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8,214,907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8,236,836</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Revolving Credit Facility</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and May 2020 to extend the maturity dates. The facility was further amended in April 2021 to modify terms and extend the maturity date to April 15, 2026. In May 2023, the facility was amended to replace the London Interbank Offered Rate (“LIBOR”) with the Secured Overnight Financing Rate (“SOFR”).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SOFR Loans, at a rate equal to the SOFR Rate plus a SOFR adjustment equal to 0.10% plus either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1.25%, 1.50% or 1.75%, or (b) for Base Rate Loans, at a rate equal to the highest of (i) the prime rate, (ii) the Federal Funds Rate plus</w:t>
      </w:r>
    </w:p>
    <w:p>
      <w:pPr>
        <w:spacing w:after="0" w:line="19"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0.5% or (iii) the Eurodollar Rate plus 1.0%, plus, in each case either 0.25%, 0.50% or 0.75%, based in any such case on the average daily availability for borrowings under the facility.</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As of October 28, 2023, the Company had no borrowings under the credit facility and $0.6 million of letters of credit outstanding.</w:t>
      </w:r>
    </w:p>
    <w:p>
      <w:pPr>
        <w:spacing w:after="0" w:line="34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Impairment of Assets</w:t>
      </w:r>
    </w:p>
    <w:p>
      <w:pPr>
        <w:spacing w:after="0" w:line="23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In the third quarter of 2023, non-cash impairment expense related to underperforming stores totaled $0.2 million.</w:t>
      </w:r>
    </w:p>
    <w:p>
      <w:pPr>
        <w:spacing w:after="0" w:line="239"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4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19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has historically used the annual effective tax rate method to calculate income taxes. For the first thirty-nine weeks of 2023, the Company used the discrete effective tax rate method to determine its tax expense based upon interim results. The Company determined that since small changes in estimated ordinary income would result in significant changes in the estimated annual effective tax rate, the historical method would not provide a reliable estimate for the first thirty-nine weeks of 2023.</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3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w:t>
      </w:r>
    </w:p>
    <w:p>
      <w:pPr>
        <w:spacing w:after="0" w:line="165"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In January 2023, the Company experienced a disruption of its back office and distribution center IT systems, which was due to what is known as Hive ransomware (the “January 2023 cyber disruption”). In connection with this incident, third party consultants and forensic experts were engaged to assist with the restoration and remediation of the Company’s systems and, with the assistance of law enforcement, to investigate the incident. The Company does not retain sensitive customer data on its systems.</w:t>
      </w:r>
    </w:p>
    <w:p>
      <w:pPr>
        <w:spacing w:after="0" w:line="18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In connection with the January 2023 cyber disruption, four putative class action lawsuits have been filed against the Company in the United States District Court for the Southern District of Georgia. These matters, Matousek et al v. Citi Trends, Inc.; Sienna Thomas v. Citi Trends, Inc.; Yeimy Sambrano v. Citi Trends, Inc.; and Sabrina Green-Fogg v. Citi Trends, Inc., were filed on September 26, 2023, June 27, 2023, July 7, 2023 and July 14, 2023, respectively. The plaintiffs allege harm in connection with the January 2023 cyber disruption and assert a variety of claims seeking unspecified monetary damages and other related relief. The Company is vigorously defending these lawsuits. In addition, the Attorneys General of Alabama, Connecticut, Indiana and Texas have sent inquiry letters to the Company regarding the January 2023 cyber disruption, which the Company is answering. At October 28, 2023, the Company had an accrual of $0.8 million for estimated losses in connection with these matters recorded in Accrued expenses. The ultimate loss to the Company for these matters could be materially different from the amount the Company has accrued. The Company cannot predict or estimate the duration or ultimate outcome of these matters. The Company is unable to predict whether it may be subject to other lawsuits, claims or inquiries.</w:t>
      </w:r>
    </w:p>
    <w:p>
      <w:pPr>
        <w:spacing w:after="0" w:line="18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While legal proceedings are subject to uncertainties and the outcome of any such matter is not predictable and it is possible that we could incur losses associated with these proceedings, the Company does not believe, based on the information available to it at the time of this filing, that any legal proceedings pending or threatened against it will have a material adverse effect on its financial condition, results of operations or liquidity.</w:t>
      </w:r>
    </w:p>
    <w:p>
      <w:pPr>
        <w:spacing w:after="0" w:line="18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 of Common Stock</w:t>
      </w:r>
    </w:p>
    <w:p>
      <w:pPr>
        <w:spacing w:after="0" w:line="23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Thirteen Weeks Ended</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Thirty-Nine Weeks Ended</w:t>
            </w:r>
          </w:p>
        </w:tc>
      </w:tr>
      <w:tr>
        <w:trPr>
          <w:trHeight w:val="169"/>
        </w:trPr>
        <w:tc>
          <w:tcPr>
            <w:tcW w:w="43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28, 2023</w:t>
            </w:r>
          </w:p>
        </w:tc>
        <w:tc>
          <w:tcPr>
            <w:tcW w:w="1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29, 2022</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28, 2023</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29, 2022</w:t>
            </w:r>
          </w:p>
        </w:tc>
      </w:tr>
      <w:tr>
        <w:trPr>
          <w:trHeight w:val="183"/>
        </w:trPr>
        <w:tc>
          <w:tcPr>
            <w:tcW w:w="4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number of shares purchased</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ind w:left="66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ind w:left="72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331</w:t>
            </w:r>
          </w:p>
        </w:tc>
      </w:tr>
      <w:tr>
        <w:trPr>
          <w:trHeight w:val="189"/>
        </w:trPr>
        <w:tc>
          <w:tcPr>
            <w:tcW w:w="4340" w:type="dxa"/>
            <w:vAlign w:val="bottom"/>
          </w:tcPr>
          <w:p>
            <w:pPr>
              <w:spacing w:after="0"/>
              <w:rPr>
                <w:sz w:val="20"/>
                <w:szCs w:val="20"/>
                <w:color w:val="auto"/>
              </w:rPr>
            </w:pPr>
            <w:r>
              <w:rPr>
                <w:rFonts w:ascii="Arial" w:cs="Arial" w:eastAsia="Arial" w:hAnsi="Arial"/>
                <w:sz w:val="16"/>
                <w:szCs w:val="16"/>
                <w:color w:val="auto"/>
              </w:rPr>
              <w:t>Average price paid per share (including commissions)</w:t>
            </w: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80" w:type="dxa"/>
            <w:vAlign w:val="bottom"/>
          </w:tcPr>
          <w:p>
            <w:pPr>
              <w:ind w:left="66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30.22</w:t>
            </w:r>
          </w:p>
        </w:tc>
      </w:tr>
      <w:tr>
        <w:trPr>
          <w:trHeight w:val="189"/>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At October 28, 2023, $50.0 million remained available under the Company’s stock repurchase authorization.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3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29" w:lineRule="exact"/>
        <w:rPr>
          <w:sz w:val="20"/>
          <w:szCs w:val="20"/>
          <w:color w:val="auto"/>
        </w:rPr>
      </w:pPr>
    </w:p>
    <w:p>
      <w:pPr>
        <w:ind w:right="620"/>
        <w:spacing w:after="0" w:line="305"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3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the following table, the Company’s revenue from contracts with customers is disaggregated by “CITI” or major merchandise category.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net sales for each CITI with the merchandise assortment was approximately: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4"/>
                <w:szCs w:val="14"/>
                <w:color w:val="auto"/>
              </w:rPr>
            </w:pPr>
          </w:p>
        </w:tc>
      </w:tr>
      <w:tr>
        <w:trPr>
          <w:trHeight w:val="248"/>
        </w:trPr>
        <w:tc>
          <w:tcPr>
            <w:tcW w:w="5280" w:type="dxa"/>
            <w:vAlign w:val="bottom"/>
          </w:tcPr>
          <w:p>
            <w:pPr>
              <w:spacing w:after="0"/>
              <w:rPr>
                <w:sz w:val="21"/>
                <w:szCs w:val="21"/>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October 28,</w:t>
            </w: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October 29,</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28,</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29,</w:t>
            </w:r>
          </w:p>
        </w:tc>
      </w:tr>
      <w:tr>
        <w:trPr>
          <w:trHeight w:val="218"/>
        </w:trPr>
        <w:tc>
          <w:tcPr>
            <w:tcW w:w="52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3"/>
        </w:trPr>
        <w:tc>
          <w:tcPr>
            <w:tcW w:w="5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Ladies</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26</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Accessories &amp; Beauty</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Mens</w:t>
            </w: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Footwear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225"/>
        </w:trPr>
        <w:tc>
          <w:tcPr>
            <w:tcW w:w="5280" w:type="dxa"/>
            <w:vAlign w:val="bottom"/>
          </w:tcPr>
          <w:p>
            <w:pPr>
              <w:spacing w:after="0"/>
              <w:rPr>
                <w:sz w:val="20"/>
                <w:szCs w:val="20"/>
                <w:color w:val="auto"/>
              </w:rPr>
            </w:pPr>
            <w:r>
              <w:rPr>
                <w:rFonts w:ascii="Arial" w:cs="Arial" w:eastAsia="Arial" w:hAnsi="Arial"/>
                <w:sz w:val="17"/>
                <w:szCs w:val="17"/>
                <w:color w:val="auto"/>
              </w:rPr>
              <w:t>Home &amp; Lifestyle</w:t>
            </w: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auto"/>
        </w:rPr>
        <w:t>Leases</w:t>
      </w:r>
    </w:p>
    <w:p>
      <w:pPr>
        <w:spacing w:after="0" w:line="24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Company leases its retail store locations, distribution centers, and certain office space and equipment. Leases for store locations are typically for a term of five years with options to extend for one or more five-year periods. In April 2022, the Company completed a sale-leaseback of its distribution center in Darlington, South Carolina that resulted in a gain of $34.9 million and a 20-year lease term with the option to extend for six additional periods of five years each. In September 2022, the Company completed a sale-leaseback of its distribution center in Roland, Oklahoma that resulted in a gain of $29.2 million and a 15-year lease term with the option to extend for six additional periods of five years each.</w:t>
      </w:r>
    </w:p>
    <w:p>
      <w:pPr>
        <w:spacing w:after="0" w:line="17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165" w:lineRule="exact"/>
        <w:rPr>
          <w:sz w:val="20"/>
          <w:szCs w:val="20"/>
          <w:color w:val="auto"/>
        </w:rPr>
      </w:pPr>
    </w:p>
    <w:p>
      <w:pPr>
        <w:jc w:val="both"/>
        <w:ind w:right="480"/>
        <w:spacing w:after="0" w:line="292"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Thirty-Nine Weeks Ended</w:t>
            </w:r>
          </w:p>
        </w:tc>
      </w:tr>
      <w:tr>
        <w:trPr>
          <w:trHeight w:val="223"/>
        </w:trPr>
        <w:tc>
          <w:tcPr>
            <w:tcW w:w="30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28, 2023</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29, 2022</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28, 2023</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29, 2022</w:t>
            </w:r>
          </w:p>
        </w:tc>
      </w:tr>
      <w:tr>
        <w:trPr>
          <w:trHeight w:val="223"/>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1840" w:type="dxa"/>
            <w:vAlign w:val="bottom"/>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46,930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44,326</w:t>
            </w:r>
          </w:p>
        </w:tc>
      </w:tr>
      <w:tr>
        <w:trPr>
          <w:trHeight w:val="243"/>
        </w:trPr>
        <w:tc>
          <w:tcPr>
            <w:tcW w:w="3060" w:type="dxa"/>
            <w:vAlign w:val="bottom"/>
          </w:tcPr>
          <w:p>
            <w:pPr>
              <w:spacing w:after="0"/>
              <w:rPr>
                <w:sz w:val="20"/>
                <w:szCs w:val="20"/>
                <w:color w:val="auto"/>
              </w:rPr>
            </w:pPr>
            <w:r>
              <w:rPr>
                <w:rFonts w:ascii="Arial" w:cs="Arial" w:eastAsia="Arial" w:hAnsi="Arial"/>
                <w:sz w:val="16"/>
                <w:szCs w:val="16"/>
                <w:color w:val="auto"/>
              </w:rPr>
              <w:t>Variable lease cost</w:t>
            </w: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2,510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8,406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7,423</w:t>
            </w: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15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2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r>
      <w:tr>
        <w:trPr>
          <w:trHeight w:val="209"/>
        </w:trPr>
        <w:tc>
          <w:tcPr>
            <w:tcW w:w="3060" w:type="dxa"/>
            <w:vAlign w:val="bottom"/>
          </w:tcPr>
          <w:p>
            <w:pPr>
              <w:spacing w:after="0"/>
              <w:rPr>
                <w:sz w:val="20"/>
                <w:szCs w:val="20"/>
                <w:color w:val="auto"/>
              </w:rPr>
            </w:pPr>
            <w:r>
              <w:rPr>
                <w:rFonts w:ascii="Arial" w:cs="Arial" w:eastAsia="Arial" w:hAnsi="Arial"/>
                <w:sz w:val="16"/>
                <w:szCs w:val="16"/>
                <w:color w:val="auto"/>
              </w:rPr>
              <w:t>Total lease cost</w:t>
            </w:r>
          </w:p>
        </w:tc>
        <w:tc>
          <w:tcPr>
            <w:tcW w:w="184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18,542</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18,296</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56,507</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52,811</w:t>
            </w:r>
          </w:p>
        </w:tc>
      </w:tr>
      <w:tr>
        <w:trPr>
          <w:trHeight w:val="20"/>
        </w:trPr>
        <w:tc>
          <w:tcPr>
            <w:tcW w:w="3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as of October 28, 2023 are as follows (in thousands):</w:t>
      </w:r>
    </w:p>
    <w:p>
      <w:pPr>
        <w:spacing w:after="0" w:line="14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Lease Costs</w:t>
            </w:r>
          </w:p>
        </w:tc>
        <w:tc>
          <w:tcPr>
            <w:tcW w:w="480" w:type="dxa"/>
            <w:vAlign w:val="bottom"/>
            <w:tcBorders>
              <w:bottom w:val="single" w:sz="8" w:color="CCEEFF"/>
            </w:tcBorders>
          </w:tcPr>
          <w:p>
            <w:pPr>
              <w:spacing w:after="0"/>
              <w:rPr>
                <w:sz w:val="14"/>
                <w:szCs w:val="14"/>
                <w:color w:val="auto"/>
              </w:rPr>
            </w:pPr>
          </w:p>
        </w:tc>
      </w:tr>
      <w:tr>
        <w:trPr>
          <w:trHeight w:val="183"/>
        </w:trPr>
        <w:tc>
          <w:tcPr>
            <w:tcW w:w="6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Remainder of 2023</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10,896</w:t>
            </w:r>
          </w:p>
        </w:tc>
        <w:tc>
          <w:tcPr>
            <w:tcW w:w="480" w:type="dxa"/>
            <w:vAlign w:val="bottom"/>
            <w:shd w:val="clear" w:color="auto" w:fill="CCEEFF"/>
          </w:tcPr>
          <w:p>
            <w:pPr>
              <w:spacing w:after="0"/>
              <w:rPr>
                <w:sz w:val="15"/>
                <w:szCs w:val="15"/>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61,555</w:t>
            </w:r>
          </w:p>
        </w:tc>
        <w:tc>
          <w:tcPr>
            <w:tcW w:w="480" w:type="dxa"/>
            <w:vAlign w:val="bottom"/>
          </w:tcPr>
          <w:p>
            <w:pPr>
              <w:spacing w:after="0"/>
              <w:rPr>
                <w:sz w:val="16"/>
                <w:szCs w:val="16"/>
                <w:color w:val="auto"/>
              </w:rPr>
            </w:pP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51,678</w:t>
            </w:r>
          </w:p>
        </w:tc>
        <w:tc>
          <w:tcPr>
            <w:tcW w:w="480" w:type="dxa"/>
            <w:vAlign w:val="bottom"/>
            <w:shd w:val="clear" w:color="auto" w:fill="CCEEFF"/>
          </w:tcPr>
          <w:p>
            <w:pPr>
              <w:spacing w:after="0"/>
              <w:rPr>
                <w:sz w:val="16"/>
                <w:szCs w:val="16"/>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40,248</w:t>
            </w:r>
          </w:p>
        </w:tc>
        <w:tc>
          <w:tcPr>
            <w:tcW w:w="480" w:type="dxa"/>
            <w:vAlign w:val="bottom"/>
          </w:tcPr>
          <w:p>
            <w:pPr>
              <w:spacing w:after="0"/>
              <w:rPr>
                <w:sz w:val="16"/>
                <w:szCs w:val="16"/>
                <w:color w:val="auto"/>
              </w:rPr>
            </w:pP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29,574</w:t>
            </w:r>
          </w:p>
        </w:tc>
        <w:tc>
          <w:tcPr>
            <w:tcW w:w="480" w:type="dxa"/>
            <w:vAlign w:val="bottom"/>
            <w:shd w:val="clear" w:color="auto" w:fill="CCEEFF"/>
          </w:tcPr>
          <w:p>
            <w:pPr>
              <w:spacing w:after="0"/>
              <w:rPr>
                <w:sz w:val="16"/>
                <w:szCs w:val="16"/>
                <w:color w:val="auto"/>
              </w:rPr>
            </w:pPr>
          </w:p>
        </w:tc>
      </w:tr>
      <w:tr>
        <w:trPr>
          <w:trHeight w:val="189"/>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124,026</w:t>
            </w:r>
          </w:p>
        </w:tc>
        <w:tc>
          <w:tcPr>
            <w:tcW w:w="480" w:type="dxa"/>
            <w:vAlign w:val="bottom"/>
            <w:tcBorders>
              <w:bottom w:val="single" w:sz="8" w:color="CCEEFF"/>
            </w:tcBorders>
          </w:tcPr>
          <w:p>
            <w:pPr>
              <w:spacing w:after="0"/>
              <w:rPr>
                <w:sz w:val="16"/>
                <w:szCs w:val="16"/>
                <w:color w:val="auto"/>
              </w:rPr>
            </w:pPr>
          </w:p>
        </w:tc>
      </w:tr>
      <w:tr>
        <w:trPr>
          <w:trHeight w:val="183"/>
        </w:trPr>
        <w:tc>
          <w:tcPr>
            <w:tcW w:w="6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317,977</w:t>
            </w:r>
          </w:p>
        </w:tc>
        <w:tc>
          <w:tcPr>
            <w:tcW w:w="480" w:type="dxa"/>
            <w:vAlign w:val="bottom"/>
            <w:shd w:val="clear" w:color="auto" w:fill="CCEEFF"/>
          </w:tcPr>
          <w:p>
            <w:pPr>
              <w:spacing w:after="0"/>
              <w:rPr>
                <w:sz w:val="15"/>
                <w:szCs w:val="15"/>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Less: imputed interest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2"/>
          </w:tcPr>
          <w:p>
            <w:pPr>
              <w:jc w:val="right"/>
              <w:ind w:right="197"/>
              <w:spacing w:after="0"/>
              <w:rPr>
                <w:sz w:val="20"/>
                <w:szCs w:val="20"/>
                <w:color w:val="auto"/>
              </w:rPr>
            </w:pPr>
            <w:r>
              <w:rPr>
                <w:rFonts w:ascii="Arial" w:cs="Arial" w:eastAsia="Arial" w:hAnsi="Arial"/>
                <w:sz w:val="16"/>
                <w:szCs w:val="16"/>
                <w:color w:val="auto"/>
              </w:rPr>
              <w:t xml:space="preserve">(74,610) </w:t>
            </w:r>
            <w:r>
              <w:rPr>
                <w:rFonts w:ascii="Arial" w:cs="Arial" w:eastAsia="Arial" w:hAnsi="Arial"/>
                <w:sz w:val="12"/>
                <w:szCs w:val="12"/>
                <w:color w:val="auto"/>
              </w:rPr>
              <w:t>(1)</w:t>
            </w:r>
          </w:p>
        </w:tc>
      </w:tr>
      <w:tr>
        <w:trPr>
          <w:trHeight w:val="183"/>
        </w:trPr>
        <w:tc>
          <w:tcPr>
            <w:tcW w:w="60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243,367</w:t>
            </w:r>
          </w:p>
        </w:tc>
        <w:tc>
          <w:tcPr>
            <w:tcW w:w="480" w:type="dxa"/>
            <w:vAlign w:val="bottom"/>
            <w:tcBorders>
              <w:top w:val="single" w:sz="8" w:color="CCEEFF"/>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(2)</w:t>
            </w: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58" w:lineRule="exact"/>
        <w:rPr>
          <w:sz w:val="20"/>
          <w:szCs w:val="20"/>
          <w:color w:val="auto"/>
        </w:rPr>
      </w:pPr>
    </w:p>
    <w:p>
      <w:pPr>
        <w:ind w:left="1380" w:hanging="319"/>
        <w:spacing w:after="0"/>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55" w:lineRule="exact"/>
        <w:rPr>
          <w:rFonts w:ascii="Arial" w:cs="Arial" w:eastAsia="Arial" w:hAnsi="Arial"/>
          <w:sz w:val="14"/>
          <w:szCs w:val="14"/>
          <w:color w:val="auto"/>
        </w:rPr>
      </w:pPr>
    </w:p>
    <w:p>
      <w:pPr>
        <w:ind w:left="1380" w:hanging="319"/>
        <w:spacing w:after="0"/>
        <w:tabs>
          <w:tab w:leader="none" w:pos="1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320"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October 28, 2023</w:t>
            </w: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October 29, 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52,734</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44,754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22,322</w:t>
            </w:r>
          </w:p>
        </w:tc>
        <w:tc>
          <w:tcPr>
            <w:tcW w:w="4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95,809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9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natural disasters such as hurricanes; uncertainty and economic impact of pandemics, epidemics or other public health emergencies such as the ongoing COVID-19 pandemic;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changes in consumer confidence and consumer spending patterns; competition within the industry; competition in our markets; the duration and extent of any economic stimulus programs; changes in product mix; interruptions in suppliers’ businesses; the ongoing assessment and impact of the January 2023 cyber disruption we identified on January 14, 2023, including legal, reputational, financial and contractual risks resulting from the January 2023 disruption, and other risks related to cybersecurity, data privacy and intellectual property; the results of pending or threatened litigation; temporary changes in demand due to weather patterns; seasonality of the Company’s business; delays associated with building, opening, remodeling and operating new stores; delays associated with building, opening or expanding new or existing distribution centers; and other factors described in the section titled “Item 1A. Risk Factors” and elsewhere in the Company’s Annual Report on Form 10-K for the fiscal year ended January 28, 2023, and in Part II, “Item 1A. Risk Factors” and elsewhere in the Company’s Quarterly Reports on Form 10-Q and any amendments thereto and in the other documents the Company files with the SEC, including reports on Form 8-K.</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3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We are a leading specialty value retailer of apparel, accessories and home trends for way less spend primarily for African American and multicultural families. Our high-quality and trend-right merchandise offerings at everyday low prices are designed to appeal to the fashion and trend preferences of value-conscious customers. As of October 28, 2023, we operated 606 stores in urban, suburban and rural markets in 33 states.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Economic Conditions</w:t>
      </w:r>
    </w:p>
    <w:p>
      <w:pPr>
        <w:spacing w:after="0" w:line="23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expect that our operations in the short-term will continue to be influenced by general economic conditions, including the recent inflationary pressures, which are particularly impactful to the communities we serve. Given the macro-economic environment, we expect low-income families to remain under pressure through the remainder of fiscal 2023. In addition,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233"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become a one-stop-shop, traffic to our stores is still influenced by weather patterns to some extent.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 Disruption</w:t>
      </w:r>
    </w:p>
    <w:p>
      <w:pPr>
        <w:spacing w:after="0" w:line="273"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January 2023, we experienced a disruption of our back office and distribution center IT systems, which was due to what is known as Hive ransomware (the “January 2023 cyber disruption”). In connection with this incident, we engaged third party consultants and forensic experts to assist with the restoration and remediation of the Company’s systems and, with the assistance of law enforcement, to investigate the incident. We do not retain sensitive customer data on our systems. The impact of the January 2023 cyber disruption is not expected to be material to our full year fiscal 2023 financial results.</w:t>
      </w:r>
    </w:p>
    <w:p>
      <w:pPr>
        <w:spacing w:after="0" w:line="21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the third quarter of fiscal 2023, we received insurance proceeds (reflected on our Statement of Cash Flows) related to the January 2023 cyber disruption. This resulted in a gain of $1.2 million that is recorded in Selling, general and administrative expenses on our Statement of Operations. In the first thirty-nine weeks of fiscal 2023, we recognized $1.7 million of costs related to the cyber disruption in Selling, general and administrative expenses on our Statement of Operations. We expect to incur ongoing costs to enhance data security and take further steps to prevent unauthorized access to, or manipulation of, our systems and data. Several putative class action lawsuits have been filed against the Company and several inquiries have been made to the Company with respect to the January 2023 cyber disruption. At October 28, 2023, we had an accrual of $0.8 million for estimated losses in connection with these matters recorded in Accrued expenses on our Balance Sheet. See Note 7 to the Financial Statements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35"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following discussion contains references to fiscal years 2023 and 2022, which represent fiscal years ending or ended on February 3, 2024 and January 28, 2023, respectively. Fiscal 2023 has a 53-week accounting period and fiscal 2022 had a 52-week accounting period. This discussion and analysis should be read with the unaudited condensed consolidated financial statements and the notes thereto contained in Part 1, Item 1 of this Report.</w:t>
      </w:r>
    </w:p>
    <w:p>
      <w:pPr>
        <w:sectPr>
          <w:pgSz w:w="11900" w:h="16838" w:orient="portrait"/>
          <w:cols w:equalWidth="0" w:num="1">
            <w:col w:w="9900"/>
          </w:cols>
          <w:pgMar w:left="980" w:top="512"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5"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and the current economic uncertainty.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month of operation at the earliest or until its 24</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month at the latest. As an example, stores opened in fiscal 2022 and fiscal 2023 are not considered comparable stores in fiscal 2023.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October 28, 2023 and October 29, 2022</w:t>
      </w:r>
    </w:p>
    <w:p>
      <w:pPr>
        <w:spacing w:after="0" w:line="23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$12.8 million, or 6.7%, to $179.5 million in the third quarter of 2023 from $192.3 million in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2022. The decrease in sales was due to a 6.2% decrease in comparable store sales and a decrease of $1.3 million from net store opening and closing activity. The decrease in comparable store sales was the result of continued inflationary pressures in the third quarter of 2023 that are particularly impactful to our core customers.</w:t>
      </w:r>
    </w:p>
    <w:p>
      <w:pPr>
        <w:spacing w:after="0" w:line="17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$4.8 million, or 4.1%, to $110.9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2023 from $115.7 million in the third quarter of 2022. Cost of sales as a percentage of sales increased to 61.8% from</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60.2%. The increase was driven primarily by higher freight costs due to rebuilding inventory in certain categories, as well as an increase in shrinkage costs.</w:t>
      </w:r>
    </w:p>
    <w:p>
      <w:pPr>
        <w:spacing w:after="0" w:line="18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$0.6 million, or 0.8%, to $69.7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third quarter of 2023 from $69.1 million in the third quarter of 2022. The increase was primarily due to: (1) higher incentive compensation this year due to the reversal last year of certain performance-based awards that were deemed improbable of vesting; and</w:t>
      </w:r>
    </w:p>
    <w:p>
      <w:pPr>
        <w:spacing w:after="0" w:line="1" w:lineRule="exact"/>
        <w:rPr>
          <w:sz w:val="20"/>
          <w:szCs w:val="20"/>
          <w:color w:val="auto"/>
        </w:rPr>
      </w:pPr>
    </w:p>
    <w:p>
      <w:pPr>
        <w:ind w:right="80" w:firstLine="8"/>
        <w:spacing w:after="0" w:line="278"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higher occupancy expenses, including higher rent expense related to the sale-leasebacks of our distribution centers. These increases were partially offset by a $1.2 million gain on insurance this year and lower insurance costs resulting from lower claims for medical and workers’ compensation. As a percentage of sales, Selling, general and administrative expenses increased to 38.8% in the third quarter of 2023 from 35.9% in the third quarter of 2022, due to the deleveraging effect of lower sales.</w:t>
      </w:r>
    </w:p>
    <w:p>
      <w:pPr>
        <w:spacing w:after="0" w:line="175"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$0.4 million, or 6.4%, to $4.7 million in the third quarter of 2023 from $5.1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2022.</w:t>
      </w:r>
    </w:p>
    <w:p>
      <w:pPr>
        <w:spacing w:after="0" w:line="142"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i w:val="1"/>
          <w:iCs w:val="1"/>
          <w:color w:val="auto"/>
        </w:rPr>
        <w:t xml:space="preserve">Gain on sale-leaseback. </w:t>
      </w:r>
      <w:r>
        <w:rPr>
          <w:rFonts w:ascii="Arial" w:cs="Arial" w:eastAsia="Arial" w:hAnsi="Arial"/>
          <w:sz w:val="16"/>
          <w:szCs w:val="16"/>
          <w:color w:val="auto"/>
        </w:rPr>
        <w:t>In the third quarter of 2022, we completed a sale-leaseback transaction for our distribution center in Roland,</w:t>
      </w:r>
      <w:r>
        <w:rPr>
          <w:rFonts w:ascii="Arial" w:cs="Arial" w:eastAsia="Arial" w:hAnsi="Arial"/>
          <w:sz w:val="16"/>
          <w:szCs w:val="16"/>
          <w:i w:val="1"/>
          <w:iCs w:val="1"/>
          <w:color w:val="auto"/>
        </w:rPr>
        <w:t xml:space="preserve"> </w:t>
      </w:r>
      <w:r>
        <w:rPr>
          <w:rFonts w:ascii="Arial" w:cs="Arial" w:eastAsia="Arial" w:hAnsi="Arial"/>
          <w:sz w:val="16"/>
          <w:szCs w:val="16"/>
          <w:color w:val="auto"/>
        </w:rPr>
        <w:t>Oklahoma that resulted in a $29.2 million gain.</w:t>
      </w:r>
    </w:p>
    <w:p>
      <w:pPr>
        <w:spacing w:after="0" w:line="15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Income tax benefit was $1.3 million in the third quarter of 2023 compared to income tax expense of $7.1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2022. The difference is attributable to a pretax loss in the third quarter of this year compared to pretax income in the third quarter of last year that included the gain on sale-leaseback. For the third quarter of 2023, we used the discrete effective tax rate method to determine income tax expense based upon interim period results.</w:t>
      </w:r>
    </w:p>
    <w:p>
      <w:pPr>
        <w:spacing w:after="0" w:line="167"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was $3.9 million in the third quarter of 2023 compared to net income of $24.6 million in the third quarter of 2022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factors discussed above.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2" w:right="10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Thirty-Nine Weeks Ended October 28, 2023 and October 29, 2022</w:t>
      </w:r>
    </w:p>
    <w:p>
      <w:pPr>
        <w:spacing w:after="0" w:line="23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$52.8 million, or 9.0%, to $532.8 million in the first thirty-nine weeks of 2023 from $585.6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2022. The decrease in sales was due to an 8.7% decrease in comparable store sales and a $3.2 million decrease from net store opening and closing activity. The decrease in comparable store sales was the result of continued inflationary pressures in the first thirty-nine weeks of 2023 that are particularly impactful to our core customers.</w:t>
      </w:r>
    </w:p>
    <w:p>
      <w:pPr>
        <w:spacing w:after="0" w:line="185"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$25.5 million, or 7.1%, to $331.8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thirty-nine weeks of 2023 from $357.3 million in the same period of 2022. Cost of sales as a percentage of sales increased to 62.3% in the first thirty-nine weeks of 2023 from 61.0% in the same period of 2022. The increase was driven primarily by higher freight costs due to rebuilding inventory in certain categories, as well as an increase in shrinkage costs.</w:t>
      </w:r>
    </w:p>
    <w:p>
      <w:pPr>
        <w:spacing w:after="0" w:line="17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$1.4 million, or 0.7%, to $210.0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thirty-nine weeks of 2023 from $208.6 million in the same period of 2022. The increase was primarily due to (1) higher rent expense this year related to the sale-leasebacks of our distribution centers; (2) higher incentive compensation this year due to zero bonus incentive accrued last year and the reversal last year of certain performance-based awards that were deemed improbable of vesting; and (3) an increase in other occupancy costs. These increases were partially offset by lower insurance costs resulting from lower claims for medical and workers’ compensation, lower professional fees and lower payroll expenses. As a percentage of sales, Selling, general and administrative expenses increased to 39.4% in the first thirty-nine weeks of 2023 from 35.6% in the first thirty-nine weeks of 2022, due to the deleveraging effect of lower sales.</w:t>
      </w:r>
    </w:p>
    <w:p>
      <w:pPr>
        <w:spacing w:after="0" w:line="178"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$1.7 million, or 10.5%, to $14.1 million in the first thirty-nine weeks of 2023 from $15.8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same period last year.</w:t>
      </w:r>
    </w:p>
    <w:p>
      <w:pPr>
        <w:spacing w:after="0" w:line="168"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i w:val="1"/>
          <w:iCs w:val="1"/>
          <w:color w:val="auto"/>
        </w:rPr>
        <w:t xml:space="preserve">Gain on sale-leaseback. </w:t>
      </w:r>
      <w:r>
        <w:rPr>
          <w:rFonts w:ascii="Arial" w:cs="Arial" w:eastAsia="Arial" w:hAnsi="Arial"/>
          <w:sz w:val="16"/>
          <w:szCs w:val="16"/>
          <w:color w:val="auto"/>
        </w:rPr>
        <w:t>In the first quarter of 2022, we completed a sale-leaseback transaction for our distribution center in Darlington,</w:t>
      </w:r>
      <w:r>
        <w:rPr>
          <w:rFonts w:ascii="Arial" w:cs="Arial" w:eastAsia="Arial" w:hAnsi="Arial"/>
          <w:sz w:val="16"/>
          <w:szCs w:val="16"/>
          <w:i w:val="1"/>
          <w:iCs w:val="1"/>
          <w:color w:val="auto"/>
        </w:rPr>
        <w:t xml:space="preserve"> </w:t>
      </w:r>
      <w:r>
        <w:rPr>
          <w:rFonts w:ascii="Arial" w:cs="Arial" w:eastAsia="Arial" w:hAnsi="Arial"/>
          <w:sz w:val="16"/>
          <w:szCs w:val="16"/>
          <w:color w:val="auto"/>
        </w:rPr>
        <w:t>South Carolina that resulted in a $34.9 million gain. In the third quarter of 2022, we completed a sale-leaseback transaction for our distribution center in Roland, Oklahoma that resulted in a $29.2 million gain.</w:t>
      </w:r>
    </w:p>
    <w:p>
      <w:pPr>
        <w:spacing w:after="0" w:line="17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Income tax benefit was $5.3 million in the first thirty-nine weeks of 2023 compared to income tax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$15.6 million in the first thirty-nine weeks of 2022. The difference is attributable to a pretax loss this year compared to pretax income last year that included the gain on sale-leasebacks. For the first thirty-nine weeks of 2023, we used the discrete effective tax rate method to determine income tax expense based upon interim period results.</w:t>
      </w:r>
    </w:p>
    <w:p>
      <w:pPr>
        <w:spacing w:after="0" w:line="185"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i w:val="1"/>
          <w:iCs w:val="1"/>
          <w:color w:val="auto"/>
        </w:rPr>
        <w:t xml:space="preserve">Net (Loss) Income. </w:t>
      </w:r>
      <w:r>
        <w:rPr>
          <w:rFonts w:ascii="Arial" w:cs="Arial" w:eastAsia="Arial" w:hAnsi="Arial"/>
          <w:sz w:val="16"/>
          <w:szCs w:val="16"/>
          <w:color w:val="auto"/>
        </w:rPr>
        <w:t>Net loss was $15.5 million in the first thirty-nine weeks of 2023 compared to net income of $52.3 million in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2022 due to the factors discussed above.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capital allocation strategy is to maintain adequate liquidity to prioritize investments in opportunities to profitably grow our business and maintain current operations, then to return excess cash to shareholders through our repurchase programs. Our quarter-end cash and cash equivalents balance was $59.7 million compared to cash and cash equivalents of $77.8 million at the end of the third quarter last year.</w:t>
      </w:r>
    </w:p>
    <w:p>
      <w:pPr>
        <w:spacing w:after="0"/>
        <w:rPr>
          <w:sz w:val="20"/>
          <w:szCs w:val="20"/>
          <w:color w:val="auto"/>
        </w:rPr>
      </w:pPr>
      <w:r>
        <w:rPr>
          <w:rFonts w:ascii="Arial" w:cs="Arial" w:eastAsia="Arial" w:hAnsi="Arial"/>
          <w:sz w:val="16"/>
          <w:szCs w:val="16"/>
          <w:color w:val="auto"/>
        </w:rPr>
        <w:t>Until required for other purposes, we maintain cash and cash equivalents in deposit or money market accounts.</w:t>
      </w:r>
    </w:p>
    <w:p>
      <w:pPr>
        <w:spacing w:after="0" w:line="23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15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quarter-end inventory balance was $129.7 million, compared with $128.5 million at the end of the third quarter last year. The increase was primarily due to a strategic increase in our average in-store inventory, partially offset by a planned reduction in our packaway inventory.</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15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Capital expenditures in the first thirty-nine weeks of 2023 were $11.6 million, a decrease of $7.6 million over the first thirty-nine weeks of 2022, as we pared back our investments in new stores and remodels. We anticipate capital expenditures in fiscal 2023 in the range of $17 to $20 million, primarily for opening new stores and remodeling existing stores, combined with ongoing investments in our systems.</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23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did not repurchase any shares of our common stock in the first thirty-nine weeks of 2023. During the first thirty-nine weeks of 2022, we returned $10.0 million to shareholders through share repurchases. See Part II of this Report and Note 8 to the Financial Statements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246"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We have a revolving credit facility that matures in April 2026 and provides a $75 million credit commitment and a $25 million uncommitted “accordion” feature. Additional details of the credit facility are in Note 4 to the Financial Statements. At the end of the third quarter of 2023, we had no borrowings under the credit facility and $0.6 million in letters of credit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used in operating activities was $32.9 million in the first thirty-nine weeks of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$23.1 million in the same period of 2022. Sources of cash this year included net loss adjusted for non-cash expenses totaling $36.0 million (compared to net income adjusted for non-cash items of $48.5 million in the first thirty-nine weeks of 2022).</w:t>
      </w:r>
    </w:p>
    <w:p>
      <w:pPr>
        <w:spacing w:after="0" w:line="165" w:lineRule="exact"/>
        <w:rPr>
          <w:sz w:val="20"/>
          <w:szCs w:val="20"/>
          <w:color w:val="auto"/>
        </w:rPr>
      </w:pPr>
    </w:p>
    <w:p>
      <w:pPr>
        <w:ind w:right="380"/>
        <w:spacing w:after="0" w:line="283" w:lineRule="auto"/>
        <w:rPr>
          <w:sz w:val="20"/>
          <w:szCs w:val="20"/>
          <w:color w:val="auto"/>
        </w:rPr>
      </w:pPr>
      <w:r>
        <w:rPr>
          <w:rFonts w:ascii="Arial" w:cs="Arial" w:eastAsia="Arial" w:hAnsi="Arial"/>
          <w:sz w:val="16"/>
          <w:szCs w:val="16"/>
          <w:color w:val="auto"/>
        </w:rPr>
        <w:t>Significant uses of cash from operating activities in the first thirty-nine weeks of 2023 included (1) a $45.5 million decrease in accrued expenses and other long-term liabilities (compared to a $44.6 million decrease in the first thirty-nine weeks of 2022) due primarily to payments of operating lease liabilities; and (2) a $23.9 million increase in inventory (compared to a $5.9 million increase in the same period last year).</w:t>
      </w:r>
    </w:p>
    <w:p>
      <w:pPr>
        <w:spacing w:after="0" w:line="18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was $10.1 million in the first thirty-nine weeks of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of $63.3 million in the same period last year. Cash used in the first thirty-nine weeks of 2023 consisted of purchases of property and equipment of $11.6 million and insurance proceeds of $1.5 million. Cash provided by investing activities in the first thirty-nine weeks of 2022 consisted of $81.1 million net proceeds from the sale-leaseback transaction and insurance proceeds of $1.4 million, partially offset by $19.2 million for purchases of property and equipment.</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$0.9 million in the first thirty-nine weeks of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$12.2 million in the same period last year. Cash used in the first thirty-nine weeks of 2023 consisted of payments to settle withholding taxes on restricted stock that vested. Cash used in the first thirty-nine weeks of 2022 consisted of $10.0 million of repurchases of our common stock and payments of $2.2 million to </w:t>
      </w:r>
      <w:r>
        <w:rPr>
          <w:rFonts w:ascii="Times New Roman" w:cs="Times New Roman" w:eastAsia="Times New Roman" w:hAnsi="Times New Roman"/>
          <w:sz w:val="16"/>
          <w:szCs w:val="16"/>
          <w:color w:val="auto"/>
        </w:rPr>
        <w:t>settle withholding taxes on restricted stock that vested</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35" w:lineRule="exact"/>
        <w:rPr>
          <w:sz w:val="20"/>
          <w:szCs w:val="20"/>
          <w:color w:val="auto"/>
        </w:rPr>
      </w:pPr>
    </w:p>
    <w:p>
      <w:pPr>
        <w:ind w:right="520"/>
        <w:spacing w:after="0" w:line="279" w:lineRule="auto"/>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October 28, 2023, our contractual commitments for operating leases totaled $243.4 million (with $46.5 million due within 12 months). See Note 10 to the Financial Statements for more information regarding lease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48"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There have been no material changes to the Critical Accounting Policies outlined in our Annual Report on Form 10-K for the fiscal year ended January 28, 2023.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35" w:lineRule="exact"/>
        <w:rPr>
          <w:sz w:val="20"/>
          <w:szCs w:val="20"/>
          <w:color w:val="auto"/>
        </w:rPr>
      </w:pPr>
    </w:p>
    <w:p>
      <w:pPr>
        <w:spacing w:after="0" w:line="343" w:lineRule="auto"/>
        <w:rPr>
          <w:sz w:val="20"/>
          <w:szCs w:val="20"/>
          <w:color w:val="auto"/>
        </w:rPr>
      </w:pPr>
      <w:r>
        <w:rPr>
          <w:rFonts w:ascii="Arial" w:cs="Arial" w:eastAsia="Arial" w:hAnsi="Arial"/>
          <w:sz w:val="16"/>
          <w:szCs w:val="16"/>
          <w:color w:val="auto"/>
        </w:rPr>
        <w:t>There have been no material changes in our market risk during the thirty-nine weeks ended October 28, 2023 compared to the disclosures in Part II, Item 7A of our Annual Report on Form 10-K for the fiscal year ended January 28, 2023</w:t>
      </w:r>
      <w:r>
        <w:rPr>
          <w:rFonts w:ascii="Arial" w:cs="Arial" w:eastAsia="Arial" w:hAnsi="Arial"/>
          <w:sz w:val="17"/>
          <w:szCs w:val="17"/>
          <w:color w:val="auto"/>
        </w:rPr>
        <w:t>.</w:t>
      </w:r>
    </w:p>
    <w:p>
      <w:pPr>
        <w:sectPr>
          <w:pgSz w:w="11900" w:h="16838" w:orient="portrait"/>
          <w:cols w:equalWidth="0" w:num="1">
            <w:col w:w="9920"/>
          </w:cols>
          <w:pgMar w:left="980" w:top="512" w:right="99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October 28, 2023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78"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65"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During the third quarter of fiscal 2023, we implemented our new enterprise resource planning (“ERP”) system to enhance our business and financial processes. We have taken steps to monitor and maintain appropriate internal control over financial reporting during the implementation. There were no changes in our internal control over financial reporting that occurred during the fiscal quarter ended October 28,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512" w:right="10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See Note 7 to the Financial Statements for information regarding legal matters.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5"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Other than as set forth below, there have been no material changes to the Risk Factors described under the section “ITEM 1A. RISK FACTORS” in our Annual Report on Form 10-K for the fiscal year ended January 28, 2023.</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charges relating to our assets could adversely affect our financial performance.</w:t>
      </w:r>
    </w:p>
    <w:p>
      <w:pPr>
        <w:spacing w:after="0" w:line="23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We periodically review and test the carrying value of our assets for impairment indicators. This primarily focuses on store assets and right of use assets. These assets are reviewed using factors including, but not limited to, our future operating plans and projected future cash flows. In the event that we determine we have an impairment charge, our financial condition and operating results could be materially adversely affected. For additional information, see Note 7 to the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Use of Proceeds and Issuer Purchases of Equity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3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Company did not repurchase any shares in the third quarter of 2023. At October 28, 2023, $50.0 million remained available under the Company’s stock repurchase authorization.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2" w:right="10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w:t>
            </w:r>
          </w:p>
        </w:tc>
        <w:tc>
          <w:tcPr>
            <w:tcW w:w="8960" w:type="dxa"/>
            <w:vAlign w:val="bottom"/>
            <w:gridSpan w:val="11"/>
          </w:tcPr>
          <w:p>
            <w:pPr>
              <w:spacing w:after="0"/>
              <w:rPr>
                <w:rFonts w:ascii="Arial" w:cs="Arial" w:eastAsia="Arial" w:hAnsi="Arial"/>
                <w:sz w:val="16"/>
                <w:szCs w:val="16"/>
                <w:color w:val="0000EE"/>
              </w:rPr>
            </w:pPr>
            <w:hyperlink r:id="rId29">
              <w:r>
                <w:rPr>
                  <w:rFonts w:ascii="Arial" w:cs="Arial" w:eastAsia="Arial" w:hAnsi="Arial"/>
                  <w:sz w:val="16"/>
                  <w:szCs w:val="16"/>
                  <w:color w:val="0000EE"/>
                </w:rPr>
                <w:t>Third Amended and Restated Certificate of Incorporation (incorporated by reference to Exhibit 3.1 to the Company’s Current</w:t>
              </w:r>
            </w:hyperlink>
          </w:p>
        </w:tc>
      </w:tr>
      <w:tr>
        <w:trPr>
          <w:trHeight w:val="209"/>
        </w:trPr>
        <w:tc>
          <w:tcPr>
            <w:tcW w:w="920" w:type="dxa"/>
            <w:vAlign w:val="bottom"/>
          </w:tcPr>
          <w:p>
            <w:pPr>
              <w:spacing w:after="0"/>
              <w:rPr>
                <w:sz w:val="18"/>
                <w:szCs w:val="18"/>
                <w:color w:val="auto"/>
              </w:rPr>
            </w:pPr>
          </w:p>
        </w:tc>
        <w:tc>
          <w:tcPr>
            <w:tcW w:w="8860" w:type="dxa"/>
            <w:vAlign w:val="bottom"/>
            <w:tcBorders>
              <w:top w:val="single" w:sz="8" w:color="0000EE"/>
            </w:tcBorders>
            <w:gridSpan w:val="9"/>
          </w:tcPr>
          <w:p>
            <w:pPr>
              <w:spacing w:after="0"/>
              <w:rPr>
                <w:rFonts w:ascii="Arial" w:cs="Arial" w:eastAsia="Arial" w:hAnsi="Arial"/>
                <w:sz w:val="16"/>
                <w:szCs w:val="16"/>
                <w:color w:val="0000EE"/>
              </w:rPr>
            </w:pPr>
            <w:hyperlink r:id="rId29">
              <w:r>
                <w:rPr>
                  <w:rFonts w:ascii="Arial" w:cs="Arial" w:eastAsia="Arial" w:hAnsi="Arial"/>
                  <w:sz w:val="16"/>
                  <w:szCs w:val="16"/>
                  <w:color w:val="0000EE"/>
                </w:rPr>
                <w:t>Report on Form 8-K filed with the SEC on June 7, 2018)</w:t>
              </w:r>
              <w:r>
                <w:rPr>
                  <w:rFonts w:ascii="Arial" w:cs="Arial" w:eastAsia="Arial" w:hAnsi="Arial"/>
                  <w:sz w:val="16"/>
                  <w:szCs w:val="16"/>
                  <w:color w:val="000000"/>
                </w:rPr>
                <w:t>.</w:t>
              </w:r>
            </w:hyperlink>
          </w:p>
        </w:tc>
        <w:tc>
          <w:tcPr>
            <w:tcW w:w="100" w:type="dxa"/>
            <w:vAlign w:val="bottom"/>
            <w:gridSpan w:val="2"/>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3.2</w:t>
            </w:r>
          </w:p>
        </w:tc>
        <w:tc>
          <w:tcPr>
            <w:tcW w:w="8960" w:type="dxa"/>
            <w:vAlign w:val="bottom"/>
            <w:gridSpan w:val="11"/>
          </w:tcPr>
          <w:p>
            <w:pPr>
              <w:spacing w:after="0"/>
              <w:rPr>
                <w:rFonts w:ascii="Arial" w:cs="Arial" w:eastAsia="Arial" w:hAnsi="Arial"/>
                <w:sz w:val="16"/>
                <w:szCs w:val="16"/>
                <w:color w:val="0000EE"/>
              </w:rPr>
            </w:pPr>
            <w:hyperlink r:id="rId30">
              <w:r>
                <w:rPr>
                  <w:rFonts w:ascii="Arial" w:cs="Arial" w:eastAsia="Arial" w:hAnsi="Arial"/>
                  <w:sz w:val="16"/>
                  <w:szCs w:val="16"/>
                  <w:color w:val="0000EE"/>
                </w:rPr>
                <w:t>Certificate of Change of Registered Agent and/or Registered Office (incorporated by reference to Exhibit 3.1 to the</w:t>
              </w:r>
            </w:hyperlink>
          </w:p>
        </w:tc>
      </w:tr>
      <w:tr>
        <w:trPr>
          <w:trHeight w:val="209"/>
        </w:trPr>
        <w:tc>
          <w:tcPr>
            <w:tcW w:w="920" w:type="dxa"/>
            <w:vAlign w:val="bottom"/>
          </w:tcPr>
          <w:p>
            <w:pPr>
              <w:spacing w:after="0"/>
              <w:rPr>
                <w:sz w:val="18"/>
                <w:szCs w:val="18"/>
                <w:color w:val="auto"/>
              </w:rPr>
            </w:pPr>
          </w:p>
        </w:tc>
        <w:tc>
          <w:tcPr>
            <w:tcW w:w="8160" w:type="dxa"/>
            <w:vAlign w:val="bottom"/>
            <w:tcBorders>
              <w:top w:val="single" w:sz="8" w:color="0000EE"/>
            </w:tcBorders>
            <w:gridSpan w:val="6"/>
          </w:tcPr>
          <w:p>
            <w:pPr>
              <w:spacing w:after="0"/>
              <w:rPr>
                <w:rFonts w:ascii="Arial" w:cs="Arial" w:eastAsia="Arial" w:hAnsi="Arial"/>
                <w:sz w:val="16"/>
                <w:szCs w:val="16"/>
                <w:color w:val="0000EE"/>
              </w:rPr>
            </w:pPr>
            <w:hyperlink r:id="rId30">
              <w:r>
                <w:rPr>
                  <w:rFonts w:ascii="Arial" w:cs="Arial" w:eastAsia="Arial" w:hAnsi="Arial"/>
                  <w:sz w:val="16"/>
                  <w:szCs w:val="16"/>
                  <w:color w:val="0000EE"/>
                </w:rPr>
                <w:t>Company’s Current Report on Form 8-K filed with the SEC on October 31, 2022).</w:t>
              </w:r>
            </w:hyperlink>
          </w:p>
        </w:tc>
        <w:tc>
          <w:tcPr>
            <w:tcW w:w="800" w:type="dxa"/>
            <w:vAlign w:val="bottom"/>
            <w:gridSpan w:val="5"/>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3.3</w:t>
            </w:r>
          </w:p>
        </w:tc>
        <w:tc>
          <w:tcPr>
            <w:tcW w:w="8960" w:type="dxa"/>
            <w:vAlign w:val="bottom"/>
            <w:tcBorders>
              <w:bottom w:val="single" w:sz="8" w:color="0000EE"/>
            </w:tcBorders>
            <w:gridSpan w:val="11"/>
          </w:tcPr>
          <w:p>
            <w:pPr>
              <w:spacing w:after="0"/>
              <w:rPr>
                <w:rFonts w:ascii="Arial" w:cs="Arial" w:eastAsia="Arial" w:hAnsi="Arial"/>
                <w:sz w:val="16"/>
                <w:szCs w:val="16"/>
                <w:color w:val="0000EE"/>
              </w:rPr>
            </w:pPr>
            <w:hyperlink r:id="rId31">
              <w:r>
                <w:rPr>
                  <w:rFonts w:ascii="Arial" w:cs="Arial" w:eastAsia="Arial" w:hAnsi="Arial"/>
                  <w:sz w:val="16"/>
                  <w:szCs w:val="16"/>
                  <w:color w:val="0000EE"/>
                </w:rPr>
                <w:t>Fourth Amended and Restated Bylaws (incorporated by reference to Exhibit 3.2 to the Company’s Current Report on Form 8-</w:t>
              </w:r>
            </w:hyperlink>
          </w:p>
        </w:tc>
      </w:tr>
      <w:tr>
        <w:trPr>
          <w:trHeight w:val="210"/>
        </w:trPr>
        <w:tc>
          <w:tcPr>
            <w:tcW w:w="920" w:type="dxa"/>
            <w:vAlign w:val="bottom"/>
          </w:tcPr>
          <w:p>
            <w:pPr>
              <w:spacing w:after="0"/>
              <w:rPr>
                <w:sz w:val="18"/>
                <w:szCs w:val="18"/>
                <w:color w:val="auto"/>
              </w:rPr>
            </w:pPr>
          </w:p>
        </w:tc>
        <w:tc>
          <w:tcPr>
            <w:tcW w:w="8960" w:type="dxa"/>
            <w:vAlign w:val="bottom"/>
            <w:gridSpan w:val="11"/>
          </w:tcPr>
          <w:p>
            <w:pPr>
              <w:spacing w:after="0"/>
              <w:rPr>
                <w:rFonts w:ascii="Arial" w:cs="Arial" w:eastAsia="Arial" w:hAnsi="Arial"/>
                <w:sz w:val="16"/>
                <w:szCs w:val="16"/>
                <w:color w:val="0000EE"/>
              </w:rPr>
            </w:pPr>
            <w:hyperlink r:id="rId31">
              <w:r>
                <w:rPr>
                  <w:rFonts w:ascii="Arial" w:cs="Arial" w:eastAsia="Arial" w:hAnsi="Arial"/>
                  <w:sz w:val="16"/>
                  <w:szCs w:val="16"/>
                  <w:color w:val="0000EE"/>
                </w:rPr>
                <w:t>K filed with the SEC on October 31, 2022).</w:t>
              </w:r>
            </w:hyperlink>
          </w:p>
        </w:tc>
      </w:tr>
      <w:tr>
        <w:trPr>
          <w:trHeight w:val="20"/>
        </w:trPr>
        <w:tc>
          <w:tcPr>
            <w:tcW w:w="9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8960" w:type="dxa"/>
            <w:vAlign w:val="bottom"/>
            <w:gridSpan w:val="11"/>
          </w:tcPr>
          <w:p>
            <w:pPr>
              <w:spacing w:after="0"/>
              <w:rPr>
                <w:sz w:val="20"/>
                <w:szCs w:val="20"/>
                <w:color w:val="auto"/>
              </w:rPr>
            </w:pPr>
            <w:r>
              <w:rPr>
                <w:rFonts w:ascii="Arial" w:cs="Arial" w:eastAsia="Arial" w:hAnsi="Arial"/>
                <w:sz w:val="16"/>
                <w:szCs w:val="16"/>
                <w:color w:val="0000EE"/>
              </w:rPr>
              <w:t>Certification of Principal Executive Officer, Pursuant to Rule 13a-14(a) of the Securities Exchange Act of 1934, Adopted</w:t>
            </w:r>
          </w:p>
        </w:tc>
      </w:tr>
      <w:tr>
        <w:trPr>
          <w:trHeight w:val="210"/>
        </w:trPr>
        <w:tc>
          <w:tcPr>
            <w:tcW w:w="920" w:type="dxa"/>
            <w:vAlign w:val="bottom"/>
          </w:tcPr>
          <w:p>
            <w:pPr>
              <w:spacing w:after="0"/>
              <w:rPr>
                <w:sz w:val="18"/>
                <w:szCs w:val="18"/>
                <w:color w:val="auto"/>
              </w:rPr>
            </w:pPr>
          </w:p>
        </w:tc>
        <w:tc>
          <w:tcPr>
            <w:tcW w:w="8520" w:type="dxa"/>
            <w:vAlign w:val="bottom"/>
            <w:tcBorders>
              <w:top w:val="single" w:sz="8" w:color="0000EE"/>
            </w:tcBorders>
            <w:gridSpan w:val="8"/>
          </w:tcPr>
          <w:p>
            <w:pPr>
              <w:spacing w:after="0"/>
              <w:rPr>
                <w:sz w:val="20"/>
                <w:szCs w:val="20"/>
                <w:color w:val="auto"/>
              </w:rPr>
            </w:pPr>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p>
        </w:tc>
        <w:tc>
          <w:tcPr>
            <w:tcW w:w="440" w:type="dxa"/>
            <w:vAlign w:val="bottom"/>
            <w:gridSpan w:val="3"/>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848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Certification of Principal Financial Officer, Pursuant to Rule 13a-14(a) of the Securities Exchange Act of 1934, Adopted</w:t>
            </w:r>
          </w:p>
        </w:tc>
        <w:tc>
          <w:tcPr>
            <w:tcW w:w="480" w:type="dxa"/>
            <w:vAlign w:val="bottom"/>
            <w:gridSpan w:val="4"/>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8960" w:type="dxa"/>
            <w:vAlign w:val="bottom"/>
            <w:gridSpan w:val="11"/>
          </w:tcPr>
          <w:p>
            <w:pPr>
              <w:spacing w:after="0"/>
              <w:rPr>
                <w:sz w:val="20"/>
                <w:szCs w:val="20"/>
                <w:color w:val="auto"/>
              </w:rPr>
            </w:pPr>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p>
        </w:tc>
      </w:tr>
      <w:tr>
        <w:trPr>
          <w:trHeight w:val="20"/>
        </w:trPr>
        <w:tc>
          <w:tcPr>
            <w:tcW w:w="92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8960" w:type="dxa"/>
            <w:vAlign w:val="bottom"/>
            <w:gridSpan w:val="11"/>
          </w:tcPr>
          <w:p>
            <w:pPr>
              <w:spacing w:after="0"/>
              <w:rPr>
                <w:sz w:val="20"/>
                <w:szCs w:val="20"/>
                <w:color w:val="auto"/>
              </w:rPr>
            </w:pPr>
            <w:r>
              <w:rPr>
                <w:rFonts w:ascii="Arial" w:cs="Arial" w:eastAsia="Arial" w:hAnsi="Arial"/>
                <w:sz w:val="16"/>
                <w:szCs w:val="16"/>
                <w:color w:val="0000EE"/>
              </w:rPr>
              <w:t>Certifications Pursuant to 18 U.S.C. Section 1350, as adopted pursuant to Section 906 of the Sarbanes-Oxley Act of 2002.+†</w:t>
            </w:r>
          </w:p>
        </w:tc>
      </w:tr>
      <w:tr>
        <w:trPr>
          <w:trHeight w:val="20"/>
        </w:trPr>
        <w:tc>
          <w:tcPr>
            <w:tcW w:w="9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ind w:left="920" w:right="240" w:hanging="911"/>
        <w:spacing w:after="0" w:line="339"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277" w:lineRule="exact"/>
        <w:rPr>
          <w:sz w:val="20"/>
          <w:szCs w:val="20"/>
          <w:color w:val="auto"/>
        </w:rPr>
      </w:pPr>
    </w:p>
    <w:p>
      <w:pPr>
        <w:ind w:left="920" w:right="320" w:hanging="911"/>
        <w:spacing w:after="0" w:line="339" w:lineRule="auto"/>
        <w:tabs>
          <w:tab w:leader="none" w:pos="9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63" w:lineRule="exact"/>
        <w:rPr>
          <w:rFonts w:ascii="Arial" w:cs="Arial" w:eastAsia="Arial" w:hAnsi="Arial"/>
          <w:sz w:val="16"/>
          <w:szCs w:val="16"/>
          <w:color w:val="auto"/>
        </w:rPr>
      </w:pPr>
    </w:p>
    <w:p>
      <w:pPr>
        <w:ind w:left="380" w:hanging="372"/>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-227330</wp:posOffset>
            </wp:positionV>
            <wp:extent cx="1568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15"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Indicates management contract for compensatory plan or arrangement.</w:t>
      </w:r>
    </w:p>
    <w:p>
      <w:pPr>
        <w:spacing w:after="0" w:line="235"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w:t>
      </w:r>
    </w:p>
    <w:p>
      <w:pPr>
        <w:spacing w:after="0" w:line="21"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6"/>
          <w:szCs w:val="16"/>
          <w:color w:val="auto"/>
        </w:rPr>
        <w:t>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2" w:right="10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CITI TRENDS, INC.</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 December 6, 2023</w:t>
      </w:r>
    </w:p>
    <w:p>
      <w:pPr>
        <w:spacing w:after="0" w:line="356" w:lineRule="exact"/>
        <w:rPr>
          <w:sz w:val="20"/>
          <w:szCs w:val="20"/>
          <w:color w:val="auto"/>
        </w:rPr>
      </w:pPr>
    </w:p>
    <w:tbl>
      <w:tblPr>
        <w:tblLayout w:type="fixed"/>
        <w:tblInd w:w="4980" w:type="dxa"/>
        <w:tblCellMar>
          <w:top w:w="0" w:type="dxa"/>
          <w:left w:w="0" w:type="dxa"/>
          <w:bottom w:w="0" w:type="dxa"/>
          <w:right w:w="0" w:type="dxa"/>
        </w:tblCellMar>
      </w:tblPr>
      <w:tr>
        <w:trPr>
          <w:trHeight w:val="215"/>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spacing w:after="0"/>
              <w:rPr>
                <w:sz w:val="20"/>
                <w:szCs w:val="20"/>
                <w:color w:val="auto"/>
              </w:rPr>
            </w:pPr>
            <w:r>
              <w:rPr>
                <w:rFonts w:ascii="Arial" w:cs="Arial" w:eastAsia="Arial" w:hAnsi="Arial"/>
                <w:sz w:val="16"/>
                <w:szCs w:val="16"/>
                <w:color w:val="auto"/>
              </w:rPr>
              <w:t>/s/ Heather Plutino</w:t>
            </w:r>
          </w:p>
        </w:tc>
        <w:tc>
          <w:tcPr>
            <w:tcW w:w="0" w:type="dxa"/>
            <w:vAlign w:val="bottom"/>
          </w:tcPr>
          <w:p>
            <w:pPr>
              <w:spacing w:after="0"/>
              <w:rPr>
                <w:sz w:val="1"/>
                <w:szCs w:val="1"/>
                <w:color w:val="auto"/>
              </w:rPr>
            </w:pPr>
          </w:p>
        </w:tc>
      </w:tr>
      <w:tr>
        <w:trPr>
          <w:trHeight w:val="56"/>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Heather Plutino</w:t>
            </w:r>
          </w:p>
        </w:tc>
        <w:tc>
          <w:tcPr>
            <w:tcW w:w="0" w:type="dxa"/>
            <w:vAlign w:val="bottom"/>
          </w:tcPr>
          <w:p>
            <w:pPr>
              <w:spacing w:after="0"/>
              <w:rPr>
                <w:sz w:val="1"/>
                <w:szCs w:val="1"/>
                <w:color w:val="auto"/>
              </w:rPr>
            </w:pPr>
          </w:p>
        </w:tc>
      </w:tr>
      <w:tr>
        <w:trPr>
          <w:trHeight w:val="269"/>
        </w:trPr>
        <w:tc>
          <w:tcPr>
            <w:tcW w:w="720" w:type="dxa"/>
            <w:vAlign w:val="bottom"/>
          </w:tcPr>
          <w:p>
            <w:pPr>
              <w:spacing w:after="0"/>
              <w:rPr>
                <w:sz w:val="20"/>
                <w:szCs w:val="20"/>
                <w:color w:val="auto"/>
              </w:rPr>
            </w:pPr>
            <w:r>
              <w:rPr>
                <w:rFonts w:ascii="Arial" w:cs="Arial" w:eastAsia="Arial" w:hAnsi="Arial"/>
                <w:sz w:val="16"/>
                <w:szCs w:val="16"/>
                <w:color w:val="auto"/>
              </w:rPr>
              <w:t>Title:</w:t>
            </w:r>
          </w:p>
        </w:tc>
        <w:tc>
          <w:tcPr>
            <w:tcW w:w="42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2" w:right="99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David N. Makuen, certify that:</w:t>
      </w:r>
    </w:p>
    <w:p>
      <w:pPr>
        <w:spacing w:after="0" w:line="20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October 28, 2023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December 6, 2023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/s/ David N. Makuen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Heather Plutino, certify that:</w:t>
      </w:r>
    </w:p>
    <w:p>
      <w:pPr>
        <w:spacing w:after="0" w:line="20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October 28, 2023 of Citi Trends, Inc.;</w:t>
      </w:r>
    </w:p>
    <w:p>
      <w:pPr>
        <w:spacing w:after="0" w:line="194" w:lineRule="exact"/>
        <w:rPr>
          <w:rFonts w:ascii="Arial" w:cs="Arial" w:eastAsia="Arial" w:hAnsi="Arial"/>
          <w:sz w:val="16"/>
          <w:szCs w:val="16"/>
          <w:color w:val="auto"/>
        </w:rPr>
      </w:pPr>
    </w:p>
    <w:p>
      <w:pPr>
        <w:ind w:left="660" w:right="140" w:hanging="652"/>
        <w:spacing w:after="0" w:line="26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660" w:right="460" w:hanging="652"/>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ind w:left="1300" w:right="160" w:hanging="644"/>
        <w:spacing w:after="0" w:line="259"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300" w:right="160" w:hanging="644"/>
        <w:spacing w:after="0" w:line="266"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00" w:right="240" w:hanging="644"/>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300" w:hanging="644"/>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40" w:hanging="652"/>
        <w:spacing w:after="0" w:line="26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jc w:val="both"/>
        <w:ind w:left="1300" w:right="80" w:hanging="644"/>
        <w:spacing w:after="0" w:line="27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300" w:right="380" w:hanging="644"/>
        <w:spacing w:after="0" w:line="304"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December 6, 2023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Plutino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33775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 w:name="page22"/>
    <w:bookmarkEnd w:id="21"/>
    <w:p>
      <w:pPr>
        <w:jc w:val="right"/>
        <w:ind w:right="59"/>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 pursuant to Section 906 of the Sarbanes-Oxley Act of 2002 (18 U.S.C. § 1350, as adopted).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David N. Makuen, Chief Executive Officer of Citi Trends, Inc.,</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Heather Plutino, Chief Financial officer of Citi Trends, Inc., certify that:</w:t>
      </w:r>
    </w:p>
    <w:p>
      <w:pPr>
        <w:spacing w:after="0" w:line="208" w:lineRule="exact"/>
        <w:rPr>
          <w:sz w:val="20"/>
          <w:szCs w:val="20"/>
          <w:color w:val="auto"/>
        </w:rPr>
      </w:pPr>
    </w:p>
    <w:p>
      <w:pPr>
        <w:ind w:left="220" w:hanging="176"/>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reviewed this quarterly report on Form 10-Q of Citi Trends, Inc. for the period ended October 28, 2023;</w:t>
      </w:r>
    </w:p>
    <w:p>
      <w:pPr>
        <w:spacing w:after="0" w:line="194" w:lineRule="exact"/>
        <w:rPr>
          <w:rFonts w:ascii="Arial" w:cs="Arial" w:eastAsia="Arial" w:hAnsi="Arial"/>
          <w:sz w:val="16"/>
          <w:szCs w:val="16"/>
          <w:color w:val="auto"/>
        </w:rPr>
      </w:pPr>
    </w:p>
    <w:p>
      <w:pPr>
        <w:ind w:left="40" w:right="79" w:firstLine="4"/>
        <w:spacing w:after="0" w:line="286" w:lineRule="auto"/>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our knowledge, this quarterly report fully complies with the requirements of Section 13(a) or Section 15(d) of the Securities Exchange Act of 1934, as amended; and</w:t>
      </w:r>
    </w:p>
    <w:p>
      <w:pPr>
        <w:spacing w:after="0" w:line="142" w:lineRule="exact"/>
        <w:rPr>
          <w:rFonts w:ascii="Arial" w:cs="Arial" w:eastAsia="Arial" w:hAnsi="Arial"/>
          <w:sz w:val="16"/>
          <w:szCs w:val="16"/>
          <w:color w:val="auto"/>
        </w:rPr>
      </w:pPr>
    </w:p>
    <w:p>
      <w:pPr>
        <w:jc w:val="both"/>
        <w:ind w:left="40" w:right="139" w:firstLine="4"/>
        <w:spacing w:after="0" w:line="275" w:lineRule="auto"/>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December 6, 2023</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David N. Makuen</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Executive Officer)</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December 6, 2023</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Plutino</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-115570</wp:posOffset>
            </wp:positionV>
            <wp:extent cx="2983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Financial Officer)</w:t>
      </w:r>
    </w:p>
    <w:p>
      <w:pPr>
        <w:spacing w:after="0" w:line="398" w:lineRule="exact"/>
        <w:rPr>
          <w:sz w:val="20"/>
          <w:szCs w:val="20"/>
          <w:color w:val="auto"/>
        </w:rPr>
      </w:pPr>
    </w:p>
    <w:p>
      <w:pPr>
        <w:ind w:left="40" w:right="99"/>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313690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1"/>
      <w:numFmt w:val="decimal"/>
      <w:start w:val="10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29" Type="http://schemas.openxmlformats.org/officeDocument/2006/relationships/hyperlink" Target="http://www.sec.gov/Archives/edgar/data/1318484/000110465918038871/a18-15022_1ex3d1.htm" TargetMode="External"/><Relationship Id="rId30" Type="http://schemas.openxmlformats.org/officeDocument/2006/relationships/hyperlink" Target="https://www.sec.gov/Archives/edgar/data/1318484/000110465922113020/tm2229093d1_ex3-1.htm" TargetMode="External"/><Relationship Id="rId31" Type="http://schemas.openxmlformats.org/officeDocument/2006/relationships/hyperlink" Target="https://www.sec.gov/Archives/edgar/data/1318484/000110465922113020/tm2229093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2023-12-06T14:02:37Z</dcterms:created>
  <dcterms:modified xsi:type="dcterms:W3CDTF">2023-12-06T14:02:37Z</dcterms:modified>
</cp:coreProperties>
</file>