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702945</wp:posOffset>
            </wp:positionV>
            <wp:extent cx="57950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50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763270</wp:posOffset>
            </wp:positionV>
            <wp:extent cx="5795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8" w:lineRule="exact"/>
        <w:rPr>
          <w:sz w:val="24"/>
          <w:szCs w:val="24"/>
          <w:color w:val="auto"/>
        </w:rPr>
      </w:pPr>
    </w:p>
    <w:p>
      <w:pPr>
        <w:ind w:left="600" w:hanging="370"/>
        <w:spacing w:after="0"/>
        <w:tabs>
          <w:tab w:leader="none" w:pos="6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600" w:hanging="370"/>
        <w:spacing w:after="0"/>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Commission File Number 000-41886</w:t>
      </w:r>
    </w:p>
    <w:p>
      <w:pPr>
        <w:spacing w:after="0" w:line="100"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84"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240" w:type="dxa"/>
            <w:vAlign w:val="bottom"/>
          </w:tcPr>
          <w:p>
            <w:pPr>
              <w:jc w:val="center"/>
              <w:ind w:right="399"/>
              <w:spacing w:after="0"/>
              <w:rPr>
                <w:sz w:val="20"/>
                <w:szCs w:val="20"/>
                <w:color w:val="auto"/>
              </w:rPr>
            </w:pPr>
            <w:r>
              <w:rPr>
                <w:rFonts w:ascii="Arial" w:cs="Arial" w:eastAsia="Arial" w:hAnsi="Arial"/>
                <w:sz w:val="16"/>
                <w:szCs w:val="16"/>
                <w:b w:val="1"/>
                <w:bCs w:val="1"/>
                <w:color w:val="auto"/>
              </w:rPr>
              <w:t>Delaware</w:t>
            </w:r>
          </w:p>
        </w:tc>
        <w:tc>
          <w:tcPr>
            <w:tcW w:w="136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3240" w:type="dxa"/>
            <w:vAlign w:val="bottom"/>
          </w:tcPr>
          <w:p>
            <w:pPr>
              <w:jc w:val="center"/>
              <w:ind w:right="399"/>
              <w:spacing w:after="0"/>
              <w:rPr>
                <w:sz w:val="20"/>
                <w:szCs w:val="20"/>
                <w:color w:val="auto"/>
              </w:rPr>
            </w:pPr>
            <w:r>
              <w:rPr>
                <w:rFonts w:ascii="Arial" w:cs="Arial" w:eastAsia="Arial" w:hAnsi="Arial"/>
                <w:sz w:val="16"/>
                <w:szCs w:val="16"/>
                <w:color w:val="auto"/>
              </w:rPr>
              <w:t>(State or other jurisdiction of</w:t>
            </w:r>
          </w:p>
        </w:tc>
        <w:tc>
          <w:tcPr>
            <w:tcW w:w="1360" w:type="dxa"/>
            <w:vAlign w:val="bottom"/>
          </w:tcPr>
          <w:p>
            <w:pPr>
              <w:spacing w:after="0"/>
              <w:rPr>
                <w:sz w:val="16"/>
                <w:szCs w:val="16"/>
                <w:color w:val="auto"/>
              </w:rPr>
            </w:pPr>
          </w:p>
        </w:tc>
        <w:tc>
          <w:tcPr>
            <w:tcW w:w="2060" w:type="dxa"/>
            <w:vAlign w:val="bottom"/>
          </w:tcPr>
          <w:p>
            <w:pPr>
              <w:jc w:val="center"/>
              <w:ind w:left="719"/>
              <w:spacing w:after="0"/>
              <w:rPr>
                <w:sz w:val="20"/>
                <w:szCs w:val="20"/>
                <w:color w:val="auto"/>
              </w:rPr>
            </w:pPr>
            <w:r>
              <w:rPr>
                <w:rFonts w:ascii="Arial" w:cs="Arial" w:eastAsia="Arial" w:hAnsi="Arial"/>
                <w:sz w:val="16"/>
                <w:szCs w:val="16"/>
                <w:color w:val="auto"/>
              </w:rPr>
              <w:t>(I.R.S. Employer</w:t>
            </w:r>
          </w:p>
        </w:tc>
      </w:tr>
      <w:tr>
        <w:trPr>
          <w:trHeight w:val="215"/>
        </w:trPr>
        <w:tc>
          <w:tcPr>
            <w:tcW w:w="3240" w:type="dxa"/>
            <w:vAlign w:val="bottom"/>
          </w:tcPr>
          <w:p>
            <w:pPr>
              <w:jc w:val="center"/>
              <w:ind w:right="399"/>
              <w:spacing w:after="0"/>
              <w:rPr>
                <w:sz w:val="20"/>
                <w:szCs w:val="20"/>
                <w:color w:val="auto"/>
              </w:rPr>
            </w:pPr>
            <w:r>
              <w:rPr>
                <w:rFonts w:ascii="Arial" w:cs="Arial" w:eastAsia="Arial" w:hAnsi="Arial"/>
                <w:sz w:val="16"/>
                <w:szCs w:val="16"/>
                <w:color w:val="auto"/>
              </w:rPr>
              <w:t>incorporation or organization)</w:t>
            </w:r>
          </w:p>
        </w:tc>
        <w:tc>
          <w:tcPr>
            <w:tcW w:w="1360" w:type="dxa"/>
            <w:vAlign w:val="bottom"/>
          </w:tcPr>
          <w:p>
            <w:pPr>
              <w:spacing w:after="0"/>
              <w:rPr>
                <w:sz w:val="18"/>
                <w:szCs w:val="18"/>
                <w:color w:val="auto"/>
              </w:rPr>
            </w:pPr>
          </w:p>
        </w:tc>
        <w:tc>
          <w:tcPr>
            <w:tcW w:w="2060" w:type="dxa"/>
            <w:vAlign w:val="bottom"/>
          </w:tcPr>
          <w:p>
            <w:pPr>
              <w:jc w:val="center"/>
              <w:ind w:left="719"/>
              <w:spacing w:after="0"/>
              <w:rPr>
                <w:sz w:val="20"/>
                <w:szCs w:val="20"/>
                <w:color w:val="auto"/>
              </w:rPr>
            </w:pPr>
            <w:r>
              <w:rPr>
                <w:rFonts w:ascii="Arial" w:cs="Arial" w:eastAsia="Arial" w:hAnsi="Arial"/>
                <w:sz w:val="16"/>
                <w:szCs w:val="16"/>
                <w:color w:val="auto"/>
              </w:rPr>
              <w:t>Identification No.)</w:t>
            </w:r>
          </w:p>
        </w:tc>
      </w:tr>
      <w:tr>
        <w:trPr>
          <w:trHeight w:val="258"/>
        </w:trPr>
        <w:tc>
          <w:tcPr>
            <w:tcW w:w="3240" w:type="dxa"/>
            <w:vAlign w:val="bottom"/>
          </w:tcPr>
          <w:p>
            <w:pPr>
              <w:jc w:val="center"/>
              <w:ind w:right="399"/>
              <w:spacing w:after="0"/>
              <w:rPr>
                <w:sz w:val="20"/>
                <w:szCs w:val="20"/>
                <w:color w:val="auto"/>
              </w:rPr>
            </w:pPr>
            <w:r>
              <w:rPr>
                <w:rFonts w:ascii="Arial" w:cs="Arial" w:eastAsia="Arial" w:hAnsi="Arial"/>
                <w:sz w:val="16"/>
                <w:szCs w:val="16"/>
                <w:b w:val="1"/>
                <w:bCs w:val="1"/>
                <w:color w:val="auto"/>
              </w:rPr>
              <w:t>17 Park of Commerce Blvd, Ste 200</w:t>
            </w:r>
          </w:p>
        </w:tc>
        <w:tc>
          <w:tcPr>
            <w:tcW w:w="1360" w:type="dxa"/>
            <w:vAlign w:val="bottom"/>
          </w:tcPr>
          <w:p>
            <w:pPr>
              <w:ind w:left="480"/>
              <w:spacing w:after="0"/>
              <w:rPr>
                <w:sz w:val="20"/>
                <w:szCs w:val="20"/>
                <w:color w:val="auto"/>
              </w:rPr>
            </w:pPr>
            <w:r>
              <w:rPr>
                <w:rFonts w:ascii="Arial" w:cs="Arial" w:eastAsia="Arial" w:hAnsi="Arial"/>
                <w:sz w:val="16"/>
                <w:szCs w:val="16"/>
                <w:color w:val="auto"/>
              </w:rPr>
              <w:t>​​</w:t>
            </w:r>
          </w:p>
        </w:tc>
        <w:tc>
          <w:tcPr>
            <w:tcW w:w="2060" w:type="dxa"/>
            <w:vAlign w:val="bottom"/>
          </w:tcPr>
          <w:p>
            <w:pPr>
              <w:spacing w:after="0"/>
              <w:rPr>
                <w:sz w:val="22"/>
                <w:szCs w:val="22"/>
                <w:color w:val="auto"/>
              </w:rPr>
            </w:pPr>
          </w:p>
        </w:tc>
      </w:tr>
      <w:tr>
        <w:trPr>
          <w:trHeight w:val="189"/>
        </w:trPr>
        <w:tc>
          <w:tcPr>
            <w:tcW w:w="3240" w:type="dxa"/>
            <w:vAlign w:val="bottom"/>
          </w:tcPr>
          <w:p>
            <w:pPr>
              <w:jc w:val="center"/>
              <w:ind w:right="399"/>
              <w:spacing w:after="0"/>
              <w:rPr>
                <w:sz w:val="20"/>
                <w:szCs w:val="20"/>
                <w:color w:val="auto"/>
              </w:rPr>
            </w:pPr>
            <w:r>
              <w:rPr>
                <w:rFonts w:ascii="Arial" w:cs="Arial" w:eastAsia="Arial" w:hAnsi="Arial"/>
                <w:sz w:val="16"/>
                <w:szCs w:val="16"/>
                <w:b w:val="1"/>
                <w:bCs w:val="1"/>
                <w:color w:val="auto"/>
              </w:rPr>
              <w:t>Savannah, Georgia</w:t>
            </w:r>
          </w:p>
        </w:tc>
        <w:tc>
          <w:tcPr>
            <w:tcW w:w="1360" w:type="dxa"/>
            <w:vAlign w:val="bottom"/>
          </w:tcPr>
          <w:p>
            <w:pPr>
              <w:spacing w:after="0"/>
              <w:rPr>
                <w:sz w:val="16"/>
                <w:szCs w:val="16"/>
                <w:color w:val="auto"/>
              </w:rPr>
            </w:pPr>
          </w:p>
        </w:tc>
        <w:tc>
          <w:tcPr>
            <w:tcW w:w="206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31405</w:t>
            </w:r>
          </w:p>
        </w:tc>
      </w:tr>
      <w:tr>
        <w:trPr>
          <w:trHeight w:val="215"/>
        </w:trPr>
        <w:tc>
          <w:tcPr>
            <w:tcW w:w="3240" w:type="dxa"/>
            <w:vAlign w:val="bottom"/>
          </w:tcPr>
          <w:p>
            <w:pPr>
              <w:jc w:val="center"/>
              <w:ind w:right="399"/>
              <w:spacing w:after="0"/>
              <w:rPr>
                <w:sz w:val="20"/>
                <w:szCs w:val="20"/>
                <w:color w:val="auto"/>
              </w:rPr>
            </w:pPr>
            <w:r>
              <w:rPr>
                <w:rFonts w:ascii="Arial" w:cs="Arial" w:eastAsia="Arial" w:hAnsi="Arial"/>
                <w:sz w:val="16"/>
                <w:szCs w:val="16"/>
                <w:color w:val="auto"/>
              </w:rPr>
              <w:t>(Address of principal executive offices)</w:t>
            </w:r>
          </w:p>
        </w:tc>
        <w:tc>
          <w:tcPr>
            <w:tcW w:w="1360" w:type="dxa"/>
            <w:vAlign w:val="bottom"/>
          </w:tcPr>
          <w:p>
            <w:pPr>
              <w:spacing w:after="0"/>
              <w:rPr>
                <w:sz w:val="18"/>
                <w:szCs w:val="18"/>
                <w:color w:val="auto"/>
              </w:rPr>
            </w:pPr>
          </w:p>
        </w:tc>
        <w:tc>
          <w:tcPr>
            <w:tcW w:w="2060" w:type="dxa"/>
            <w:vAlign w:val="bottom"/>
          </w:tcPr>
          <w:p>
            <w:pPr>
              <w:jc w:val="center"/>
              <w:ind w:left="699"/>
              <w:spacing w:after="0"/>
              <w:rPr>
                <w:sz w:val="20"/>
                <w:szCs w:val="20"/>
                <w:color w:val="auto"/>
              </w:rPr>
            </w:pPr>
            <w:r>
              <w:rPr>
                <w:rFonts w:ascii="Arial" w:cs="Arial" w:eastAsia="Arial" w:hAnsi="Arial"/>
                <w:sz w:val="16"/>
                <w:szCs w:val="16"/>
                <w:color w:val="auto"/>
              </w:rPr>
              <w:t>(Zip Code)</w:t>
            </w:r>
          </w:p>
        </w:tc>
      </w:tr>
    </w:tbl>
    <w:p>
      <w:pPr>
        <w:spacing w:after="0" w:line="69"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30" w:type="dxa"/>
        <w:tblCellMar>
          <w:top w:w="0" w:type="dxa"/>
          <w:left w:w="0" w:type="dxa"/>
          <w:bottom w:w="0" w:type="dxa"/>
          <w:right w:w="0" w:type="dxa"/>
        </w:tblCellMar>
      </w:tblPr>
      <w:tr>
        <w:trPr>
          <w:trHeight w:val="203"/>
        </w:trPr>
        <w:tc>
          <w:tcPr>
            <w:tcW w:w="240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2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0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400" w:type="dxa"/>
            <w:vAlign w:val="bottom"/>
            <w:tcBorders>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5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CTRN</w:t>
            </w:r>
          </w:p>
        </w:tc>
        <w:tc>
          <w:tcPr>
            <w:tcW w:w="4080" w:type="dxa"/>
            <w:vAlign w:val="bottom"/>
            <w:tcBorders>
              <w:bottom w:val="single" w:sz="8" w:color="auto"/>
              <w:right w:val="single" w:sz="8" w:color="auto"/>
            </w:tcBorders>
          </w:tcPr>
          <w:p>
            <w:pPr>
              <w:ind w:left="1460"/>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8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8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120"/>
          </w:cols>
          <w:pgMar w:left="1380" w:top="661" w:right="1399" w:bottom="1440" w:gutter="0" w:footer="0" w:header="0"/>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3">
            <w:col w:w="3100" w:space="720"/>
            <w:col w:w="1780" w:space="720"/>
            <w:col w:w="2800"/>
          </w:cols>
          <w:pgMar w:left="1380" w:top="661" w:right="139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9120"/>
          </w:cols>
          <w:pgMar w:left="1380" w:top="661" w:right="1399" w:bottom="1440" w:gutter="0" w:footer="0" w:header="0"/>
          <w:type w:val="continuous"/>
        </w:sectPr>
      </w:pPr>
    </w:p>
    <w:p>
      <w:pPr>
        <w:spacing w:after="0" w:line="1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sectPr>
          <w:pgSz w:w="11900" w:h="16838" w:orient="portrait"/>
          <w:cols w:equalWidth="0" w:num="2">
            <w:col w:w="5600" w:space="720"/>
            <w:col w:w="2800"/>
          </w:cols>
          <w:pgMar w:left="1380" w:top="661" w:right="1399" w:bottom="1440" w:gutter="0" w:footer="0" w:header="0"/>
          <w:type w:val="continuous"/>
        </w:sectPr>
      </w:pPr>
    </w:p>
    <w:p>
      <w:pPr>
        <w:ind w:right="120"/>
        <w:spacing w:after="0" w:line="25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pacing w:after="0"/>
        <w:rPr>
          <w:sz w:val="20"/>
          <w:szCs w:val="20"/>
          <w:color w:val="auto"/>
        </w:rPr>
      </w:pPr>
      <w:r>
        <w:rPr>
          <w:rFonts w:ascii="Arial" w:cs="Arial" w:eastAsia="Arial" w:hAnsi="Arial"/>
          <w:sz w:val="16"/>
          <w:szCs w:val="16"/>
          <w:color w:val="auto"/>
        </w:rPr>
        <w:t>As of May 29, 2026, the registrant had 8,329,848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1032510</wp:posOffset>
            </wp:positionV>
            <wp:extent cx="57950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50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72390</wp:posOffset>
            </wp:positionV>
            <wp:extent cx="5795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114935</wp:posOffset>
            </wp:positionV>
            <wp:extent cx="57950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34290"/>
                    </a:xfrm>
                    <a:prstGeom prst="rect">
                      <a:avLst/>
                    </a:prstGeom>
                    <a:noFill/>
                  </pic:spPr>
                </pic:pic>
              </a:graphicData>
            </a:graphic>
          </wp:anchor>
        </w:drawing>
      </w:r>
    </w:p>
    <w:p>
      <w:pPr>
        <w:sectPr>
          <w:pgSz w:w="11900" w:h="16838" w:orient="portrait"/>
          <w:cols w:equalWidth="0" w:num="1">
            <w:col w:w="9120"/>
          </w:cols>
          <w:pgMar w:left="1380" w:top="661" w:right="1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CITI TRENDS, INC.</w:t>
            </w:r>
          </w:p>
        </w:tc>
        <w:tc>
          <w:tcPr>
            <w:tcW w:w="29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gridSpan w:val="10"/>
          </w:tcPr>
          <w:p>
            <w:pPr>
              <w:jc w:val="center"/>
              <w:ind w:right="3260"/>
              <w:spacing w:after="0"/>
              <w:rPr>
                <w:sz w:val="20"/>
                <w:szCs w:val="20"/>
                <w:color w:val="auto"/>
              </w:rPr>
            </w:pPr>
            <w:r>
              <w:rPr>
                <w:rFonts w:ascii="Arial" w:cs="Arial" w:eastAsia="Arial" w:hAnsi="Arial"/>
                <w:sz w:val="16"/>
                <w:szCs w:val="16"/>
                <w:b w:val="1"/>
                <w:bCs w:val="1"/>
                <w:color w:val="auto"/>
              </w:rPr>
              <w:t>FORM 10-Q</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80" w:type="dxa"/>
            <w:vAlign w:val="bottom"/>
            <w:gridSpan w:val="13"/>
          </w:tcPr>
          <w:p>
            <w:pPr>
              <w:jc w:val="center"/>
              <w:ind w:right="2700"/>
              <w:spacing w:after="0" w:line="183" w:lineRule="exact"/>
              <w:rPr>
                <w:sz w:val="20"/>
                <w:szCs w:val="20"/>
                <w:color w:val="auto"/>
              </w:rPr>
            </w:pPr>
            <w:r>
              <w:rPr>
                <w:rFonts w:ascii="Arial" w:cs="Arial" w:eastAsia="Arial" w:hAnsi="Arial"/>
                <w:sz w:val="16"/>
                <w:szCs w:val="16"/>
                <w:b w:val="1"/>
                <w:bCs w:val="1"/>
                <w:color w:val="auto"/>
              </w:rPr>
              <w:t>TABLE OF CONTENTS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3"/>
        </w:trPr>
        <w:tc>
          <w:tcPr>
            <w:tcW w:w="8260" w:type="dxa"/>
            <w:vAlign w:val="bottom"/>
            <w:gridSpan w:val="28"/>
            <w:vMerge w:val="restart"/>
          </w:tcPr>
          <w:p>
            <w:pPr>
              <w:spacing w:after="0"/>
              <w:rPr>
                <w:sz w:val="20"/>
                <w:szCs w:val="20"/>
                <w:color w:val="auto"/>
              </w:rPr>
            </w:pPr>
            <w:r>
              <w:rPr>
                <w:rFonts w:ascii="Arial" w:cs="Arial" w:eastAsia="Arial" w:hAnsi="Arial"/>
                <w:sz w:val="16"/>
                <w:szCs w:val="16"/>
                <w:color w:val="0000EE"/>
              </w:rPr>
              <w:t>PART I FINANCIAL INFORMATION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56"/>
        </w:trPr>
        <w:tc>
          <w:tcPr>
            <w:tcW w:w="8260" w:type="dxa"/>
            <w:vAlign w:val="bottom"/>
            <w:gridSpan w:val="28"/>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1  Financial Statements (unaudited)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468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Condensed Consolidated Statements of Operations</w:t>
            </w:r>
          </w:p>
        </w:tc>
        <w:tc>
          <w:tcPr>
            <w:tcW w:w="398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gridSpan w:val="24"/>
          </w:tcPr>
          <w:p>
            <w:pPr>
              <w:spacing w:after="0"/>
              <w:rPr>
                <w:sz w:val="20"/>
                <w:szCs w:val="20"/>
                <w:color w:val="auto"/>
              </w:rPr>
            </w:pPr>
            <w:r>
              <w:rPr>
                <w:rFonts w:ascii="Arial" w:cs="Arial" w:eastAsia="Arial" w:hAnsi="Arial"/>
                <w:sz w:val="16"/>
                <w:szCs w:val="16"/>
                <w:color w:val="0000EE"/>
              </w:rPr>
              <w:t>Condensed Consolidated Statements of Cash Flows</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26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38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3  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4  Controls and Procedures</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PART IIOTHER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8"/>
              </w:rPr>
              <w:t>Item 1</w:t>
            </w: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9"/>
              </w:rPr>
              <w:t>Legal Proceedings</w:t>
            </w:r>
          </w:p>
        </w:tc>
        <w:tc>
          <w:tcPr>
            <w:tcW w:w="380" w:type="dxa"/>
            <w:vAlign w:val="bottom"/>
            <w:tcBorders>
              <w:top w:val="single" w:sz="8" w:color="0000EE"/>
            </w:tcBorders>
          </w:tcPr>
          <w:p>
            <w:pPr>
              <w:spacing w:after="0"/>
              <w:rPr>
                <w:sz w:val="24"/>
                <w:szCs w:val="24"/>
                <w:color w:val="auto"/>
              </w:rPr>
            </w:pPr>
          </w:p>
        </w:tc>
        <w:tc>
          <w:tcPr>
            <w:tcW w:w="596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1ARisk Factors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2  Unregistered Sales of Equity Securities and Use of Proceeds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3  Defaults Upon Senior 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38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60" w:type="dxa"/>
            <w:vAlign w:val="bottom"/>
            <w:gridSpan w:val="28"/>
          </w:tcPr>
          <w:p>
            <w:pPr>
              <w:spacing w:after="0"/>
              <w:rPr>
                <w:sz w:val="20"/>
                <w:szCs w:val="20"/>
                <w:color w:val="auto"/>
              </w:rPr>
            </w:pPr>
            <w:r>
              <w:rPr>
                <w:rFonts w:ascii="Arial" w:cs="Arial" w:eastAsia="Arial" w:hAnsi="Arial"/>
                <w:sz w:val="16"/>
                <w:szCs w:val="16"/>
                <w:color w:val="0000EE"/>
              </w:rPr>
              <w:t>Item 4  Mine Safety Disclosures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58"/>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8"/>
              </w:rPr>
              <w:t>Item 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99"/>
              </w:rPr>
              <w:t>Other Information</w:t>
            </w:r>
          </w:p>
        </w:tc>
        <w:tc>
          <w:tcPr>
            <w:tcW w:w="520" w:type="dxa"/>
            <w:vAlign w:val="bottom"/>
            <w:tcBorders>
              <w:top w:val="single" w:sz="8" w:color="0000EE"/>
            </w:tcBorders>
            <w:gridSpan w:val="3"/>
          </w:tcPr>
          <w:p>
            <w:pPr>
              <w:spacing w:after="0"/>
              <w:rPr>
                <w:sz w:val="24"/>
                <w:szCs w:val="24"/>
                <w:color w:val="auto"/>
              </w:rPr>
            </w:pPr>
          </w:p>
        </w:tc>
        <w:tc>
          <w:tcPr>
            <w:tcW w:w="590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58"/>
        </w:trPr>
        <w:tc>
          <w:tcPr>
            <w:tcW w:w="460" w:type="dxa"/>
            <w:vAlign w:val="bottom"/>
          </w:tcPr>
          <w:p>
            <w:pPr>
              <w:spacing w:after="0"/>
              <w:rPr>
                <w:sz w:val="20"/>
                <w:szCs w:val="20"/>
                <w:color w:val="auto"/>
              </w:rPr>
            </w:pPr>
            <w:r>
              <w:rPr>
                <w:rFonts w:ascii="Arial" w:cs="Arial" w:eastAsia="Arial" w:hAnsi="Arial"/>
                <w:sz w:val="16"/>
                <w:szCs w:val="16"/>
                <w:color w:val="0000EE"/>
                <w:w w:val="98"/>
              </w:rPr>
              <w:t>Item 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gridSpan w:val="24"/>
          </w:tcPr>
          <w:p>
            <w:pPr>
              <w:spacing w:after="0"/>
              <w:rPr>
                <w:sz w:val="20"/>
                <w:szCs w:val="20"/>
                <w:color w:val="auto"/>
              </w:rPr>
            </w:pPr>
            <w:r>
              <w:rPr>
                <w:rFonts w:ascii="Arial" w:cs="Arial" w:eastAsia="Arial" w:hAnsi="Arial"/>
                <w:sz w:val="16"/>
                <w:szCs w:val="16"/>
                <w:color w:val="0000EE"/>
              </w:rPr>
              <w:t>Exhibits</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40" w:type="dxa"/>
            <w:vAlign w:val="bottom"/>
            <w:gridSpan w:val="2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8"/>
              </w:rPr>
              <w:t>SIGNATURES</w:t>
            </w:r>
          </w:p>
        </w:tc>
        <w:tc>
          <w:tcPr>
            <w:tcW w:w="6640" w:type="dxa"/>
            <w:vAlign w:val="bottom"/>
            <w:gridSpan w:val="2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6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0"/>
              <w:spacing w:after="0"/>
              <w:rPr>
                <w:sz w:val="20"/>
                <w:szCs w:val="20"/>
                <w:color w:val="auto"/>
              </w:rPr>
            </w:pPr>
            <w:r>
              <w:rPr>
                <w:rFonts w:ascii="Arial" w:cs="Arial" w:eastAsia="Arial" w:hAnsi="Arial"/>
                <w:sz w:val="14"/>
                <w:szCs w:val="14"/>
                <w:b w:val="1"/>
                <w:bCs w:val="1"/>
                <w:color w:val="auto"/>
              </w:rPr>
              <w:t>May 2,</w:t>
            </w: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6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2026</w:t>
            </w:r>
          </w:p>
        </w:tc>
        <w:tc>
          <w:tcPr>
            <w:tcW w:w="300" w:type="dxa"/>
            <w:vAlign w:val="bottom"/>
            <w:gridSpan w:val="3"/>
          </w:tcPr>
          <w:p>
            <w:pPr>
              <w:ind w:left="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ind w:left="296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66,092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113,515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212,958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193,048</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$306,694 and $301,921 as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of May 2, 2026 and January 31, 2026, respectively.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56,639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54,384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224,770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221,775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2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496,191</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471,171</w:t>
            </w: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86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113,238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100,693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44,397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Layaway deposits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20" w:type="dxa"/>
            <w:vAlign w:val="bottom"/>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185,979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173,407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178,921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370,848</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354,851</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16,556,574 shares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issued as of May 2, 2026 and 16,545,723 shares issued as of January 31, 2026;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8,356,768 shares outstanding as of May 2, 2026 and 8,345,917 shares outstanding as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January 31, 2026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113,621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112,352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288,862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281,108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 8,199,806 shares held as of May 2, 2026 and January 31, 2026</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(277,303)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(277,303)</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125,343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116,320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2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496,191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471,171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May 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80"/>
              <w:spacing w:after="0" w:line="147" w:lineRule="exact"/>
              <w:rPr>
                <w:sz w:val="20"/>
                <w:szCs w:val="20"/>
                <w:color w:val="auto"/>
              </w:rPr>
            </w:pPr>
            <w:r>
              <w:rPr>
                <w:rFonts w:ascii="Arial" w:cs="Arial" w:eastAsia="Arial" w:hAnsi="Arial"/>
                <w:sz w:val="14"/>
                <w:szCs w:val="14"/>
                <w:b w:val="1"/>
                <w:bCs w:val="1"/>
                <w:color w:val="auto"/>
              </w:rPr>
              <w:t>May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6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2026</w:t>
            </w:r>
          </w:p>
        </w:tc>
        <w:tc>
          <w:tcPr>
            <w:tcW w:w="32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1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230,858</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201,728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(74,887)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 impairment</w:t>
            </w:r>
          </w:p>
        </w:tc>
        <w:tc>
          <w:tcPr>
            <w:tcW w:w="1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Income from operations</w:t>
            </w:r>
          </w:p>
        </w:tc>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7,375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Interest income</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Pr>
          <w:p>
            <w:pPr>
              <w:ind w:left="320"/>
              <w:spacing w:after="0" w:line="183" w:lineRule="exact"/>
              <w:rPr>
                <w:sz w:val="20"/>
                <w:szCs w:val="20"/>
                <w:color w:val="auto"/>
              </w:rPr>
            </w:pPr>
            <w:r>
              <w:rPr>
                <w:rFonts w:ascii="Arial" w:cs="Arial" w:eastAsia="Arial" w:hAnsi="Arial"/>
                <w:sz w:val="16"/>
                <w:szCs w:val="16"/>
                <w:color w:val="auto"/>
              </w:rPr>
              <w:t>Income before income taxes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7,936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871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income</w:t>
            </w:r>
          </w:p>
        </w:tc>
        <w:tc>
          <w:tcPr>
            <w:tcW w:w="18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7,754</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Basic net earnings per common share</w:t>
            </w:r>
          </w:p>
        </w:tc>
        <w:tc>
          <w:tcPr>
            <w:tcW w:w="19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0.95</w:t>
            </w:r>
          </w:p>
        </w:tc>
        <w:tc>
          <w:tcPr>
            <w:tcW w:w="3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earnings per common share</w:t>
            </w: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0.91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0.11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1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8,126</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18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8,484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8,170</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80"/>
              <w:spacing w:after="0" w:line="147" w:lineRule="exact"/>
              <w:rPr>
                <w:sz w:val="20"/>
                <w:szCs w:val="20"/>
                <w:color w:val="auto"/>
              </w:rPr>
            </w:pPr>
            <w:r>
              <w:rPr>
                <w:rFonts w:ascii="Arial" w:cs="Arial" w:eastAsia="Arial" w:hAnsi="Arial"/>
                <w:sz w:val="14"/>
                <w:szCs w:val="14"/>
                <w:b w:val="1"/>
                <w:bCs w:val="1"/>
                <w:color w:val="auto"/>
              </w:rPr>
              <w:t>May 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80"/>
              <w:spacing w:after="0" w:line="147" w:lineRule="exact"/>
              <w:rPr>
                <w:sz w:val="20"/>
                <w:szCs w:val="20"/>
                <w:color w:val="auto"/>
              </w:rPr>
            </w:pPr>
            <w:r>
              <w:rPr>
                <w:rFonts w:ascii="Arial" w:cs="Arial" w:eastAsia="Arial" w:hAnsi="Arial"/>
                <w:sz w:val="14"/>
                <w:szCs w:val="14"/>
                <w:b w:val="1"/>
                <w:bCs w:val="1"/>
                <w:color w:val="auto"/>
              </w:rPr>
              <w:t>May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2026</w:t>
            </w:r>
          </w:p>
        </w:tc>
        <w:tc>
          <w:tcPr>
            <w:tcW w:w="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7,754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 impairment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Non-cash operating lease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20,875</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(10,969)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(5,833)</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(2,104)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Pr>
          <w:p>
            <w:pPr>
              <w:spacing w:after="0" w:line="183" w:lineRule="exact"/>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Pr>
          <w:p>
            <w:pPr>
              <w:ind w:left="6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15,008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(19,529)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66,092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61,085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color w:val="auto"/>
              </w:rPr>
              <w:t>End of period</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81,100</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41,556</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ind w:left="640"/>
              <w:spacing w:after="0"/>
              <w:rPr>
                <w:sz w:val="20"/>
                <w:szCs w:val="20"/>
                <w:color w:val="auto"/>
              </w:rPr>
            </w:pPr>
            <w:r>
              <w:rPr>
                <w:rFonts w:ascii="Arial" w:cs="Arial" w:eastAsia="Arial" w:hAnsi="Arial"/>
                <w:sz w:val="16"/>
                <w:szCs w:val="16"/>
                <w:color w:val="auto"/>
              </w:rPr>
              <w:t>Cash paid for interest</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40" w:type="dxa"/>
            <w:vAlign w:val="bottom"/>
            <w:tcBorders>
              <w:top w:val="single" w:sz="8" w:color="CCEEFF"/>
              <w:bottom w:val="single" w:sz="8" w:color="CCEEFF"/>
            </w:tcBorders>
            <w:shd w:val="clear" w:color="auto" w:fill="CCEEFF"/>
          </w:tcPr>
          <w:p>
            <w:pPr>
              <w:ind w:left="640"/>
              <w:spacing w:after="0" w:line="170" w:lineRule="exact"/>
              <w:rPr>
                <w:sz w:val="20"/>
                <w:szCs w:val="20"/>
                <w:color w:val="auto"/>
              </w:rPr>
            </w:pPr>
            <w:r>
              <w:rPr>
                <w:rFonts w:ascii="Arial" w:cs="Arial" w:eastAsia="Arial" w:hAnsi="Arial"/>
                <w:sz w:val="16"/>
                <w:szCs w:val="16"/>
                <w:color w:val="auto"/>
              </w:rPr>
              <w:t>Cash refunds of income taxes</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(483)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Paid in</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31, 2026</w:t>
            </w:r>
          </w:p>
        </w:tc>
        <w:tc>
          <w:tcPr>
            <w:tcW w:w="9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16,545,723</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$ 112,352</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$ 281,108</w:t>
            </w: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8,199,806</w:t>
            </w:r>
          </w:p>
        </w:tc>
        <w:tc>
          <w:tcPr>
            <w:tcW w:w="1000" w:type="dxa"/>
            <w:vAlign w:val="bottom"/>
            <w:tcBorders>
              <w:top w:val="single" w:sz="8" w:color="auto"/>
            </w:tcBorders>
            <w:gridSpan w:val="3"/>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 (277,303)$</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116,320</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19,313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1,303</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175"/>
        </w:trPr>
        <w:tc>
          <w:tcPr>
            <w:tcW w:w="20" w:type="dxa"/>
            <w:vAlign w:val="bottom"/>
          </w:tcPr>
          <w:p>
            <w:pPr>
              <w:spacing w:after="0"/>
              <w:rPr>
                <w:sz w:val="15"/>
                <w:szCs w:val="15"/>
                <w:color w:val="auto"/>
              </w:rPr>
            </w:pPr>
          </w:p>
        </w:tc>
        <w:tc>
          <w:tcPr>
            <w:tcW w:w="3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taxes on vesting</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w:t>
            </w:r>
          </w:p>
        </w:tc>
      </w:tr>
      <w:tr>
        <w:trPr>
          <w:trHeight w:val="183"/>
        </w:trPr>
        <w:tc>
          <w:tcPr>
            <w:tcW w:w="20" w:type="dxa"/>
            <w:vAlign w:val="bottom"/>
          </w:tcPr>
          <w:p>
            <w:pPr>
              <w:spacing w:after="0"/>
              <w:rPr>
                <w:sz w:val="15"/>
                <w:szCs w:val="15"/>
                <w:color w:val="auto"/>
              </w:rPr>
            </w:pPr>
          </w:p>
        </w:tc>
        <w:tc>
          <w:tcPr>
            <w:tcW w:w="3400" w:type="dxa"/>
            <w:vAlign w:val="bottom"/>
          </w:tcPr>
          <w:p>
            <w:pPr>
              <w:spacing w:after="0" w:line="183" w:lineRule="exact"/>
              <w:rPr>
                <w:sz w:val="20"/>
                <w:szCs w:val="20"/>
                <w:color w:val="auto"/>
              </w:rPr>
            </w:pPr>
            <w:r>
              <w:rPr>
                <w:rFonts w:ascii="Arial" w:cs="Arial" w:eastAsia="Arial" w:hAnsi="Arial"/>
                <w:sz w:val="16"/>
                <w:szCs w:val="16"/>
                <w:color w:val="auto"/>
              </w:rPr>
              <w:t>Balances — May 2, 2026</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16,556,574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$ 113,621</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$ 288,862</w:t>
            </w:r>
          </w:p>
        </w:tc>
        <w:tc>
          <w:tcPr>
            <w:tcW w:w="40" w:type="dxa"/>
            <w:vAlign w:val="bottom"/>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8,199,806</w:t>
            </w:r>
          </w:p>
        </w:tc>
        <w:tc>
          <w:tcPr>
            <w:tcW w:w="1000" w:type="dxa"/>
            <w:vAlign w:val="bottom"/>
            <w:tcBorders>
              <w:top w:val="single" w:sz="8" w:color="auto"/>
              <w:bottom w:val="single" w:sz="8" w:color="auto"/>
            </w:tcBorders>
            <w:gridSpan w:val="3"/>
          </w:tcPr>
          <w:p>
            <w:pPr>
              <w:jc w:val="right"/>
              <w:ind w:right="40"/>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(277,303)</w:t>
            </w: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125,343</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Paid in</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February 1, 2025</w:t>
            </w: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16,497,092</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$ 108,101</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$ 275,901</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7,949,251</w:t>
            </w:r>
          </w:p>
        </w:tc>
        <w:tc>
          <w:tcPr>
            <w:tcW w:w="1000" w:type="dxa"/>
            <w:vAlign w:val="bottom"/>
            <w:tcBorders>
              <w:top w:val="single" w:sz="8" w:color="auto"/>
            </w:tcBorders>
            <w:gridSpan w:val="3"/>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 (270,988)$</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113,176</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Grant of restricted shares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shares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(19,398)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968</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968</w:t>
            </w:r>
          </w:p>
        </w:tc>
      </w:tr>
      <w:tr>
        <w:trPr>
          <w:trHeight w:val="175"/>
        </w:trPr>
        <w:tc>
          <w:tcPr>
            <w:tcW w:w="20" w:type="dxa"/>
            <w:vAlign w:val="bottom"/>
          </w:tcPr>
          <w:p>
            <w:pPr>
              <w:spacing w:after="0"/>
              <w:rPr>
                <w:sz w:val="15"/>
                <w:szCs w:val="15"/>
                <w:color w:val="auto"/>
              </w:rPr>
            </w:pPr>
          </w:p>
        </w:tc>
        <w:tc>
          <w:tcPr>
            <w:tcW w:w="3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Shares withheld for settlement of employee</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taxes on vesting</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(6,939)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250,555</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(6,315)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(6,315)</w:t>
            </w: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 w:type="dxa"/>
            <w:vAlign w:val="bottom"/>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183"/>
        </w:trPr>
        <w:tc>
          <w:tcPr>
            <w:tcW w:w="20" w:type="dxa"/>
            <w:vAlign w:val="bottom"/>
          </w:tcPr>
          <w:p>
            <w:pPr>
              <w:spacing w:after="0"/>
              <w:rPr>
                <w:sz w:val="15"/>
                <w:szCs w:val="15"/>
                <w:color w:val="auto"/>
              </w:rPr>
            </w:pPr>
          </w:p>
        </w:tc>
        <w:tc>
          <w:tcPr>
            <w:tcW w:w="3400" w:type="dxa"/>
            <w:vAlign w:val="bottom"/>
          </w:tcPr>
          <w:p>
            <w:pPr>
              <w:spacing w:after="0" w:line="183" w:lineRule="exact"/>
              <w:rPr>
                <w:sz w:val="20"/>
                <w:szCs w:val="20"/>
                <w:color w:val="auto"/>
              </w:rPr>
            </w:pPr>
            <w:r>
              <w:rPr>
                <w:rFonts w:ascii="Arial" w:cs="Arial" w:eastAsia="Arial" w:hAnsi="Arial"/>
                <w:sz w:val="16"/>
                <w:szCs w:val="16"/>
                <w:color w:val="auto"/>
              </w:rPr>
              <w:t>Balances — May 3, 2025</w:t>
            </w:r>
          </w:p>
        </w:tc>
        <w:tc>
          <w:tcPr>
            <w:tcW w:w="2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16,472,844</w:t>
            </w:r>
          </w:p>
        </w:tc>
        <w:tc>
          <w:tcPr>
            <w:tcW w:w="20" w:type="dxa"/>
            <w:vAlign w:val="bottom"/>
            <w:tcBorders>
              <w:bottom w:val="single" w:sz="8" w:color="auto"/>
            </w:tcBorders>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w:t>
            </w:r>
          </w:p>
        </w:tc>
        <w:tc>
          <w:tcPr>
            <w:tcW w:w="20" w:type="dxa"/>
            <w:vAlign w:val="bottom"/>
            <w:tcBorders>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$ 108,928</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$ 276,772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8,199,806</w:t>
            </w:r>
          </w:p>
        </w:tc>
        <w:tc>
          <w:tcPr>
            <w:tcW w:w="1000" w:type="dxa"/>
            <w:vAlign w:val="bottom"/>
            <w:tcBorders>
              <w:bottom w:val="single" w:sz="8" w:color="auto"/>
            </w:tcBorders>
            <w:gridSpan w:val="3"/>
          </w:tcPr>
          <w:p>
            <w:pPr>
              <w:jc w:val="right"/>
              <w:ind w:right="20"/>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(277,303)</w:t>
            </w: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108,559</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May 2, 2026</w:t>
      </w:r>
    </w:p>
    <w:p>
      <w:pPr>
        <w:spacing w:after="0" w:line="187" w:lineRule="exact"/>
        <w:rPr>
          <w:sz w:val="20"/>
          <w:szCs w:val="20"/>
          <w:color w:val="auto"/>
        </w:rPr>
      </w:pPr>
    </w:p>
    <w:p>
      <w:pPr>
        <w:ind w:left="180" w:hanging="175"/>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9"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auto"/>
        </w:rPr>
        <w:t>Citi Trends, Inc. and its subsidiary (the “Company”) is the leading off-price value retailer of apparel, accessories and home trends primarily for Black families in the United States. As of May 2, 2026, the Company operated 591 stores in urban, suburban and rural markets in 33 states.</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31, 2026 is derived from the audited financial statements in the Company’s Annual Report on Form 10-K for the fiscal year ended January 31, 2026 (the “2025 Form 10-K”). These condensed consolidated financial statements should be read in conjunction with the audited consolidated financial statements and notes thereto included in the 2025 Form 10-K. Operating results for the first quarter of 2026 are not necessarily indicative of the results that may be expected for the fiscal year as a result of the seasonality of the business and the current economic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3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contains references to fiscal years 2026 and 2025, which represent fiscal years ending or ended on January 30, 2027 and January 31, 2026, respectively. Fiscal 2026 and fiscal 2025 both have 52-week accounting periods.</w:t>
      </w:r>
    </w:p>
    <w:p>
      <w:pPr>
        <w:spacing w:after="0" w:line="129"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2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53"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the amount of compensation cost attributed to future services and not yet recognized as assumed proceeds. For the first quarter of 2026 and 2025, there were no shares of nonvested restricted stock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provides the weighted average number of common shares outstanding used to calculate basic earnings per share to the number of common shares and common stock equivalents outstanding used in calculating diluted earnings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gridSpan w:val="2"/>
          </w:tcPr>
          <w:p>
            <w:pPr>
              <w:ind w:left="6580"/>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3"/>
              <w:spacing w:after="0"/>
              <w:rPr>
                <w:sz w:val="20"/>
                <w:szCs w:val="20"/>
                <w:color w:val="auto"/>
              </w:rPr>
            </w:pPr>
            <w:r>
              <w:rPr>
                <w:rFonts w:ascii="Arial" w:cs="Arial" w:eastAsia="Arial" w:hAnsi="Arial"/>
                <w:sz w:val="14"/>
                <w:szCs w:val="14"/>
                <w:b w:val="1"/>
                <w:bCs w:val="1"/>
                <w:color w:val="auto"/>
              </w:rPr>
              <w:t>May 2, 2026</w:t>
            </w:r>
          </w:p>
        </w:tc>
        <w:tc>
          <w:tcPr>
            <w:tcW w:w="13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  May 3,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 (basic)</w:t>
            </w: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8,126,151</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8,033,623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357,924</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8,484,075</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8,170,456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w:t>
            </w:r>
          </w:p>
        </w:tc>
        <w:tc>
          <w:tcPr>
            <w:tcW w:w="102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Revolving Credit Facility</w:t>
      </w:r>
    </w:p>
    <w:p>
      <w:pPr>
        <w:spacing w:after="0" w:line="2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 million credit commitment and a $25 million uncommitted “accordion” feature that under certain circumstances could allow the Company to increase the size of the facility to $100 million.</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Borrowings under the credit facility bear interest (a) for SOFR Loans, at a rate equal to the SOFR Rate plus a SOFR adjustment equal to 0.10% plus either 1.50%, 1.75% or 2.00%, or (b) for Base Rate Loans, at a rate equal to the highest of (i) the prime rate, (ii) the Federal Funds Rate plus 0.5% and (iii) the Term SOFR Rate plus 1.0%, plus, in each case either 0.50%, 0.75% or 1.00%, based in any such case on the average daily availability for borrowings under the facility.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May 2, 2026, the Company had no borrowings under the credit facility and $2.2 million of letters of credit outstanding.</w:t>
      </w:r>
    </w:p>
    <w:p>
      <w:pPr>
        <w:spacing w:after="0" w:line="194" w:lineRule="exact"/>
        <w:rPr>
          <w:sz w:val="20"/>
          <w:szCs w:val="20"/>
          <w:color w:val="auto"/>
        </w:rPr>
      </w:pPr>
    </w:p>
    <w:p>
      <w:pPr>
        <w:ind w:left="180" w:hanging="175"/>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2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July 4, 2025, the President signed H.R. 1, the “One Big Beautiful Bill Act,” into law. The legislation has multiple effective dates, with certain provisions effective in 2025 and others implemented through 2027.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Company expects to utilize the more favorable tax legislation in its corresponding tax filings.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5"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21"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601"/>
              <w:spacing w:after="0"/>
              <w:rPr>
                <w:sz w:val="20"/>
                <w:szCs w:val="20"/>
                <w:color w:val="auto"/>
              </w:rPr>
            </w:pPr>
            <w:r>
              <w:rPr>
                <w:rFonts w:ascii="Arial" w:cs="Arial" w:eastAsia="Arial" w:hAnsi="Arial"/>
                <w:sz w:val="14"/>
                <w:szCs w:val="14"/>
                <w:b w:val="1"/>
                <w:bCs w:val="1"/>
                <w:color w:val="auto"/>
              </w:rPr>
              <w:t>Thirteen Weeks Ended</w:t>
            </w:r>
          </w:p>
        </w:tc>
      </w:tr>
      <w:tr>
        <w:trPr>
          <w:trHeight w:val="169"/>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May 2, 2026</w:t>
            </w:r>
          </w:p>
        </w:tc>
        <w:tc>
          <w:tcPr>
            <w:tcW w:w="2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01"/>
              <w:spacing w:after="0"/>
              <w:rPr>
                <w:sz w:val="20"/>
                <w:szCs w:val="20"/>
                <w:color w:val="auto"/>
              </w:rPr>
            </w:pPr>
            <w:r>
              <w:rPr>
                <w:rFonts w:ascii="Arial" w:cs="Arial" w:eastAsia="Arial" w:hAnsi="Arial"/>
                <w:sz w:val="14"/>
                <w:szCs w:val="14"/>
                <w:b w:val="1"/>
                <w:bCs w:val="1"/>
                <w:color w:val="auto"/>
              </w:rPr>
              <w:t>May 3, 2025</w:t>
            </w:r>
          </w:p>
        </w:tc>
      </w:tr>
      <w:tr>
        <w:trPr>
          <w:trHeight w:val="182"/>
        </w:trPr>
        <w:tc>
          <w:tcPr>
            <w:tcW w:w="20" w:type="dxa"/>
            <w:vAlign w:val="bottom"/>
          </w:tcPr>
          <w:p>
            <w:pPr>
              <w:spacing w:after="0"/>
              <w:rPr>
                <w:sz w:val="15"/>
                <w:szCs w:val="15"/>
                <w:color w:val="auto"/>
              </w:rPr>
            </w:pPr>
          </w:p>
        </w:tc>
        <w:tc>
          <w:tcPr>
            <w:tcW w:w="5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1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4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251</w:t>
            </w: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2280" w:type="dxa"/>
            <w:vAlign w:val="bottom"/>
            <w:gridSpan w:val="2"/>
          </w:tcPr>
          <w:p>
            <w:pPr>
              <w:jc w:val="right"/>
              <w:ind w:right="948"/>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2280" w:type="dxa"/>
            <w:vAlign w:val="bottom"/>
            <w:gridSpan w:val="2"/>
            <w:shd w:val="clear" w:color="auto" w:fill="CCEEFF"/>
          </w:tcPr>
          <w:p>
            <w:pPr>
              <w:jc w:val="right"/>
              <w:ind w:right="94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At May 2, 2026, $40.0 million remained available under the Company’s stock repurchase authorization.</w:t>
      </w:r>
    </w:p>
    <w:p>
      <w:pPr>
        <w:spacing w:after="0" w:line="194"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Recent Accounting Pronouncements</w:t>
      </w:r>
    </w:p>
    <w:p>
      <w:pPr>
        <w:spacing w:after="0" w:line="2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In fiscal 2025, the Company adopted the new accounting pronouncement ASU 2023-09 in the respective period and retrospectively. The adoption of ASU 2023-09 did not have a material impact on the Company’s consolidated financial statements as the requirements impact only annual income tax reporting disclosures in the Notes to the Company’s consolidated financial statements. Refer to “Note 5. Income Taxes” for additional information.</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September 2025, the FASB issued ASU 2025-06,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November 2025, the FASB issued ASU 2025-11, “Interim Reporting (Topic 270): Narrow-Scope Improvements” (“ASU 2025-11”),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1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1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table, the Company’s revenue from contracts with customers is disaggregated by Division or product category.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percentage of net sales for each Division within the merchandise assortment:</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Division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May 2,</w:t>
            </w:r>
          </w:p>
        </w:tc>
        <w:tc>
          <w:tcPr>
            <w:tcW w:w="20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Women's</w:t>
            </w:r>
          </w:p>
        </w:tc>
        <w:tc>
          <w:tcPr>
            <w:tcW w:w="70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7"/>
                <w:szCs w:val="17"/>
                <w:color w:val="auto"/>
              </w:rPr>
              <w:t>Children's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6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6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7"/>
                <w:szCs w:val="17"/>
                <w:color w:val="auto"/>
              </w:rPr>
              <w:t>Footwear</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80" w:hanging="275"/>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r>
      <w:tr>
        <w:trPr>
          <w:trHeight w:val="196"/>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2, 2026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3, 2025</w:t>
            </w:r>
          </w:p>
        </w:tc>
      </w:tr>
      <w:tr>
        <w:trPr>
          <w:trHeight w:val="19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15,167</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6"/>
                <w:szCs w:val="16"/>
                <w:color w:val="auto"/>
              </w:rPr>
              <w:t>Variable lease cost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2,610</w:t>
            </w:r>
          </w:p>
        </w:tc>
        <w:tc>
          <w:tcPr>
            <w:tcW w:w="2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00" w:type="dxa"/>
            <w:vAlign w:val="bottom"/>
            <w:shd w:val="clear" w:color="auto" w:fill="CCEEFF"/>
          </w:tcPr>
          <w:p>
            <w:pPr>
              <w:spacing w:after="0"/>
              <w:rPr>
                <w:sz w:val="18"/>
                <w:szCs w:val="18"/>
                <w:color w:val="auto"/>
              </w:rPr>
            </w:pPr>
          </w:p>
        </w:tc>
      </w:tr>
      <w:tr>
        <w:trPr>
          <w:trHeight w:val="183"/>
        </w:trPr>
        <w:tc>
          <w:tcPr>
            <w:tcW w:w="4540" w:type="dxa"/>
            <w:vAlign w:val="bottom"/>
          </w:tcPr>
          <w:p>
            <w:pPr>
              <w:spacing w:after="0" w:line="183" w:lineRule="exact"/>
              <w:rPr>
                <w:sz w:val="20"/>
                <w:szCs w:val="20"/>
                <w:color w:val="auto"/>
              </w:rPr>
            </w:pPr>
            <w:r>
              <w:rPr>
                <w:rFonts w:ascii="Arial" w:cs="Arial" w:eastAsia="Arial" w:hAnsi="Arial"/>
                <w:sz w:val="16"/>
                <w:szCs w:val="16"/>
                <w:color w:val="auto"/>
              </w:rPr>
              <w:t>Total lease cost</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19,848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18,353</w:t>
            </w:r>
          </w:p>
        </w:tc>
        <w:tc>
          <w:tcPr>
            <w:tcW w:w="200" w:type="dxa"/>
            <w:vAlign w:val="bottom"/>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May 2, 2026 are as follows (in thousands):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4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80"/>
              <w:spacing w:after="0"/>
              <w:rPr>
                <w:sz w:val="20"/>
                <w:szCs w:val="20"/>
                <w:color w:val="auto"/>
              </w:rPr>
            </w:pPr>
            <w:r>
              <w:rPr>
                <w:rFonts w:ascii="Arial" w:cs="Arial" w:eastAsia="Arial" w:hAnsi="Arial"/>
                <w:sz w:val="14"/>
                <w:szCs w:val="14"/>
                <w:b w:val="1"/>
                <w:bCs w:val="1"/>
                <w:color w:val="auto"/>
              </w:rPr>
              <w:t>Lease Costs</w:t>
            </w:r>
          </w:p>
        </w:tc>
        <w:tc>
          <w:tcPr>
            <w:tcW w:w="400" w:type="dxa"/>
            <w:vAlign w:val="bottom"/>
          </w:tcPr>
          <w:p>
            <w:pPr>
              <w:spacing w:after="0"/>
              <w:rPr>
                <w:sz w:val="20"/>
                <w:szCs w:val="20"/>
                <w:color w:val="auto"/>
              </w:rPr>
            </w:pPr>
          </w:p>
        </w:tc>
      </w:tr>
      <w:tr>
        <w:trPr>
          <w:trHeight w:val="183"/>
        </w:trPr>
        <w:tc>
          <w:tcPr>
            <w:tcW w:w="5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Remainder of 2026</w:t>
            </w:r>
          </w:p>
        </w:tc>
        <w:tc>
          <w:tcPr>
            <w:tcW w:w="240" w:type="dxa"/>
            <w:vAlign w:val="bottom"/>
            <w:tcBorders>
              <w:top w:val="single" w:sz="8" w:color="CCEEFF"/>
            </w:tcBorders>
            <w:shd w:val="clear" w:color="auto" w:fill="CCEEFF"/>
          </w:tcPr>
          <w:p>
            <w:pPr>
              <w:ind w:left="10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49,082</w:t>
            </w:r>
          </w:p>
        </w:tc>
        <w:tc>
          <w:tcPr>
            <w:tcW w:w="400" w:type="dxa"/>
            <w:vAlign w:val="bottom"/>
            <w:tcBorders>
              <w:top w:val="single" w:sz="8" w:color="CCEEFF"/>
            </w:tcBorders>
            <w:shd w:val="clear" w:color="auto" w:fill="CCEEFF"/>
          </w:tcPr>
          <w:p>
            <w:pPr>
              <w:spacing w:after="0"/>
              <w:rPr>
                <w:sz w:val="15"/>
                <w:szCs w:val="15"/>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56,442</w:t>
            </w:r>
          </w:p>
        </w:tc>
        <w:tc>
          <w:tcPr>
            <w:tcW w:w="400" w:type="dxa"/>
            <w:vAlign w:val="bottom"/>
          </w:tcPr>
          <w:p>
            <w:pPr>
              <w:spacing w:after="0"/>
              <w:rPr>
                <w:sz w:val="16"/>
                <w:szCs w:val="16"/>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46,741</w:t>
            </w:r>
          </w:p>
        </w:tc>
        <w:tc>
          <w:tcPr>
            <w:tcW w:w="400" w:type="dxa"/>
            <w:vAlign w:val="bottom"/>
            <w:shd w:val="clear" w:color="auto" w:fill="CCEEFF"/>
          </w:tcPr>
          <w:p>
            <w:pPr>
              <w:spacing w:after="0"/>
              <w:rPr>
                <w:sz w:val="16"/>
                <w:szCs w:val="16"/>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2029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36,782</w:t>
            </w:r>
          </w:p>
        </w:tc>
        <w:tc>
          <w:tcPr>
            <w:tcW w:w="400" w:type="dxa"/>
            <w:vAlign w:val="bottom"/>
          </w:tcPr>
          <w:p>
            <w:pPr>
              <w:spacing w:after="0"/>
              <w:rPr>
                <w:sz w:val="16"/>
                <w:szCs w:val="16"/>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26,166</w:t>
            </w:r>
          </w:p>
        </w:tc>
        <w:tc>
          <w:tcPr>
            <w:tcW w:w="400" w:type="dxa"/>
            <w:vAlign w:val="bottom"/>
            <w:shd w:val="clear" w:color="auto" w:fill="CCEEFF"/>
          </w:tcPr>
          <w:p>
            <w:pPr>
              <w:spacing w:after="0"/>
              <w:rPr>
                <w:sz w:val="16"/>
                <w:szCs w:val="16"/>
                <w:color w:val="auto"/>
              </w:rPr>
            </w:pPr>
          </w:p>
        </w:tc>
      </w:tr>
      <w:tr>
        <w:trPr>
          <w:trHeight w:val="189"/>
        </w:trPr>
        <w:tc>
          <w:tcPr>
            <w:tcW w:w="5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97,881</w:t>
            </w:r>
          </w:p>
        </w:tc>
        <w:tc>
          <w:tcPr>
            <w:tcW w:w="400" w:type="dxa"/>
            <w:vAlign w:val="bottom"/>
            <w:tcBorders>
              <w:bottom w:val="single" w:sz="8" w:color="CCEEFF"/>
            </w:tcBorders>
          </w:tcPr>
          <w:p>
            <w:pPr>
              <w:spacing w:after="0"/>
              <w:rPr>
                <w:sz w:val="16"/>
                <w:szCs w:val="16"/>
                <w:color w:val="auto"/>
              </w:rPr>
            </w:pPr>
          </w:p>
        </w:tc>
      </w:tr>
      <w:tr>
        <w:trPr>
          <w:trHeight w:val="183"/>
        </w:trPr>
        <w:tc>
          <w:tcPr>
            <w:tcW w:w="5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313,094</w:t>
            </w:r>
          </w:p>
        </w:tc>
        <w:tc>
          <w:tcPr>
            <w:tcW w:w="400" w:type="dxa"/>
            <w:vAlign w:val="bottom"/>
            <w:shd w:val="clear" w:color="auto" w:fill="CCEEFF"/>
          </w:tcPr>
          <w:p>
            <w:pPr>
              <w:spacing w:after="0"/>
              <w:rPr>
                <w:sz w:val="15"/>
                <w:szCs w:val="15"/>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137"/>
              <w:spacing w:after="0"/>
              <w:rPr>
                <w:sz w:val="20"/>
                <w:szCs w:val="20"/>
                <w:color w:val="auto"/>
              </w:rPr>
            </w:pPr>
            <w:r>
              <w:rPr>
                <w:rFonts w:ascii="Arial" w:cs="Arial" w:eastAsia="Arial" w:hAnsi="Arial"/>
                <w:sz w:val="16"/>
                <w:szCs w:val="16"/>
                <w:color w:val="auto"/>
              </w:rPr>
              <w:t xml:space="preserve">(86,632) </w:t>
            </w:r>
            <w:r>
              <w:rPr>
                <w:rFonts w:ascii="Arial" w:cs="Arial" w:eastAsia="Arial" w:hAnsi="Arial"/>
                <w:sz w:val="12"/>
                <w:szCs w:val="12"/>
                <w:color w:val="auto"/>
              </w:rPr>
              <w:t>(1)</w:t>
            </w:r>
          </w:p>
        </w:tc>
      </w:tr>
      <w:tr>
        <w:trPr>
          <w:trHeight w:val="183"/>
        </w:trPr>
        <w:tc>
          <w:tcPr>
            <w:tcW w:w="52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226,462</w:t>
            </w:r>
          </w:p>
        </w:tc>
        <w:tc>
          <w:tcPr>
            <w:tcW w:w="400" w:type="dxa"/>
            <w:vAlign w:val="bottom"/>
            <w:tcBorders>
              <w:top w:val="single" w:sz="8" w:color="CCEEFF"/>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(2)</w:t>
            </w: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0" w:lineRule="exact"/>
        <w:rPr>
          <w:sz w:val="20"/>
          <w:szCs w:val="20"/>
          <w:color w:val="auto"/>
        </w:rPr>
      </w:pPr>
    </w:p>
    <w:p>
      <w:pPr>
        <w:ind w:left="1120" w:hanging="31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the incremental borrowing rate for each lease.</w:t>
      </w:r>
    </w:p>
    <w:p>
      <w:pPr>
        <w:spacing w:after="0" w:line="15" w:lineRule="exact"/>
        <w:rPr>
          <w:rFonts w:ascii="Arial" w:cs="Arial" w:eastAsia="Arial" w:hAnsi="Arial"/>
          <w:sz w:val="14"/>
          <w:szCs w:val="14"/>
          <w:color w:val="auto"/>
        </w:rPr>
      </w:pPr>
    </w:p>
    <w:p>
      <w:pPr>
        <w:ind w:left="1120" w:hanging="31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02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May 2, 2026</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May 3, 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34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15,813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5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15,114</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Segment Reporting</w:t>
      </w:r>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is an off-price value retailer of fashion apparel, accessories and home trends primarily for Black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summarizes the Company’s one reportable segment profit or loss, including significant segment expenses, and includes the reconciliation to consolidated net (loss) income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Thirteen Weeks Ended</w:t>
            </w: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 2026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00"/>
              <w:spacing w:after="0"/>
              <w:rPr>
                <w:sz w:val="20"/>
                <w:szCs w:val="20"/>
                <w:color w:val="auto"/>
              </w:rPr>
            </w:pPr>
            <w:r>
              <w:rPr>
                <w:rFonts w:ascii="Arial" w:cs="Arial" w:eastAsia="Arial" w:hAnsi="Arial"/>
                <w:sz w:val="14"/>
                <w:szCs w:val="14"/>
                <w:b w:val="1"/>
                <w:bCs w:val="1"/>
                <w:color w:val="auto"/>
              </w:rPr>
              <w:t>May 3, 2025</w:t>
            </w:r>
          </w:p>
        </w:tc>
      </w:tr>
      <w:tr>
        <w:trPr>
          <w:trHeight w:val="183"/>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230,858</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201,728</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Cost of sales (exclusive of depreciation shown separately below)</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Merchandising and other</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(126,428)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(111,857)</w:t>
            </w:r>
          </w:p>
        </w:tc>
      </w:tr>
      <w:tr>
        <w:trPr>
          <w:trHeight w:val="189"/>
        </w:trPr>
        <w:tc>
          <w:tcPr>
            <w:tcW w:w="20" w:type="dxa"/>
            <w:vAlign w:val="bottom"/>
          </w:tcPr>
          <w:p>
            <w:pPr>
              <w:spacing w:after="0"/>
              <w:rPr>
                <w:sz w:val="16"/>
                <w:szCs w:val="16"/>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Freight in and out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(12,202)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(10,061)</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Store expenses - payroll and related expenses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(23,908)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(22,485)</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Store expenses - rent</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(16,327)</w:t>
            </w:r>
          </w:p>
        </w:tc>
      </w:tr>
      <w:tr>
        <w:trPr>
          <w:trHeight w:val="189"/>
        </w:trPr>
        <w:tc>
          <w:tcPr>
            <w:tcW w:w="20" w:type="dxa"/>
            <w:vAlign w:val="bottom"/>
          </w:tcPr>
          <w:p>
            <w:pPr>
              <w:spacing w:after="0"/>
              <w:rPr>
                <w:sz w:val="16"/>
                <w:szCs w:val="16"/>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Corporate expenses - payroll and related expenses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(7,132)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(7,283)</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 center expenses - payroll and related expenses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w:t>
            </w:r>
          </w:p>
        </w:tc>
      </w:tr>
      <w:tr>
        <w:trPr>
          <w:trHeight w:val="189"/>
        </w:trPr>
        <w:tc>
          <w:tcPr>
            <w:tcW w:w="20" w:type="dxa"/>
            <w:vAlign w:val="bottom"/>
          </w:tcPr>
          <w:p>
            <w:pPr>
              <w:spacing w:after="0"/>
              <w:rPr>
                <w:sz w:val="16"/>
                <w:szCs w:val="16"/>
                <w:color w:val="auto"/>
              </w:rPr>
            </w:pPr>
          </w:p>
        </w:tc>
        <w:tc>
          <w:tcPr>
            <w:tcW w:w="5900" w:type="dxa"/>
            <w:vAlign w:val="bottom"/>
          </w:tcPr>
          <w:p>
            <w:pPr>
              <w:ind w:left="100"/>
              <w:spacing w:after="0" w:line="189" w:lineRule="exact"/>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21"/>
                <w:szCs w:val="21"/>
                <w:color w:val="auto"/>
                <w:vertAlign w:val="superscript"/>
              </w:rPr>
              <w:t>(1)</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(26,414)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(24,237)</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920" w:type="dxa"/>
            <w:vAlign w:val="bottom"/>
            <w:gridSpan w:val="2"/>
          </w:tcPr>
          <w:p>
            <w:pPr>
              <w:spacing w:after="0" w:line="183" w:lineRule="exact"/>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7,754</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871</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5"/>
        <w:spacing w:after="0" w:line="342" w:lineRule="auto"/>
        <w:tabs>
          <w:tab w:leader="none" w:pos="142" w:val="left"/>
        </w:tabs>
        <w:numPr>
          <w:ilvl w:val="0"/>
          <w:numId w:val="13"/>
        </w:numPr>
        <w:rPr>
          <w:rFonts w:ascii="Arial" w:cs="Arial" w:eastAsia="Arial" w:hAnsi="Arial"/>
          <w:sz w:val="16"/>
          <w:szCs w:val="16"/>
          <w:color w:val="auto"/>
          <w:vertAlign w:val="superscript"/>
        </w:rPr>
      </w:pPr>
      <w:r>
        <w:rPr>
          <w:rFonts w:ascii="Arial" w:cs="Arial" w:eastAsia="Arial" w:hAnsi="Arial"/>
          <w:sz w:val="14"/>
          <w:szCs w:val="14"/>
          <w:color w:val="auto"/>
        </w:rPr>
        <w:t>Other segment expenses represent other store, corporate and distribution center expenses including utilities, repairs, supplies, insurance, professional fees and other miscellaneous fees.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as defined in the Private Securities Litigation Reform Act of 1995,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8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and costs associated with building, opening, remodeling, assuming leases, and operating new stores; delays and costs associated with building, opening or expanding new or existing distribution centers; changes in regulator’s requirements or stakeholder’s expectations on environmental, social and sustainability related topics; challenges effectively managing the use of artificial intelligence; and strategic transactions that could negatively impact our liquidity, increase our expenses, or present significant distractions to management; and other factors described in the section titled “Item 1A. Risk Factors” and elsewhere in the Company’s Annual Report on Form 10-K for the fiscal year ended January 31, 2026 and in Part II, “Item 1A. Risk Factors” and elsewhere in the Company’s Quarterly Reports on Form 10-Q and any amendments thereto and in the other documents the Company files with the SEC, including reports on Form 8-K.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are the leading off-price value retailer of apparel, accessories and home trends primarily for Black families. Our high-quality and trend-right merchandise offerings at everyday low prices are designed to appeal to the fashion and trend preferences of value-conscious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May 2, 2026, we operated 591 stores in urban, suburban and rural markets in 33 states.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are monitoring trends in general economic conditions, including on-going inflationary pressures, new and changing tariff programs and changes in consumer sentiment. We continue to monitor the impacts on our business of unemployment levels, wage inflation, interest rates, inflation rates, housing costs, energy costs, gas prices, consumer confidence, consumer perception of economic conditions, costs to source our merchandise and supply chain disruptions.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products, traffic to our stores is still influenced by weather patterns to some extent.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marketing costs.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discussion contains references to fiscal years 2026 and 2025, which represent fiscal years ending or ended on January 30, 2027 and January 31, 2026, respectively. Fiscal 2026 and fiscal 2025 have a 52-week accounting period. This discussion and analysis should be read with the unaudited condensed consolidated financial statements and the notes thereto contained in Part I, Item 1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the overall performance of each individual store. Finally, we monitor corporate and distribution center expenses against budgeted amounts.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May 2, 2026 and May 3, 2025</w:t>
      </w:r>
    </w:p>
    <w:p>
      <w:pPr>
        <w:spacing w:after="0" w:line="221"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$29.2 million, or 14.4%, to $230.9 million in the first quarter of 2026 from $201.7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first quarter of 2025. The increase in sales was due to a 13.9% increase in comparable store sales, as well as </w:t>
      </w:r>
      <w:r>
        <w:rPr>
          <w:rFonts w:ascii="Arial" w:cs="Arial" w:eastAsia="Arial" w:hAnsi="Arial"/>
          <w:sz w:val="17"/>
          <w:szCs w:val="17"/>
          <w:color w:val="auto"/>
        </w:rPr>
        <w:t>an increase of</w:t>
      </w:r>
      <w:r>
        <w:rPr>
          <w:rFonts w:ascii="Arial" w:cs="Arial" w:eastAsia="Arial" w:hAnsi="Arial"/>
          <w:sz w:val="16"/>
          <w:szCs w:val="16"/>
          <w:color w:val="auto"/>
        </w:rPr>
        <w:t xml:space="preserve"> </w:t>
      </w:r>
      <w:r>
        <w:rPr>
          <w:rFonts w:ascii="Arial" w:cs="Arial" w:eastAsia="Arial" w:hAnsi="Arial"/>
          <w:sz w:val="17"/>
          <w:szCs w:val="17"/>
          <w:color w:val="auto"/>
        </w:rPr>
        <w:t>$1.5 million from net store opening and closing activity.</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$16.7 million, or 13.7%, to $138.6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2026 from $121.9 million in the first quarter of 2025. Cost of sales as a percentage of sales decreased to 60.0% in the first quarter of 2026 from 60.4% in the first quarter of 2025. The change was due to lower shrink expense, partially offset by fuel surcharges in freight.</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$4.8 million, or 6.5%, to</w:t>
      </w:r>
      <w:r>
        <w:rPr>
          <w:rFonts w:ascii="Arial" w:cs="Arial" w:eastAsia="Arial" w:hAnsi="Arial"/>
          <w:sz w:val="16"/>
          <w:szCs w:val="16"/>
          <w:i w:val="1"/>
          <w:iCs w:val="1"/>
          <w:color w:val="auto"/>
        </w:rPr>
        <w:t xml:space="preserve"> </w:t>
      </w:r>
      <w:r>
        <w:rPr>
          <w:rFonts w:ascii="Arial" w:cs="Arial" w:eastAsia="Arial" w:hAnsi="Arial"/>
          <w:sz w:val="16"/>
          <w:szCs w:val="16"/>
          <w:color w:val="auto"/>
        </w:rPr>
        <w:t>$79.7 million in the first quarter of 2026 from $74.9 million in the first quarter of 2025. The increase was primarily due to an increase in store and corporate expenses and incentive compensation accrual, partially offset by lower distribution center expenses. As a percentage of sales, selling, general and administrative expenses decreased to 34.5% in the first quarter of 2026 from 37.1% in the first quarter of 2025.</w:t>
      </w:r>
    </w:p>
    <w:p>
      <w:pPr>
        <w:spacing w:after="0" w:line="18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$0.7 million, or 16.9%, to $5.1 million in the first quarter of 2026 from $4.4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2025.</w:t>
      </w:r>
    </w:p>
    <w:p>
      <w:pPr>
        <w:spacing w:after="0" w:line="15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 xml:space="preserve">Income Tax Benefit/Expense. </w:t>
      </w:r>
      <w:r>
        <w:rPr>
          <w:rFonts w:ascii="Arial" w:cs="Arial" w:eastAsia="Arial" w:hAnsi="Arial"/>
          <w:sz w:val="16"/>
          <w:szCs w:val="16"/>
          <w:color w:val="auto"/>
        </w:rPr>
        <w:t>There was $0.2 million income tax expense in the first quarter of 2026 and there was no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in the first quarter of 2025. We used the annual effective tax rate to determine income tax expense based upon interim period results.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$7.8 million in the first quarter of 2026 compared to net income of $0.9 million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2025 due to the factors discussed above.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shareholders through our share repurchase programs. Our quarter-end cash and cash equivalents balance was $81.1 million compared to $41.6 million at the end of the first quarter of 2025. Until required for other purposes, we maintain cash and cash equivalents in deposit or money market accounts.</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quarter-end inventory balance was $115.2 million, compared with $109.9 million at the end of the first quarter of 2025. The increase was primarily related to increased sales volume.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Capital expenditures in the first quarter of 2026 were $5.8 million, an increase of $3.7 million from the first quarter of 2025, as we invested in more existing store remodels. We anticipate capital expenditures in fiscal 2026 in the range of $35 million to $40 million, primarily for opening approximately 25 new stores and remodeling approximately 50 stores.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19"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No shares were repurchased in the first quarter of fiscal 2026. In the first quarter of fiscal 2025, we returned $6.3 million to shareholders through 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19"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have a revolving credit facility that matures in April 2030 and provides a $75 million credit commitment and a $25 million uncommitted “accordion” feature. Additional details of the credit facility are in Note 4 to the Financial Statements. At the end of the first quarter of 2026, we had no borrowings under the credit facility and $2.2 million in letters of credit outstanding.</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$20.9 million in the first quarter of 2026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of $11.0 million in the first quarter of 2025. Sources of cash in the first quarter of 2026 resulted from net income adjusted for non-cash expenses totaling $26.3 million (compared to a net income adjusted for non-cash items of $18.5 million in the first quarter of 2025), and an increase of $12.6 million in accounts payable (compared to a decrease of $21.9 million in the first quarter of 2025).</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Significant uses of cash during the first quarter of 2026 included (1) a decrease of $11.3 million in accrued expenses and other long-term liabilities (compared to a decrease of $19.4 million in the first quarter of 2025) and (2) an increase of $3.8 million in prepaid and other current assets (compared to an increase of $3.5 million in the first quarter of 2025).</w:t>
      </w:r>
    </w:p>
    <w:p>
      <w:pPr>
        <w:spacing w:after="0" w:line="17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$5.8 million in the first quarter of 2026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$2.1 million in the first quarter of 2025. Cash used in the first quarter of 2026 and 2025 consisted of purchases of property and equipment.</w:t>
      </w:r>
    </w:p>
    <w:p>
      <w:pPr>
        <w:spacing w:after="0" w:line="17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$0.0 million in the first quarter of 2026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$6.4 million in the first quarter of 2025. Cash used in first quarter of 2025 included $6.3 million for share repurchases and $0.1 million to settle withholding taxes on the vesting of 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w:t>
      </w:r>
    </w:p>
    <w:p>
      <w:pPr>
        <w:spacing w:after="0" w:line="21" w:lineRule="exact"/>
        <w:rPr>
          <w:sz w:val="20"/>
          <w:szCs w:val="20"/>
          <w:color w:val="auto"/>
        </w:rPr>
      </w:pPr>
    </w:p>
    <w:p>
      <w:pPr>
        <w:ind w:firstLine="5"/>
        <w:spacing w:after="0" w:line="251"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May 2, 2026, our contractual commitments for operating leases totaled $226.5 million (with $64.3 million due within 12 months). See Note 10 to the Financial Statements for more information regarding lease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2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have been no material changes in our market risk during the thirteen weeks ended May 2, 2026 compared to the disclosures in Part II, Item 7A of our Annual Report on Form 10-K for the fiscal year ended January 31,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May 2, 2026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8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May 2,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1"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1" w:lineRule="exact"/>
        <w:rPr>
          <w:sz w:val="20"/>
          <w:szCs w:val="20"/>
          <w:color w:val="auto"/>
        </w:rPr>
      </w:pPr>
    </w:p>
    <w:p>
      <w:pPr>
        <w:ind w:right="479"/>
        <w:spacing w:after="0" w:line="286"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31,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19" w:lineRule="exact"/>
        <w:rPr>
          <w:sz w:val="20"/>
          <w:szCs w:val="20"/>
          <w:color w:val="auto"/>
        </w:rPr>
      </w:pPr>
    </w:p>
    <w:p>
      <w:pPr>
        <w:ind w:right="319"/>
        <w:spacing w:after="0" w:line="286" w:lineRule="auto"/>
        <w:rPr>
          <w:sz w:val="20"/>
          <w:szCs w:val="20"/>
          <w:color w:val="auto"/>
        </w:rPr>
      </w:pPr>
      <w:r>
        <w:rPr>
          <w:rFonts w:ascii="Arial" w:cs="Arial" w:eastAsia="Arial" w:hAnsi="Arial"/>
          <w:sz w:val="16"/>
          <w:szCs w:val="16"/>
          <w:color w:val="auto"/>
        </w:rPr>
        <w:t>The Company did not repurchase any shares in the first quarter of 2026. At May 2, 2026, $40.0 million remained under the Company’s stock repurchase authorization.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3.1</w:t>
            </w:r>
          </w:p>
        </w:tc>
        <w:tc>
          <w:tcPr>
            <w:tcW w:w="8140" w:type="dxa"/>
            <w:vAlign w:val="bottom"/>
            <w:gridSpan w:val="9"/>
          </w:tcPr>
          <w:p>
            <w:pPr>
              <w:spacing w:after="0"/>
              <w:rPr>
                <w:rFonts w:ascii="Arial" w:cs="Arial" w:eastAsia="Arial" w:hAnsi="Arial"/>
                <w:sz w:val="16"/>
                <w:szCs w:val="16"/>
                <w:color w:val="0000EE"/>
              </w:rPr>
            </w:pPr>
            <w:hyperlink r:id="rId30">
              <w:r>
                <w:rPr>
                  <w:rFonts w:ascii="Arial" w:cs="Arial" w:eastAsia="Arial" w:hAnsi="Arial"/>
                  <w:sz w:val="16"/>
                  <w:szCs w:val="16"/>
                  <w:color w:val="0000EE"/>
                </w:rPr>
                <w:t>Third Amended and Restated Certificate of Incorporation (incorporated by reference to Exhibit 3.1 to the</w:t>
              </w:r>
            </w:hyperlink>
          </w:p>
        </w:tc>
      </w:tr>
      <w:tr>
        <w:trPr>
          <w:trHeight w:val="209"/>
        </w:trPr>
        <w:tc>
          <w:tcPr>
            <w:tcW w:w="960" w:type="dxa"/>
            <w:vAlign w:val="bottom"/>
          </w:tcPr>
          <w:p>
            <w:pPr>
              <w:spacing w:after="0"/>
              <w:rPr>
                <w:sz w:val="18"/>
                <w:szCs w:val="18"/>
                <w:color w:val="auto"/>
              </w:rPr>
            </w:pPr>
          </w:p>
        </w:tc>
        <w:tc>
          <w:tcPr>
            <w:tcW w:w="7440" w:type="dxa"/>
            <w:vAlign w:val="bottom"/>
            <w:tcBorders>
              <w:top w:val="single" w:sz="8" w:color="0000EE"/>
            </w:tcBorders>
            <w:gridSpan w:val="5"/>
          </w:tcPr>
          <w:p>
            <w:pPr>
              <w:spacing w:after="0"/>
              <w:rPr>
                <w:rFonts w:ascii="Arial" w:cs="Arial" w:eastAsia="Arial" w:hAnsi="Arial"/>
                <w:sz w:val="16"/>
                <w:szCs w:val="16"/>
                <w:color w:val="0000EE"/>
              </w:rPr>
            </w:pPr>
            <w:hyperlink r:id="rId30">
              <w:r>
                <w:rPr>
                  <w:rFonts w:ascii="Arial" w:cs="Arial" w:eastAsia="Arial" w:hAnsi="Arial"/>
                  <w:sz w:val="16"/>
                  <w:szCs w:val="16"/>
                  <w:color w:val="0000EE"/>
                </w:rPr>
                <w:t>Company’s Current Report on Form 8-K filed with the SEC on June 7, 2018)</w:t>
              </w:r>
              <w:r>
                <w:rPr>
                  <w:rFonts w:ascii="Arial" w:cs="Arial" w:eastAsia="Arial" w:hAnsi="Arial"/>
                  <w:sz w:val="16"/>
                  <w:szCs w:val="16"/>
                  <w:color w:val="000000"/>
                </w:rPr>
                <w:t>.</w:t>
              </w:r>
            </w:hyperlink>
          </w:p>
        </w:tc>
        <w:tc>
          <w:tcPr>
            <w:tcW w:w="700" w:type="dxa"/>
            <w:vAlign w:val="bottom"/>
            <w:gridSpan w:val="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6"/>
                <w:szCs w:val="16"/>
                <w:color w:val="auto"/>
              </w:rPr>
              <w:t>3.2</w:t>
            </w:r>
          </w:p>
        </w:tc>
        <w:tc>
          <w:tcPr>
            <w:tcW w:w="8140" w:type="dxa"/>
            <w:vAlign w:val="bottom"/>
            <w:gridSpan w:val="9"/>
          </w:tcPr>
          <w:p>
            <w:pPr>
              <w:spacing w:after="0"/>
              <w:rPr>
                <w:rFonts w:ascii="Arial" w:cs="Arial" w:eastAsia="Arial" w:hAnsi="Arial"/>
                <w:sz w:val="16"/>
                <w:szCs w:val="16"/>
                <w:color w:val="0000EE"/>
              </w:rPr>
            </w:pPr>
            <w:hyperlink r:id="rId31">
              <w:r>
                <w:rPr>
                  <w:rFonts w:ascii="Arial" w:cs="Arial" w:eastAsia="Arial" w:hAnsi="Arial"/>
                  <w:sz w:val="16"/>
                  <w:szCs w:val="16"/>
                  <w:color w:val="0000EE"/>
                </w:rPr>
                <w:t>Fourth Amended and Restated Bylaws (incorporated by reference to Exhibit 3.2 to the Company’s Current Report</w:t>
              </w:r>
            </w:hyperlink>
          </w:p>
        </w:tc>
      </w:tr>
      <w:tr>
        <w:trPr>
          <w:trHeight w:val="209"/>
        </w:trPr>
        <w:tc>
          <w:tcPr>
            <w:tcW w:w="960" w:type="dxa"/>
            <w:vAlign w:val="bottom"/>
          </w:tcPr>
          <w:p>
            <w:pPr>
              <w:spacing w:after="0"/>
              <w:rPr>
                <w:sz w:val="18"/>
                <w:szCs w:val="18"/>
                <w:color w:val="auto"/>
              </w:rPr>
            </w:pPr>
          </w:p>
        </w:tc>
        <w:tc>
          <w:tcPr>
            <w:tcW w:w="8120" w:type="dxa"/>
            <w:vAlign w:val="bottom"/>
            <w:tcBorders>
              <w:top w:val="single" w:sz="8" w:color="0000EE"/>
            </w:tcBorders>
            <w:gridSpan w:val="8"/>
          </w:tcPr>
          <w:p>
            <w:pPr>
              <w:spacing w:after="0"/>
              <w:rPr>
                <w:rFonts w:ascii="Arial" w:cs="Arial" w:eastAsia="Arial" w:hAnsi="Arial"/>
                <w:sz w:val="16"/>
                <w:szCs w:val="16"/>
                <w:color w:val="0000EE"/>
              </w:rPr>
            </w:pPr>
            <w:hyperlink r:id="rId31">
              <w:r>
                <w:rPr>
                  <w:rFonts w:ascii="Arial" w:cs="Arial" w:eastAsia="Arial" w:hAnsi="Arial"/>
                  <w:sz w:val="16"/>
                  <w:szCs w:val="16"/>
                  <w:color w:val="0000EE"/>
                </w:rPr>
                <w:t>on Form 8-K filed with the SEC on October 31, 2022)</w:t>
              </w:r>
              <w:r>
                <w:rPr>
                  <w:rFonts w:ascii="Arial" w:cs="Arial" w:eastAsia="Arial" w:hAnsi="Arial"/>
                  <w:sz w:val="16"/>
                  <w:szCs w:val="16"/>
                  <w:color w:val="000000"/>
                </w:rPr>
                <w:t>.</w:t>
              </w:r>
            </w:hyperlink>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790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w:t>
            </w:r>
          </w:p>
        </w:tc>
        <w:tc>
          <w:tcPr>
            <w:tcW w:w="240" w:type="dxa"/>
            <w:vAlign w:val="bottom"/>
            <w:gridSpan w:val="2"/>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8140" w:type="dxa"/>
            <w:vAlign w:val="bottom"/>
            <w:gridSpan w:val="9"/>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78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w:t>
            </w:r>
          </w:p>
        </w:tc>
        <w:tc>
          <w:tcPr>
            <w:tcW w:w="300" w:type="dxa"/>
            <w:vAlign w:val="bottom"/>
            <w:gridSpan w:val="3"/>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8140" w:type="dxa"/>
            <w:vAlign w:val="bottom"/>
            <w:gridSpan w:val="9"/>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81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w:t>
            </w:r>
          </w:p>
        </w:tc>
      </w:tr>
      <w:tr>
        <w:trPr>
          <w:trHeight w:val="209"/>
        </w:trPr>
        <w:tc>
          <w:tcPr>
            <w:tcW w:w="960" w:type="dxa"/>
            <w:vAlign w:val="bottom"/>
          </w:tcPr>
          <w:p>
            <w:pPr>
              <w:spacing w:after="0"/>
              <w:rPr>
                <w:sz w:val="18"/>
                <w:szCs w:val="18"/>
                <w:color w:val="auto"/>
              </w:rPr>
            </w:pPr>
          </w:p>
        </w:tc>
        <w:tc>
          <w:tcPr>
            <w:tcW w:w="8140" w:type="dxa"/>
            <w:vAlign w:val="bottom"/>
            <w:gridSpan w:val="9"/>
          </w:tcPr>
          <w:p>
            <w:pPr>
              <w:spacing w:after="0"/>
              <w:rPr>
                <w:sz w:val="20"/>
                <w:szCs w:val="20"/>
                <w:color w:val="auto"/>
              </w:rPr>
            </w:pPr>
            <w:r>
              <w:rPr>
                <w:rFonts w:ascii="Arial" w:cs="Arial" w:eastAsia="Arial" w:hAnsi="Arial"/>
                <w:sz w:val="16"/>
                <w:szCs w:val="16"/>
                <w:color w:val="0000EE"/>
              </w:rPr>
              <w:t>of 2002.</w:t>
            </w:r>
            <w:r>
              <w:rPr>
                <w:rFonts w:ascii="Arial" w:cs="Arial" w:eastAsia="Arial" w:hAnsi="Arial"/>
                <w:sz w:val="16"/>
                <w:szCs w:val="16"/>
                <w:color w:val="000000"/>
              </w:rPr>
              <w:t>+ †</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960" w:right="80" w:hanging="952"/>
        <w:spacing w:after="0" w:line="339"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47" w:lineRule="exact"/>
        <w:rPr>
          <w:sz w:val="20"/>
          <w:szCs w:val="20"/>
          <w:color w:val="auto"/>
        </w:rPr>
      </w:pPr>
    </w:p>
    <w:p>
      <w:pPr>
        <w:ind w:left="960" w:right="280" w:hanging="952"/>
        <w:spacing w:after="0" w:line="339"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28" w:lineRule="exact"/>
        <w:rPr>
          <w:rFonts w:ascii="Arial" w:cs="Arial" w:eastAsia="Arial" w:hAnsi="Arial"/>
          <w:sz w:val="16"/>
          <w:szCs w:val="16"/>
          <w:color w:val="auto"/>
        </w:rPr>
      </w:pPr>
    </w:p>
    <w:p>
      <w:pPr>
        <w:ind w:left="360" w:hanging="355"/>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1448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1" w:lineRule="exact"/>
        <w:rPr>
          <w:sz w:val="20"/>
          <w:szCs w:val="20"/>
          <w:color w:val="auto"/>
        </w:rPr>
      </w:pPr>
    </w:p>
    <w:p>
      <w:pPr>
        <w:ind w:right="100" w:firstLine="5"/>
        <w:spacing w:after="0" w:line="256"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Principal Financial Officer.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20" w:type="dxa"/>
            <w:vAlign w:val="bottom"/>
            <w:gridSpan w:val="2"/>
          </w:tcPr>
          <w:p>
            <w:pPr>
              <w:ind w:left="4580"/>
              <w:spacing w:after="0"/>
              <w:rPr>
                <w:sz w:val="20"/>
                <w:szCs w:val="20"/>
                <w:color w:val="auto"/>
              </w:rPr>
            </w:pPr>
            <w:r>
              <w:rPr>
                <w:rFonts w:ascii="Arial" w:cs="Arial" w:eastAsia="Arial" w:hAnsi="Arial"/>
                <w:sz w:val="16"/>
                <w:szCs w:val="16"/>
                <w:color w:val="auto"/>
              </w:rPr>
              <w:t>CITI TRENDS, INC.</w:t>
            </w:r>
          </w:p>
        </w:tc>
      </w:tr>
      <w:tr>
        <w:trPr>
          <w:trHeight w:val="432"/>
        </w:trPr>
        <w:tc>
          <w:tcPr>
            <w:tcW w:w="5240" w:type="dxa"/>
            <w:vAlign w:val="bottom"/>
          </w:tcPr>
          <w:p>
            <w:pPr>
              <w:spacing w:after="0"/>
              <w:rPr>
                <w:sz w:val="20"/>
                <w:szCs w:val="20"/>
                <w:color w:val="auto"/>
              </w:rPr>
            </w:pPr>
            <w:r>
              <w:rPr>
                <w:rFonts w:ascii="Arial" w:cs="Arial" w:eastAsia="Arial" w:hAnsi="Arial"/>
                <w:sz w:val="16"/>
                <w:szCs w:val="16"/>
                <w:color w:val="auto"/>
              </w:rPr>
              <w:t>Date: June 10, 2026</w:t>
            </w:r>
          </w:p>
        </w:tc>
        <w:tc>
          <w:tcPr>
            <w:tcW w:w="3880" w:type="dxa"/>
            <w:vAlign w:val="bottom"/>
          </w:tcPr>
          <w:p>
            <w:pPr>
              <w:spacing w:after="0"/>
              <w:rPr>
                <w:sz w:val="24"/>
                <w:szCs w:val="24"/>
                <w:color w:val="auto"/>
              </w:rPr>
            </w:pPr>
          </w:p>
        </w:tc>
      </w:tr>
      <w:tr>
        <w:trPr>
          <w:trHeight w:val="432"/>
        </w:trPr>
        <w:tc>
          <w:tcPr>
            <w:tcW w:w="5240" w:type="dxa"/>
            <w:vAlign w:val="bottom"/>
          </w:tcPr>
          <w:p>
            <w:pPr>
              <w:ind w:left="4580"/>
              <w:spacing w:after="0"/>
              <w:rPr>
                <w:sz w:val="20"/>
                <w:szCs w:val="20"/>
                <w:color w:val="auto"/>
              </w:rPr>
            </w:pPr>
            <w:r>
              <w:rPr>
                <w:rFonts w:ascii="Arial" w:cs="Arial" w:eastAsia="Arial" w:hAnsi="Arial"/>
                <w:sz w:val="16"/>
                <w:szCs w:val="16"/>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Heather Plutino</w:t>
            </w:r>
          </w:p>
        </w:tc>
      </w:tr>
      <w:tr>
        <w:trPr>
          <w:trHeight w:val="210"/>
        </w:trPr>
        <w:tc>
          <w:tcPr>
            <w:tcW w:w="5240" w:type="dxa"/>
            <w:vAlign w:val="bottom"/>
          </w:tcPr>
          <w:p>
            <w:pPr>
              <w:ind w:left="4580"/>
              <w:spacing w:after="0"/>
              <w:rPr>
                <w:sz w:val="20"/>
                <w:szCs w:val="20"/>
                <w:color w:val="auto"/>
              </w:rPr>
            </w:pPr>
            <w:r>
              <w:rPr>
                <w:rFonts w:ascii="Arial" w:cs="Arial" w:eastAsia="Arial" w:hAnsi="Arial"/>
                <w:sz w:val="16"/>
                <w:szCs w:val="16"/>
                <w:color w:val="auto"/>
              </w:rPr>
              <w:t>Name:</w:t>
            </w:r>
          </w:p>
        </w:tc>
        <w:tc>
          <w:tcPr>
            <w:tcW w:w="3880" w:type="dxa"/>
            <w:vAlign w:val="bottom"/>
          </w:tcPr>
          <w:p>
            <w:pPr>
              <w:spacing w:after="0"/>
              <w:rPr>
                <w:sz w:val="20"/>
                <w:szCs w:val="20"/>
                <w:color w:val="auto"/>
              </w:rPr>
            </w:pPr>
            <w:r>
              <w:rPr>
                <w:rFonts w:ascii="Arial" w:cs="Arial" w:eastAsia="Arial" w:hAnsi="Arial"/>
                <w:sz w:val="16"/>
                <w:szCs w:val="16"/>
                <w:color w:val="auto"/>
              </w:rPr>
              <w:t>Heather Plutino</w:t>
            </w:r>
          </w:p>
        </w:tc>
      </w:tr>
      <w:tr>
        <w:trPr>
          <w:trHeight w:val="215"/>
        </w:trPr>
        <w:tc>
          <w:tcPr>
            <w:tcW w:w="5240" w:type="dxa"/>
            <w:vAlign w:val="bottom"/>
          </w:tcPr>
          <w:p>
            <w:pPr>
              <w:ind w:left="4580"/>
              <w:spacing w:after="0"/>
              <w:rPr>
                <w:sz w:val="20"/>
                <w:szCs w:val="20"/>
                <w:color w:val="auto"/>
              </w:rPr>
            </w:pPr>
            <w:r>
              <w:rPr>
                <w:rFonts w:ascii="Arial" w:cs="Arial" w:eastAsia="Arial" w:hAnsi="Arial"/>
                <w:sz w:val="16"/>
                <w:szCs w:val="16"/>
                <w:color w:val="auto"/>
              </w:rPr>
              <w:t>Title:</w:t>
            </w:r>
          </w:p>
        </w:tc>
        <w:tc>
          <w:tcPr>
            <w:tcW w:w="388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Kenneth D. Seipel, certify that:</w:t>
      </w:r>
    </w:p>
    <w:p>
      <w:pPr>
        <w:spacing w:after="0" w:line="225" w:lineRule="exact"/>
        <w:rPr>
          <w:sz w:val="20"/>
          <w:szCs w:val="20"/>
          <w:color w:val="auto"/>
        </w:rPr>
      </w:pPr>
    </w:p>
    <w:p>
      <w:pPr>
        <w:ind w:left="700" w:hanging="65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2, 2026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3042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Kenneth D. Seipel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 w:name="page22"/>
    <w:bookmarkEnd w:id="2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Heather Plutino, certify that:</w:t>
      </w:r>
    </w:p>
    <w:p>
      <w:pPr>
        <w:spacing w:after="0" w:line="225" w:lineRule="exact"/>
        <w:rPr>
          <w:sz w:val="20"/>
          <w:szCs w:val="20"/>
          <w:color w:val="auto"/>
        </w:rPr>
      </w:pPr>
    </w:p>
    <w:p>
      <w:pPr>
        <w:ind w:left="700" w:hanging="65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2, 2026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/s/ Heather Plutino</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3034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 (18 U.S.C. § 1350, as adopted).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Kenneth D. Seipel, Chief Executive Officer of Citi Trends, Inc.,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Heather Plutino, Chief Financial Officer of Citi Trends, Inc., certify that:</w:t>
      </w:r>
    </w:p>
    <w:p>
      <w:pPr>
        <w:spacing w:after="0" w:line="225" w:lineRule="exact"/>
        <w:rPr>
          <w:sz w:val="20"/>
          <w:szCs w:val="20"/>
          <w:color w:val="auto"/>
        </w:rPr>
      </w:pPr>
    </w:p>
    <w:p>
      <w:pPr>
        <w:ind w:left="220" w:hanging="176"/>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this quarterly report on Form 10-Q of Citi Trends, Inc. for the period ended May 2, 2026;</w:t>
      </w:r>
    </w:p>
    <w:p>
      <w:pPr>
        <w:spacing w:after="0" w:line="211" w:lineRule="exact"/>
        <w:rPr>
          <w:rFonts w:ascii="Times New Roman" w:cs="Times New Roman" w:eastAsia="Times New Roman" w:hAnsi="Times New Roman"/>
          <w:sz w:val="18"/>
          <w:szCs w:val="18"/>
          <w:color w:val="auto"/>
        </w:rPr>
      </w:pPr>
    </w:p>
    <w:p>
      <w:pPr>
        <w:ind w:left="40" w:right="179" w:firstLine="4"/>
        <w:spacing w:after="0" w:line="282"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this quarterly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0" w:right="79" w:firstLine="4"/>
        <w:spacing w:after="0" w:line="266"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Kenneth D. Seipel</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 and Chairman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Heather Plutino</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3"/>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30" Type="http://schemas.openxmlformats.org/officeDocument/2006/relationships/hyperlink" Target="http://www.sec.gov/Archives/edgar/data/1318484/000110465918038871/a18-15022_1ex3d1.htm" TargetMode="External"/><Relationship Id="rId31"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2026-06-10T12:13:38Z</dcterms:created>
  <dcterms:modified xsi:type="dcterms:W3CDTF">2026-06-10T12:13:38Z</dcterms:modified>
</cp:coreProperties>
</file>